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C5B080">
      <w:pPr>
        <w:pStyle w:val="23"/>
        <w:adjustRightInd w:val="0"/>
        <w:snapToGrid w:val="0"/>
        <w:spacing w:line="240" w:lineRule="atLeast"/>
        <w:jc w:val="center"/>
        <w:rPr>
          <w:rFonts w:ascii="华文中宋" w:hAnsi="华文中宋" w:eastAsia="华文中宋"/>
          <w:bCs/>
          <w:sz w:val="72"/>
          <w:szCs w:val="72"/>
          <w:highlight w:val="none"/>
        </w:rPr>
      </w:pPr>
    </w:p>
    <w:p w14:paraId="258EC989">
      <w:pPr>
        <w:pStyle w:val="23"/>
        <w:adjustRightInd w:val="0"/>
        <w:snapToGrid w:val="0"/>
        <w:spacing w:line="240" w:lineRule="atLeast"/>
        <w:jc w:val="center"/>
        <w:rPr>
          <w:rFonts w:ascii="华文中宋" w:hAnsi="华文中宋" w:eastAsia="华文中宋"/>
          <w:b/>
          <w:bCs/>
          <w:sz w:val="84"/>
          <w:szCs w:val="84"/>
          <w:highlight w:val="none"/>
        </w:rPr>
      </w:pPr>
      <w:r>
        <w:rPr>
          <w:rFonts w:hint="eastAsia" w:ascii="华文中宋" w:hAnsi="华文中宋" w:eastAsia="华文中宋"/>
          <w:b/>
          <w:bCs/>
          <w:sz w:val="84"/>
          <w:szCs w:val="84"/>
          <w:highlight w:val="none"/>
        </w:rPr>
        <w:t>政府采购</w:t>
      </w:r>
    </w:p>
    <w:p w14:paraId="68B92242">
      <w:pPr>
        <w:pStyle w:val="23"/>
        <w:adjustRightInd w:val="0"/>
        <w:snapToGrid w:val="0"/>
        <w:spacing w:line="240" w:lineRule="atLeast"/>
        <w:jc w:val="center"/>
        <w:rPr>
          <w:rFonts w:ascii="华文中宋" w:hAnsi="华文中宋" w:eastAsia="华文中宋"/>
          <w:b/>
          <w:bCs/>
          <w:sz w:val="84"/>
          <w:szCs w:val="84"/>
          <w:highlight w:val="none"/>
        </w:rPr>
      </w:pPr>
      <w:r>
        <w:rPr>
          <w:rFonts w:hint="eastAsia" w:ascii="华文中宋" w:hAnsi="华文中宋" w:eastAsia="华文中宋"/>
          <w:b/>
          <w:bCs/>
          <w:sz w:val="84"/>
          <w:szCs w:val="84"/>
          <w:highlight w:val="none"/>
        </w:rPr>
        <w:t>招 标 文 件</w:t>
      </w:r>
    </w:p>
    <w:p w14:paraId="31EE4179">
      <w:pPr>
        <w:jc w:val="center"/>
        <w:rPr>
          <w:rFonts w:ascii="宋体" w:hAnsi="宋体" w:cs="宋体"/>
          <w:sz w:val="44"/>
          <w:szCs w:val="44"/>
          <w:highlight w:val="none"/>
        </w:rPr>
      </w:pPr>
    </w:p>
    <w:p w14:paraId="5895EEB4">
      <w:pPr>
        <w:jc w:val="center"/>
        <w:rPr>
          <w:highlight w:val="none"/>
        </w:rPr>
      </w:pPr>
      <w:r>
        <w:rPr>
          <w:rFonts w:ascii="宋体" w:hAnsi="宋体" w:cs="宋体"/>
          <w:sz w:val="44"/>
          <w:szCs w:val="44"/>
          <w:highlight w:val="none"/>
        </w:rPr>
        <w:t>（</w:t>
      </w:r>
      <w:r>
        <w:rPr>
          <w:rFonts w:hint="eastAsia" w:ascii="宋体" w:hAnsi="宋体" w:cs="宋体"/>
          <w:sz w:val="44"/>
          <w:szCs w:val="44"/>
          <w:highlight w:val="none"/>
        </w:rPr>
        <w:t>综合评分</w:t>
      </w:r>
      <w:r>
        <w:rPr>
          <w:rFonts w:ascii="宋体" w:hAnsi="宋体" w:cs="宋体"/>
          <w:sz w:val="44"/>
          <w:szCs w:val="44"/>
          <w:highlight w:val="none"/>
        </w:rPr>
        <w:t>法）</w:t>
      </w:r>
      <w:r>
        <w:rPr>
          <w:rFonts w:ascii="宋体" w:hAnsi="宋体" w:cs="宋体"/>
          <w:szCs w:val="21"/>
          <w:highlight w:val="none"/>
        </w:rPr>
        <w:t xml:space="preserve"> </w:t>
      </w:r>
    </w:p>
    <w:p w14:paraId="0525C648">
      <w:pPr>
        <w:pStyle w:val="23"/>
        <w:adjustRightInd w:val="0"/>
        <w:snapToGrid w:val="0"/>
        <w:spacing w:line="240" w:lineRule="atLeast"/>
        <w:jc w:val="center"/>
        <w:rPr>
          <w:rFonts w:ascii="华文中宋" w:hAnsi="华文中宋" w:eastAsia="华文中宋"/>
          <w:b/>
          <w:bCs/>
          <w:sz w:val="44"/>
          <w:szCs w:val="44"/>
          <w:highlight w:val="none"/>
        </w:rPr>
      </w:pPr>
      <w:r>
        <w:rPr>
          <w:rFonts w:hAnsi="宋体" w:cs="宋体"/>
          <w:sz w:val="44"/>
          <w:szCs w:val="44"/>
          <w:highlight w:val="none"/>
        </w:rPr>
        <w:t>货物类</w:t>
      </w:r>
      <w:r>
        <w:rPr>
          <w:rFonts w:hAnsi="宋体" w:cs="宋体"/>
          <w:highlight w:val="none"/>
        </w:rPr>
        <w:t xml:space="preserve"> </w:t>
      </w:r>
    </w:p>
    <w:p w14:paraId="5B7AAC06">
      <w:pPr>
        <w:pStyle w:val="23"/>
        <w:adjustRightInd w:val="0"/>
        <w:snapToGrid w:val="0"/>
        <w:spacing w:line="240" w:lineRule="atLeast"/>
        <w:jc w:val="center"/>
        <w:rPr>
          <w:rFonts w:ascii="华文中宋" w:hAnsi="华文中宋" w:eastAsia="华文中宋"/>
          <w:bCs/>
          <w:highlight w:val="none"/>
        </w:rPr>
      </w:pPr>
    </w:p>
    <w:p w14:paraId="173308EC">
      <w:pPr>
        <w:adjustRightInd w:val="0"/>
        <w:snapToGrid w:val="0"/>
        <w:spacing w:line="360" w:lineRule="auto"/>
        <w:ind w:left="958" w:leftChars="456" w:firstLine="161" w:firstLineChars="50"/>
        <w:rPr>
          <w:rFonts w:hint="eastAsia" w:hAnsi="宋体" w:eastAsia="宋体"/>
          <w:b/>
          <w:sz w:val="32"/>
          <w:szCs w:val="32"/>
          <w:highlight w:val="none"/>
          <w:lang w:eastAsia="zh-CN"/>
        </w:rPr>
      </w:pPr>
      <w:r>
        <w:rPr>
          <w:rFonts w:hint="eastAsia" w:hAnsi="宋体"/>
          <w:b/>
          <w:sz w:val="32"/>
          <w:szCs w:val="32"/>
          <w:highlight w:val="none"/>
        </w:rPr>
        <w:t>采购项目名称：</w:t>
      </w:r>
      <w:r>
        <w:rPr>
          <w:rFonts w:hint="eastAsia" w:hAnsi="宋体"/>
          <w:b/>
          <w:sz w:val="30"/>
          <w:szCs w:val="30"/>
          <w:highlight w:val="none"/>
          <w:u w:val="single"/>
          <w:lang w:eastAsia="zh-CN"/>
        </w:rPr>
        <w:t>体育新城实验学校设施设备采购</w:t>
      </w:r>
    </w:p>
    <w:p w14:paraId="05702BAD">
      <w:pPr>
        <w:adjustRightInd w:val="0"/>
        <w:snapToGrid w:val="0"/>
        <w:spacing w:line="360" w:lineRule="auto"/>
        <w:ind w:firstLine="1124" w:firstLineChars="350"/>
        <w:rPr>
          <w:rFonts w:hint="eastAsia" w:hAnsi="宋体" w:eastAsia="宋体"/>
          <w:b/>
          <w:sz w:val="32"/>
          <w:szCs w:val="32"/>
          <w:highlight w:val="none"/>
          <w:u w:val="single"/>
          <w:lang w:eastAsia="zh-CN"/>
        </w:rPr>
      </w:pPr>
      <w:r>
        <w:rPr>
          <w:rFonts w:hint="eastAsia" w:hAnsi="宋体"/>
          <w:b/>
          <w:sz w:val="32"/>
          <w:szCs w:val="32"/>
          <w:highlight w:val="none"/>
        </w:rPr>
        <w:t>政府采购编号：</w:t>
      </w:r>
      <w:r>
        <w:rPr>
          <w:rFonts w:hint="eastAsia" w:hAnsi="宋体"/>
          <w:b/>
          <w:sz w:val="32"/>
          <w:szCs w:val="32"/>
          <w:highlight w:val="none"/>
          <w:u w:val="single"/>
          <w:lang w:eastAsia="zh-CN"/>
        </w:rPr>
        <w:t>大祥财采计[2026]000008号</w:t>
      </w:r>
    </w:p>
    <w:p w14:paraId="542872E6">
      <w:pPr>
        <w:adjustRightInd w:val="0"/>
        <w:snapToGrid w:val="0"/>
        <w:spacing w:line="360" w:lineRule="auto"/>
        <w:ind w:firstLine="1124" w:firstLineChars="350"/>
        <w:rPr>
          <w:rFonts w:hint="eastAsia" w:hAnsi="宋体" w:eastAsia="宋体"/>
          <w:b/>
          <w:sz w:val="32"/>
          <w:szCs w:val="32"/>
          <w:highlight w:val="none"/>
          <w:u w:val="single"/>
          <w:lang w:eastAsia="zh-CN"/>
        </w:rPr>
      </w:pPr>
      <w:r>
        <w:rPr>
          <w:rFonts w:hint="eastAsia" w:hAnsi="宋体"/>
          <w:b/>
          <w:sz w:val="32"/>
          <w:szCs w:val="32"/>
          <w:highlight w:val="none"/>
        </w:rPr>
        <w:t>项 目  编 号：</w:t>
      </w:r>
      <w:r>
        <w:rPr>
          <w:rFonts w:hint="eastAsia" w:hAnsi="宋体"/>
          <w:b/>
          <w:color w:val="000000" w:themeColor="text1"/>
          <w:sz w:val="32"/>
          <w:szCs w:val="32"/>
          <w:highlight w:val="none"/>
          <w:u w:val="single"/>
          <w:lang w:eastAsia="zh-CN"/>
          <w14:textFill>
            <w14:solidFill>
              <w14:schemeClr w14:val="tx1"/>
            </w14:solidFill>
          </w14:textFill>
        </w:rPr>
        <w:t>HNSZZFCG-2026-0485</w:t>
      </w:r>
    </w:p>
    <w:p w14:paraId="197C3CB5">
      <w:pPr>
        <w:adjustRightInd w:val="0"/>
        <w:snapToGrid w:val="0"/>
        <w:spacing w:line="360" w:lineRule="auto"/>
        <w:ind w:firstLine="1124" w:firstLineChars="350"/>
        <w:rPr>
          <w:rFonts w:hint="eastAsia" w:hAnsi="宋体" w:eastAsia="宋体"/>
          <w:b/>
          <w:sz w:val="32"/>
          <w:szCs w:val="32"/>
          <w:highlight w:val="none"/>
          <w:u w:val="single"/>
          <w:lang w:eastAsia="zh-CN"/>
        </w:rPr>
      </w:pPr>
      <w:r>
        <w:rPr>
          <w:rFonts w:hint="eastAsia" w:hAnsi="宋体"/>
          <w:b/>
          <w:sz w:val="32"/>
          <w:szCs w:val="32"/>
          <w:highlight w:val="none"/>
        </w:rPr>
        <w:t>采购代理编号：</w:t>
      </w:r>
      <w:r>
        <w:rPr>
          <w:rFonts w:hint="eastAsia" w:hAnsi="宋体"/>
          <w:b/>
          <w:sz w:val="32"/>
          <w:szCs w:val="32"/>
          <w:highlight w:val="none"/>
          <w:u w:val="single"/>
          <w:lang w:eastAsia="zh-CN"/>
        </w:rPr>
        <w:t>SZC-2026-0060</w:t>
      </w:r>
    </w:p>
    <w:p w14:paraId="5211CFFF">
      <w:pPr>
        <w:adjustRightInd w:val="0"/>
        <w:snapToGrid w:val="0"/>
        <w:spacing w:line="360" w:lineRule="auto"/>
        <w:ind w:firstLine="1124" w:firstLineChars="350"/>
        <w:rPr>
          <w:rFonts w:hint="eastAsia" w:hAnsi="宋体" w:eastAsia="宋体"/>
          <w:b/>
          <w:sz w:val="32"/>
          <w:szCs w:val="32"/>
          <w:highlight w:val="none"/>
          <w:u w:val="single"/>
          <w:lang w:eastAsia="zh-CN"/>
        </w:rPr>
      </w:pPr>
      <w:r>
        <w:rPr>
          <w:rFonts w:hint="eastAsia" w:hAnsi="宋体"/>
          <w:b/>
          <w:sz w:val="32"/>
          <w:szCs w:val="32"/>
          <w:highlight w:val="none"/>
        </w:rPr>
        <w:t>采   购   人：</w:t>
      </w:r>
      <w:r>
        <w:rPr>
          <w:rFonts w:hint="eastAsia" w:hAnsi="宋体"/>
          <w:b/>
          <w:sz w:val="32"/>
          <w:szCs w:val="32"/>
          <w:highlight w:val="none"/>
          <w:lang w:eastAsia="zh-CN"/>
        </w:rPr>
        <w:t>邵阳市</w:t>
      </w:r>
      <w:r>
        <w:rPr>
          <w:rFonts w:hint="eastAsia" w:hAnsi="宋体"/>
          <w:b/>
          <w:sz w:val="32"/>
          <w:szCs w:val="32"/>
          <w:highlight w:val="none"/>
          <w:u w:val="single"/>
          <w:lang w:eastAsia="zh-CN"/>
        </w:rPr>
        <w:t>大祥区教育局</w:t>
      </w:r>
    </w:p>
    <w:p w14:paraId="537EABB7">
      <w:pPr>
        <w:adjustRightInd w:val="0"/>
        <w:snapToGrid w:val="0"/>
        <w:spacing w:line="360" w:lineRule="auto"/>
        <w:ind w:firstLine="1124" w:firstLineChars="350"/>
        <w:rPr>
          <w:rFonts w:ascii="宋体"/>
          <w:b/>
          <w:sz w:val="32"/>
          <w:szCs w:val="21"/>
          <w:highlight w:val="none"/>
        </w:rPr>
      </w:pPr>
      <w:r>
        <w:rPr>
          <w:rFonts w:hint="eastAsia" w:ascii="宋体"/>
          <w:b/>
          <w:sz w:val="32"/>
          <w:szCs w:val="21"/>
          <w:highlight w:val="none"/>
        </w:rPr>
        <w:t>采购代理机构：</w:t>
      </w:r>
      <w:r>
        <w:rPr>
          <w:rFonts w:hint="eastAsia" w:hAnsi="宋体"/>
          <w:b/>
          <w:sz w:val="32"/>
          <w:szCs w:val="32"/>
          <w:highlight w:val="none"/>
          <w:u w:val="single"/>
        </w:rPr>
        <w:t>邵阳市政府采购中心</w:t>
      </w:r>
    </w:p>
    <w:p w14:paraId="6B2AAED2">
      <w:pPr>
        <w:pStyle w:val="23"/>
        <w:adjustRightInd w:val="0"/>
        <w:snapToGrid w:val="0"/>
        <w:spacing w:line="360" w:lineRule="auto"/>
        <w:jc w:val="center"/>
        <w:rPr>
          <w:rFonts w:hAnsi="宋体"/>
          <w:bCs/>
          <w:sz w:val="32"/>
          <w:szCs w:val="32"/>
          <w:highlight w:val="none"/>
        </w:rPr>
      </w:pPr>
    </w:p>
    <w:p w14:paraId="0976C4E3">
      <w:pPr>
        <w:pStyle w:val="23"/>
        <w:adjustRightInd w:val="0"/>
        <w:snapToGrid w:val="0"/>
        <w:spacing w:line="240" w:lineRule="atLeast"/>
        <w:jc w:val="center"/>
        <w:rPr>
          <w:rFonts w:hAnsi="宋体"/>
          <w:bCs/>
          <w:sz w:val="32"/>
          <w:szCs w:val="32"/>
          <w:highlight w:val="none"/>
        </w:rPr>
      </w:pPr>
    </w:p>
    <w:p w14:paraId="2224DFFA">
      <w:pPr>
        <w:pStyle w:val="23"/>
        <w:adjustRightInd w:val="0"/>
        <w:snapToGrid w:val="0"/>
        <w:spacing w:line="240" w:lineRule="atLeast"/>
        <w:jc w:val="center"/>
        <w:rPr>
          <w:rFonts w:hAnsi="宋体"/>
          <w:bCs/>
          <w:sz w:val="32"/>
          <w:szCs w:val="32"/>
          <w:highlight w:val="none"/>
        </w:rPr>
      </w:pPr>
    </w:p>
    <w:p w14:paraId="1C951EA2">
      <w:pPr>
        <w:pStyle w:val="23"/>
        <w:adjustRightInd w:val="0"/>
        <w:snapToGrid w:val="0"/>
        <w:spacing w:line="240" w:lineRule="atLeast"/>
        <w:jc w:val="center"/>
        <w:rPr>
          <w:rFonts w:hAnsi="宋体"/>
          <w:bCs/>
          <w:sz w:val="32"/>
          <w:szCs w:val="32"/>
          <w:highlight w:val="none"/>
        </w:rPr>
      </w:pPr>
    </w:p>
    <w:p w14:paraId="543C8908">
      <w:pPr>
        <w:pStyle w:val="23"/>
        <w:adjustRightInd w:val="0"/>
        <w:snapToGrid w:val="0"/>
        <w:spacing w:line="240" w:lineRule="atLeast"/>
        <w:jc w:val="center"/>
        <w:rPr>
          <w:rFonts w:hAnsi="宋体"/>
          <w:b/>
          <w:bCs/>
          <w:sz w:val="32"/>
          <w:szCs w:val="32"/>
          <w:highlight w:val="none"/>
        </w:rPr>
      </w:pPr>
      <w:r>
        <w:rPr>
          <w:rFonts w:hint="eastAsia" w:hAnsi="宋体"/>
          <w:b/>
          <w:sz w:val="32"/>
          <w:highlight w:val="none"/>
        </w:rPr>
        <w:t>202</w:t>
      </w:r>
      <w:r>
        <w:rPr>
          <w:rFonts w:hint="eastAsia" w:hAnsi="宋体"/>
          <w:b/>
          <w:sz w:val="32"/>
          <w:highlight w:val="none"/>
          <w:lang w:val="en-US" w:eastAsia="zh-CN"/>
        </w:rPr>
        <w:t>6</w:t>
      </w:r>
      <w:r>
        <w:rPr>
          <w:rFonts w:hint="eastAsia" w:hAnsi="宋体"/>
          <w:b/>
          <w:sz w:val="32"/>
          <w:highlight w:val="none"/>
        </w:rPr>
        <w:t>年</w:t>
      </w:r>
      <w:r>
        <w:rPr>
          <w:rFonts w:hint="eastAsia" w:hAnsi="宋体"/>
          <w:b/>
          <w:sz w:val="32"/>
          <w:highlight w:val="none"/>
          <w:lang w:val="en-US" w:eastAsia="zh-CN"/>
        </w:rPr>
        <w:t>7</w:t>
      </w:r>
      <w:r>
        <w:rPr>
          <w:rFonts w:hint="eastAsia" w:hAnsi="宋体"/>
          <w:b/>
          <w:sz w:val="32"/>
          <w:highlight w:val="none"/>
        </w:rPr>
        <w:t>月</w:t>
      </w:r>
    </w:p>
    <w:p w14:paraId="58EC5771">
      <w:pPr>
        <w:pStyle w:val="23"/>
        <w:adjustRightInd w:val="0"/>
        <w:snapToGrid w:val="0"/>
        <w:spacing w:line="240" w:lineRule="atLeast"/>
        <w:jc w:val="center"/>
        <w:rPr>
          <w:rFonts w:hAnsi="宋体"/>
          <w:b/>
          <w:bCs/>
          <w:sz w:val="32"/>
          <w:szCs w:val="32"/>
          <w:highlight w:val="none"/>
        </w:rPr>
        <w:sectPr>
          <w:headerReference r:id="rId3" w:type="default"/>
          <w:pgSz w:w="11906" w:h="16838"/>
          <w:pgMar w:top="1440" w:right="1588" w:bottom="1440" w:left="1588" w:header="851" w:footer="992" w:gutter="0"/>
          <w:pgBorders>
            <w:top w:val="none" w:sz="0" w:space="0"/>
            <w:left w:val="none" w:sz="0" w:space="0"/>
            <w:bottom w:val="none" w:sz="0" w:space="0"/>
            <w:right w:val="none" w:sz="0" w:space="0"/>
          </w:pgBorders>
          <w:cols w:space="720" w:num="1"/>
          <w:docGrid w:type="lines" w:linePitch="312" w:charSpace="0"/>
        </w:sectPr>
      </w:pPr>
    </w:p>
    <w:p w14:paraId="1E77FCBA">
      <w:pPr>
        <w:pStyle w:val="23"/>
        <w:adjustRightInd w:val="0"/>
        <w:snapToGrid w:val="0"/>
        <w:spacing w:line="360" w:lineRule="auto"/>
        <w:jc w:val="center"/>
        <w:rPr>
          <w:rFonts w:ascii="华文中宋" w:hAnsi="华文中宋" w:eastAsia="华文中宋"/>
          <w:b/>
          <w:spacing w:val="160"/>
          <w:sz w:val="36"/>
          <w:szCs w:val="36"/>
          <w:highlight w:val="none"/>
        </w:rPr>
      </w:pPr>
      <w:r>
        <w:rPr>
          <w:rFonts w:hint="eastAsia" w:ascii="华文中宋" w:hAnsi="华文中宋" w:eastAsia="华文中宋"/>
          <w:b/>
          <w:spacing w:val="160"/>
          <w:sz w:val="36"/>
          <w:szCs w:val="36"/>
          <w:highlight w:val="none"/>
        </w:rPr>
        <w:t>目录</w:t>
      </w:r>
    </w:p>
    <w:p w14:paraId="539D788F">
      <w:pPr>
        <w:pStyle w:val="30"/>
        <w:tabs>
          <w:tab w:val="right" w:leader="dot" w:pos="8844"/>
        </w:tabs>
      </w:pPr>
      <w:r>
        <w:rPr>
          <w:rStyle w:val="46"/>
          <w:b w:val="0"/>
          <w:highlight w:val="none"/>
        </w:rPr>
        <w:fldChar w:fldCharType="begin"/>
      </w:r>
      <w:r>
        <w:rPr>
          <w:rStyle w:val="46"/>
          <w:b w:val="0"/>
          <w:highlight w:val="none"/>
        </w:rPr>
        <w:instrText xml:space="preserve"> TOC \o "1-4" \h \z \u </w:instrText>
      </w:r>
      <w:r>
        <w:rPr>
          <w:rStyle w:val="46"/>
          <w:b w:val="0"/>
          <w:highlight w:val="none"/>
        </w:rPr>
        <w:fldChar w:fldCharType="separate"/>
      </w:r>
      <w:r>
        <w:rPr>
          <w:highlight w:val="none"/>
        </w:rPr>
        <w:fldChar w:fldCharType="begin"/>
      </w:r>
      <w:r>
        <w:rPr>
          <w:highlight w:val="none"/>
        </w:rPr>
        <w:instrText xml:space="preserve"> HYPERLINK \l _Toc3270 </w:instrText>
      </w:r>
      <w:r>
        <w:rPr>
          <w:highlight w:val="none"/>
        </w:rPr>
        <w:fldChar w:fldCharType="separate"/>
      </w:r>
      <w:r>
        <w:rPr>
          <w:rFonts w:hint="eastAsia" w:ascii="黑体" w:hAnsi="华文中宋" w:eastAsia="黑体"/>
          <w:szCs w:val="32"/>
          <w:highlight w:val="none"/>
        </w:rPr>
        <w:t>第一章 投标邀请（公开招标）</w:t>
      </w:r>
      <w:r>
        <w:tab/>
      </w:r>
      <w:r>
        <w:fldChar w:fldCharType="begin"/>
      </w:r>
      <w:r>
        <w:instrText xml:space="preserve"> PAGEREF _Toc3270 \h </w:instrText>
      </w:r>
      <w:r>
        <w:fldChar w:fldCharType="separate"/>
      </w:r>
      <w:r>
        <w:t>2</w:t>
      </w:r>
      <w:r>
        <w:fldChar w:fldCharType="end"/>
      </w:r>
      <w:r>
        <w:rPr>
          <w:highlight w:val="none"/>
        </w:rPr>
        <w:fldChar w:fldCharType="end"/>
      </w:r>
    </w:p>
    <w:p w14:paraId="718AF4CE">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_Toc14706 </w:instrText>
      </w:r>
      <w:r>
        <w:rPr>
          <w:rFonts w:cs="Times New Roman" w:asciiTheme="minorEastAsia" w:hAnsiTheme="minorEastAsia" w:eastAsiaTheme="minorEastAsia"/>
          <w:highlight w:val="none"/>
        </w:rPr>
        <w:fldChar w:fldCharType="separate"/>
      </w:r>
      <w:r>
        <w:rPr>
          <w:rFonts w:hint="eastAsia" w:ascii="黑体" w:hAnsi="华文中宋" w:eastAsia="黑体"/>
          <w:szCs w:val="32"/>
          <w:highlight w:val="none"/>
        </w:rPr>
        <w:t>第二章 投标须知</w:t>
      </w:r>
      <w:r>
        <w:tab/>
      </w:r>
      <w:r>
        <w:fldChar w:fldCharType="begin"/>
      </w:r>
      <w:r>
        <w:instrText xml:space="preserve"> PAGEREF _Toc14706 \h </w:instrText>
      </w:r>
      <w:r>
        <w:fldChar w:fldCharType="separate"/>
      </w:r>
      <w:r>
        <w:t>6</w:t>
      </w:r>
      <w:r>
        <w:fldChar w:fldCharType="end"/>
      </w:r>
      <w:r>
        <w:rPr>
          <w:rFonts w:cs="Times New Roman" w:asciiTheme="minorEastAsia" w:hAnsiTheme="minorEastAsia" w:eastAsiaTheme="minorEastAsia"/>
          <w:highlight w:val="none"/>
        </w:rPr>
        <w:fldChar w:fldCharType="end"/>
      </w:r>
    </w:p>
    <w:p w14:paraId="23F09658">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_Toc22020 </w:instrText>
      </w:r>
      <w:r>
        <w:rPr>
          <w:rFonts w:cs="Times New Roman" w:asciiTheme="minorEastAsia" w:hAnsiTheme="minorEastAsia" w:eastAsiaTheme="minorEastAsia"/>
          <w:highlight w:val="none"/>
        </w:rPr>
        <w:fldChar w:fldCharType="separate"/>
      </w:r>
      <w:r>
        <w:rPr>
          <w:rFonts w:hint="eastAsia" w:ascii="黑体" w:hAnsi="华文中宋" w:eastAsia="黑体"/>
          <w:szCs w:val="28"/>
          <w:highlight w:val="none"/>
        </w:rPr>
        <w:t>第一节投标须知前附表</w:t>
      </w:r>
      <w:r>
        <w:tab/>
      </w:r>
      <w:r>
        <w:fldChar w:fldCharType="begin"/>
      </w:r>
      <w:r>
        <w:instrText xml:space="preserve"> PAGEREF _Toc22020 \h </w:instrText>
      </w:r>
      <w:r>
        <w:fldChar w:fldCharType="separate"/>
      </w:r>
      <w:r>
        <w:t>6</w:t>
      </w:r>
      <w:r>
        <w:fldChar w:fldCharType="end"/>
      </w:r>
      <w:r>
        <w:rPr>
          <w:rFonts w:cs="Times New Roman" w:asciiTheme="minorEastAsia" w:hAnsiTheme="minorEastAsia" w:eastAsiaTheme="minorEastAsia"/>
          <w:highlight w:val="none"/>
        </w:rPr>
        <w:fldChar w:fldCharType="end"/>
      </w:r>
    </w:p>
    <w:p w14:paraId="034D9654">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_Toc30785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第二节  投标须知</w:t>
      </w:r>
      <w:r>
        <w:tab/>
      </w:r>
      <w:r>
        <w:fldChar w:fldCharType="begin"/>
      </w:r>
      <w:r>
        <w:instrText xml:space="preserve"> PAGEREF _Toc30785 \h </w:instrText>
      </w:r>
      <w:r>
        <w:fldChar w:fldCharType="separate"/>
      </w:r>
      <w:r>
        <w:t>12</w:t>
      </w:r>
      <w:r>
        <w:fldChar w:fldCharType="end"/>
      </w:r>
      <w:r>
        <w:rPr>
          <w:rFonts w:cs="Times New Roman" w:asciiTheme="minorEastAsia" w:hAnsiTheme="minorEastAsia" w:eastAsiaTheme="minorEastAsia"/>
          <w:highlight w:val="none"/>
        </w:rPr>
        <w:fldChar w:fldCharType="end"/>
      </w:r>
    </w:p>
    <w:p w14:paraId="43DD47B2">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_Toc19103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一、总则</w:t>
      </w:r>
      <w:r>
        <w:tab/>
      </w:r>
      <w:r>
        <w:fldChar w:fldCharType="begin"/>
      </w:r>
      <w:r>
        <w:instrText xml:space="preserve"> PAGEREF _Toc19103 \h </w:instrText>
      </w:r>
      <w:r>
        <w:fldChar w:fldCharType="separate"/>
      </w:r>
      <w:r>
        <w:t>12</w:t>
      </w:r>
      <w:r>
        <w:fldChar w:fldCharType="end"/>
      </w:r>
      <w:r>
        <w:rPr>
          <w:rFonts w:cs="Times New Roman" w:asciiTheme="minorEastAsia" w:hAnsiTheme="minorEastAsia" w:eastAsiaTheme="minorEastAsia"/>
          <w:highlight w:val="none"/>
        </w:rPr>
        <w:fldChar w:fldCharType="end"/>
      </w:r>
    </w:p>
    <w:p w14:paraId="63ABF15F">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_Toc1397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二、招标文件</w:t>
      </w:r>
      <w:r>
        <w:tab/>
      </w:r>
      <w:r>
        <w:fldChar w:fldCharType="begin"/>
      </w:r>
      <w:r>
        <w:instrText xml:space="preserve"> PAGEREF _Toc1397 \h </w:instrText>
      </w:r>
      <w:r>
        <w:fldChar w:fldCharType="separate"/>
      </w:r>
      <w:r>
        <w:t>13</w:t>
      </w:r>
      <w:r>
        <w:fldChar w:fldCharType="end"/>
      </w:r>
      <w:r>
        <w:rPr>
          <w:rFonts w:cs="Times New Roman" w:asciiTheme="minorEastAsia" w:hAnsiTheme="minorEastAsia" w:eastAsiaTheme="minorEastAsia"/>
          <w:highlight w:val="none"/>
        </w:rPr>
        <w:fldChar w:fldCharType="end"/>
      </w:r>
    </w:p>
    <w:p w14:paraId="70D689EB">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_Toc26516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三、投标文件</w:t>
      </w:r>
      <w:r>
        <w:tab/>
      </w:r>
      <w:r>
        <w:fldChar w:fldCharType="begin"/>
      </w:r>
      <w:r>
        <w:instrText xml:space="preserve"> PAGEREF _Toc26516 \h </w:instrText>
      </w:r>
      <w:r>
        <w:fldChar w:fldCharType="separate"/>
      </w:r>
      <w:r>
        <w:t>14</w:t>
      </w:r>
      <w:r>
        <w:fldChar w:fldCharType="end"/>
      </w:r>
      <w:r>
        <w:rPr>
          <w:rFonts w:cs="Times New Roman" w:asciiTheme="minorEastAsia" w:hAnsiTheme="minorEastAsia" w:eastAsiaTheme="minorEastAsia"/>
          <w:highlight w:val="none"/>
        </w:rPr>
        <w:fldChar w:fldCharType="end"/>
      </w:r>
    </w:p>
    <w:p w14:paraId="690AE2AF">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_Toc20483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四、投标</w:t>
      </w:r>
      <w:r>
        <w:tab/>
      </w:r>
      <w:r>
        <w:fldChar w:fldCharType="begin"/>
      </w:r>
      <w:r>
        <w:instrText xml:space="preserve"> PAGEREF _Toc20483 \h </w:instrText>
      </w:r>
      <w:r>
        <w:fldChar w:fldCharType="separate"/>
      </w:r>
      <w:r>
        <w:t>18</w:t>
      </w:r>
      <w:r>
        <w:fldChar w:fldCharType="end"/>
      </w:r>
      <w:r>
        <w:rPr>
          <w:rFonts w:cs="Times New Roman" w:asciiTheme="minorEastAsia" w:hAnsiTheme="minorEastAsia" w:eastAsiaTheme="minorEastAsia"/>
          <w:highlight w:val="none"/>
        </w:rPr>
        <w:fldChar w:fldCharType="end"/>
      </w:r>
    </w:p>
    <w:p w14:paraId="721E21DF">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_Toc22086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五、开标，资格审查和评标</w:t>
      </w:r>
      <w:r>
        <w:tab/>
      </w:r>
      <w:r>
        <w:fldChar w:fldCharType="begin"/>
      </w:r>
      <w:r>
        <w:instrText xml:space="preserve"> PAGEREF _Toc22086 \h </w:instrText>
      </w:r>
      <w:r>
        <w:fldChar w:fldCharType="separate"/>
      </w:r>
      <w:r>
        <w:t>19</w:t>
      </w:r>
      <w:r>
        <w:fldChar w:fldCharType="end"/>
      </w:r>
      <w:r>
        <w:rPr>
          <w:rFonts w:cs="Times New Roman" w:asciiTheme="minorEastAsia" w:hAnsiTheme="minorEastAsia" w:eastAsiaTheme="minorEastAsia"/>
          <w:highlight w:val="none"/>
        </w:rPr>
        <w:fldChar w:fldCharType="end"/>
      </w:r>
    </w:p>
    <w:p w14:paraId="1D3DAA20">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_Toc248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六、中标信息公布</w:t>
      </w:r>
      <w:r>
        <w:tab/>
      </w:r>
      <w:r>
        <w:fldChar w:fldCharType="begin"/>
      </w:r>
      <w:r>
        <w:instrText xml:space="preserve"> PAGEREF _Toc248 \h </w:instrText>
      </w:r>
      <w:r>
        <w:fldChar w:fldCharType="separate"/>
      </w:r>
      <w:r>
        <w:t>21</w:t>
      </w:r>
      <w:r>
        <w:fldChar w:fldCharType="end"/>
      </w:r>
      <w:r>
        <w:rPr>
          <w:rFonts w:cs="Times New Roman" w:asciiTheme="minorEastAsia" w:hAnsiTheme="minorEastAsia" w:eastAsiaTheme="minorEastAsia"/>
          <w:highlight w:val="none"/>
        </w:rPr>
        <w:fldChar w:fldCharType="end"/>
      </w:r>
    </w:p>
    <w:p w14:paraId="37FD967F">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_Toc5087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七、合同签订</w:t>
      </w:r>
      <w:r>
        <w:tab/>
      </w:r>
      <w:r>
        <w:fldChar w:fldCharType="begin"/>
      </w:r>
      <w:r>
        <w:instrText xml:space="preserve"> PAGEREF _Toc5087 \h </w:instrText>
      </w:r>
      <w:r>
        <w:fldChar w:fldCharType="separate"/>
      </w:r>
      <w:r>
        <w:t>21</w:t>
      </w:r>
      <w:r>
        <w:fldChar w:fldCharType="end"/>
      </w:r>
      <w:r>
        <w:rPr>
          <w:rFonts w:cs="Times New Roman" w:asciiTheme="minorEastAsia" w:hAnsiTheme="minorEastAsia" w:eastAsiaTheme="minorEastAsia"/>
          <w:highlight w:val="none"/>
        </w:rPr>
        <w:fldChar w:fldCharType="end"/>
      </w:r>
    </w:p>
    <w:p w14:paraId="311C5699">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_Toc32741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八、政府采购政策</w:t>
      </w:r>
      <w:r>
        <w:tab/>
      </w:r>
      <w:r>
        <w:fldChar w:fldCharType="begin"/>
      </w:r>
      <w:r>
        <w:instrText xml:space="preserve"> PAGEREF _Toc32741 \h </w:instrText>
      </w:r>
      <w:r>
        <w:fldChar w:fldCharType="separate"/>
      </w:r>
      <w:r>
        <w:t>22</w:t>
      </w:r>
      <w:r>
        <w:fldChar w:fldCharType="end"/>
      </w:r>
      <w:r>
        <w:rPr>
          <w:rFonts w:cs="Times New Roman" w:asciiTheme="minorEastAsia" w:hAnsiTheme="minorEastAsia" w:eastAsiaTheme="minorEastAsia"/>
          <w:highlight w:val="none"/>
        </w:rPr>
        <w:fldChar w:fldCharType="end"/>
      </w:r>
    </w:p>
    <w:p w14:paraId="20959D62">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_Toc29837 </w:instrText>
      </w:r>
      <w:r>
        <w:rPr>
          <w:rFonts w:cs="Times New Roman" w:asciiTheme="minorEastAsia" w:hAnsiTheme="minorEastAsia" w:eastAsiaTheme="minorEastAsia"/>
          <w:highlight w:val="none"/>
        </w:rPr>
        <w:fldChar w:fldCharType="separate"/>
      </w:r>
      <w:r>
        <w:rPr>
          <w:rFonts w:hint="eastAsia" w:ascii="黑体" w:hAnsi="黑体" w:eastAsia="黑体"/>
          <w:szCs w:val="28"/>
          <w:highlight w:val="none"/>
        </w:rPr>
        <w:t>九、其他规定</w:t>
      </w:r>
      <w:r>
        <w:tab/>
      </w:r>
      <w:r>
        <w:fldChar w:fldCharType="begin"/>
      </w:r>
      <w:r>
        <w:instrText xml:space="preserve"> PAGEREF _Toc29837 \h </w:instrText>
      </w:r>
      <w:r>
        <w:fldChar w:fldCharType="separate"/>
      </w:r>
      <w:r>
        <w:t>24</w:t>
      </w:r>
      <w:r>
        <w:fldChar w:fldCharType="end"/>
      </w:r>
      <w:r>
        <w:rPr>
          <w:rFonts w:cs="Times New Roman" w:asciiTheme="minorEastAsia" w:hAnsiTheme="minorEastAsia" w:eastAsiaTheme="minorEastAsia"/>
          <w:highlight w:val="none"/>
        </w:rPr>
        <w:fldChar w:fldCharType="end"/>
      </w:r>
    </w:p>
    <w:p w14:paraId="3B0703AE">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_Toc14235 </w:instrText>
      </w:r>
      <w:r>
        <w:rPr>
          <w:rFonts w:cs="Times New Roman" w:asciiTheme="minorEastAsia" w:hAnsiTheme="minorEastAsia" w:eastAsiaTheme="minorEastAsia"/>
          <w:highlight w:val="none"/>
        </w:rPr>
        <w:fldChar w:fldCharType="separate"/>
      </w:r>
      <w:r>
        <w:rPr>
          <w:rFonts w:hint="eastAsia" w:ascii="黑体" w:hAnsi="黑体" w:eastAsia="黑体"/>
          <w:szCs w:val="32"/>
          <w:highlight w:val="none"/>
        </w:rPr>
        <w:t>第三章 资格审查</w:t>
      </w:r>
      <w:r>
        <w:tab/>
      </w:r>
      <w:r>
        <w:fldChar w:fldCharType="begin"/>
      </w:r>
      <w:r>
        <w:instrText xml:space="preserve"> PAGEREF _Toc14235 \h </w:instrText>
      </w:r>
      <w:r>
        <w:fldChar w:fldCharType="separate"/>
      </w:r>
      <w:r>
        <w:t>26</w:t>
      </w:r>
      <w:r>
        <w:fldChar w:fldCharType="end"/>
      </w:r>
      <w:r>
        <w:rPr>
          <w:rFonts w:cs="Times New Roman" w:asciiTheme="minorEastAsia" w:hAnsiTheme="minorEastAsia" w:eastAsiaTheme="minorEastAsia"/>
          <w:highlight w:val="none"/>
        </w:rPr>
        <w:fldChar w:fldCharType="end"/>
      </w:r>
    </w:p>
    <w:p w14:paraId="042FF6EE">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_Toc27089 </w:instrText>
      </w:r>
      <w:r>
        <w:rPr>
          <w:rFonts w:cs="Times New Roman" w:asciiTheme="minorEastAsia" w:hAnsiTheme="minorEastAsia" w:eastAsiaTheme="minorEastAsia"/>
          <w:highlight w:val="none"/>
        </w:rPr>
        <w:fldChar w:fldCharType="separate"/>
      </w:r>
      <w:r>
        <w:rPr>
          <w:rFonts w:hint="eastAsia" w:ascii="黑体" w:hAnsi="华文中宋" w:eastAsia="黑体"/>
          <w:szCs w:val="32"/>
          <w:highlight w:val="none"/>
        </w:rPr>
        <w:t>第四章 评标方法及标准</w:t>
      </w:r>
      <w:r>
        <w:tab/>
      </w:r>
      <w:r>
        <w:fldChar w:fldCharType="begin"/>
      </w:r>
      <w:r>
        <w:instrText xml:space="preserve"> PAGEREF _Toc27089 \h </w:instrText>
      </w:r>
      <w:r>
        <w:fldChar w:fldCharType="separate"/>
      </w:r>
      <w:r>
        <w:t>29</w:t>
      </w:r>
      <w:r>
        <w:fldChar w:fldCharType="end"/>
      </w:r>
      <w:r>
        <w:rPr>
          <w:rFonts w:cs="Times New Roman" w:asciiTheme="minorEastAsia" w:hAnsiTheme="minorEastAsia" w:eastAsiaTheme="minorEastAsia"/>
          <w:highlight w:val="none"/>
        </w:rPr>
        <w:fldChar w:fldCharType="end"/>
      </w:r>
    </w:p>
    <w:p w14:paraId="7ED7AF14">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_Toc1468 </w:instrText>
      </w:r>
      <w:r>
        <w:rPr>
          <w:rFonts w:cs="Times New Roman" w:asciiTheme="minorEastAsia" w:hAnsiTheme="minorEastAsia" w:eastAsiaTheme="minorEastAsia"/>
          <w:highlight w:val="none"/>
        </w:rPr>
        <w:fldChar w:fldCharType="separate"/>
      </w:r>
      <w:r>
        <w:rPr>
          <w:rFonts w:hint="eastAsia" w:ascii="黑体" w:hAnsi="华文中宋" w:eastAsia="黑体"/>
          <w:szCs w:val="28"/>
          <w:highlight w:val="none"/>
        </w:rPr>
        <w:t>第一节  评标方法及标准前附表</w:t>
      </w:r>
      <w:r>
        <w:tab/>
      </w:r>
      <w:r>
        <w:fldChar w:fldCharType="begin"/>
      </w:r>
      <w:r>
        <w:instrText xml:space="preserve"> PAGEREF _Toc1468 \h </w:instrText>
      </w:r>
      <w:r>
        <w:fldChar w:fldCharType="separate"/>
      </w:r>
      <w:r>
        <w:t>29</w:t>
      </w:r>
      <w:r>
        <w:fldChar w:fldCharType="end"/>
      </w:r>
      <w:r>
        <w:rPr>
          <w:rFonts w:cs="Times New Roman" w:asciiTheme="minorEastAsia" w:hAnsiTheme="minorEastAsia" w:eastAsiaTheme="minorEastAsia"/>
          <w:highlight w:val="none"/>
        </w:rPr>
        <w:fldChar w:fldCharType="end"/>
      </w:r>
    </w:p>
    <w:p w14:paraId="6D6BAA5A">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_Toc27718 </w:instrText>
      </w:r>
      <w:r>
        <w:rPr>
          <w:rFonts w:cs="Times New Roman" w:asciiTheme="minorEastAsia" w:hAnsiTheme="minorEastAsia" w:eastAsiaTheme="minorEastAsia"/>
          <w:highlight w:val="none"/>
        </w:rPr>
        <w:fldChar w:fldCharType="separate"/>
      </w:r>
      <w:r>
        <w:rPr>
          <w:rFonts w:hint="eastAsia" w:ascii="黑体" w:hAnsi="华文中宋" w:eastAsia="黑体"/>
          <w:szCs w:val="28"/>
          <w:highlight w:val="none"/>
        </w:rPr>
        <w:t>第二节 评标方法及标准</w:t>
      </w:r>
      <w:r>
        <w:tab/>
      </w:r>
      <w:r>
        <w:fldChar w:fldCharType="begin"/>
      </w:r>
      <w:r>
        <w:instrText xml:space="preserve"> PAGEREF _Toc27718 \h </w:instrText>
      </w:r>
      <w:r>
        <w:fldChar w:fldCharType="separate"/>
      </w:r>
      <w:r>
        <w:t>32</w:t>
      </w:r>
      <w:r>
        <w:fldChar w:fldCharType="end"/>
      </w:r>
      <w:r>
        <w:rPr>
          <w:rFonts w:cs="Times New Roman" w:asciiTheme="minorEastAsia" w:hAnsiTheme="minorEastAsia" w:eastAsiaTheme="minorEastAsia"/>
          <w:highlight w:val="none"/>
        </w:rPr>
        <w:fldChar w:fldCharType="end"/>
      </w:r>
    </w:p>
    <w:p w14:paraId="2CF2AF05">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_Toc21491 </w:instrText>
      </w:r>
      <w:r>
        <w:rPr>
          <w:rFonts w:cs="Times New Roman" w:asciiTheme="minorEastAsia" w:hAnsiTheme="minorEastAsia" w:eastAsiaTheme="minorEastAsia"/>
          <w:highlight w:val="none"/>
        </w:rPr>
        <w:fldChar w:fldCharType="separate"/>
      </w:r>
      <w:r>
        <w:rPr>
          <w:rFonts w:hint="eastAsia" w:ascii="黑体" w:hAnsi="华文中宋" w:eastAsia="黑体"/>
          <w:szCs w:val="28"/>
          <w:highlight w:val="none"/>
        </w:rPr>
        <w:t>第三节 投标文件的符合性审查</w:t>
      </w:r>
      <w:r>
        <w:tab/>
      </w:r>
      <w:r>
        <w:fldChar w:fldCharType="begin"/>
      </w:r>
      <w:r>
        <w:instrText xml:space="preserve"> PAGEREF _Toc21491 \h </w:instrText>
      </w:r>
      <w:r>
        <w:fldChar w:fldCharType="separate"/>
      </w:r>
      <w:r>
        <w:t>36</w:t>
      </w:r>
      <w:r>
        <w:fldChar w:fldCharType="end"/>
      </w:r>
      <w:r>
        <w:rPr>
          <w:rFonts w:cs="Times New Roman" w:asciiTheme="minorEastAsia" w:hAnsiTheme="minorEastAsia" w:eastAsiaTheme="minorEastAsia"/>
          <w:highlight w:val="none"/>
        </w:rPr>
        <w:fldChar w:fldCharType="end"/>
      </w:r>
    </w:p>
    <w:p w14:paraId="0BFE917C">
      <w:pPr>
        <w:pStyle w:val="22"/>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_Toc11392 </w:instrText>
      </w:r>
      <w:r>
        <w:rPr>
          <w:rFonts w:cs="Times New Roman" w:asciiTheme="minorEastAsia" w:hAnsiTheme="minorEastAsia" w:eastAsiaTheme="minorEastAsia"/>
          <w:highlight w:val="none"/>
        </w:rPr>
        <w:fldChar w:fldCharType="separate"/>
      </w:r>
      <w:r>
        <w:rPr>
          <w:rFonts w:hint="eastAsia" w:ascii="宋体" w:hAnsi="宋体" w:eastAsia="宋体" w:cs="宋体"/>
          <w:bCs/>
          <w:i w:val="0"/>
          <w:iCs w:val="0"/>
          <w:spacing w:val="0"/>
          <w:w w:val="100"/>
          <w:szCs w:val="21"/>
          <w:vertAlign w:val="baseline"/>
        </w:rPr>
        <w:t>附页1 评标方法及标准表</w:t>
      </w:r>
      <w:r>
        <w:tab/>
      </w:r>
      <w:r>
        <w:fldChar w:fldCharType="begin"/>
      </w:r>
      <w:r>
        <w:instrText xml:space="preserve"> PAGEREF _Toc11392 \h </w:instrText>
      </w:r>
      <w:r>
        <w:fldChar w:fldCharType="separate"/>
      </w:r>
      <w:r>
        <w:t>41</w:t>
      </w:r>
      <w:r>
        <w:fldChar w:fldCharType="end"/>
      </w:r>
      <w:r>
        <w:rPr>
          <w:rFonts w:cs="Times New Roman" w:asciiTheme="minorEastAsia" w:hAnsiTheme="minorEastAsia" w:eastAsiaTheme="minorEastAsia"/>
          <w:highlight w:val="none"/>
        </w:rPr>
        <w:fldChar w:fldCharType="end"/>
      </w:r>
    </w:p>
    <w:p w14:paraId="2B1F424E">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_Toc4046 </w:instrText>
      </w:r>
      <w:r>
        <w:rPr>
          <w:rFonts w:cs="Times New Roman" w:asciiTheme="minorEastAsia" w:hAnsiTheme="minorEastAsia" w:eastAsiaTheme="minorEastAsia"/>
          <w:highlight w:val="none"/>
        </w:rPr>
        <w:fldChar w:fldCharType="separate"/>
      </w:r>
      <w:r>
        <w:rPr>
          <w:rFonts w:hint="eastAsia" w:ascii="黑体" w:hAnsi="华文中宋" w:eastAsia="黑体"/>
          <w:szCs w:val="32"/>
          <w:highlight w:val="none"/>
        </w:rPr>
        <w:t>第五章 采购需求</w:t>
      </w:r>
      <w:r>
        <w:tab/>
      </w:r>
      <w:r>
        <w:fldChar w:fldCharType="begin"/>
      </w:r>
      <w:r>
        <w:instrText xml:space="preserve"> PAGEREF _Toc4046 \h </w:instrText>
      </w:r>
      <w:r>
        <w:fldChar w:fldCharType="separate"/>
      </w:r>
      <w:r>
        <w:t>46</w:t>
      </w:r>
      <w:r>
        <w:fldChar w:fldCharType="end"/>
      </w:r>
      <w:r>
        <w:rPr>
          <w:rFonts w:cs="Times New Roman" w:asciiTheme="minorEastAsia" w:hAnsiTheme="minorEastAsia" w:eastAsiaTheme="minorEastAsia"/>
          <w:highlight w:val="none"/>
        </w:rPr>
        <w:fldChar w:fldCharType="end"/>
      </w:r>
    </w:p>
    <w:p w14:paraId="3EC564F4">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_Toc3056 </w:instrText>
      </w:r>
      <w:r>
        <w:rPr>
          <w:rFonts w:cs="Times New Roman" w:asciiTheme="minorEastAsia" w:hAnsiTheme="minorEastAsia" w:eastAsiaTheme="minorEastAsia"/>
          <w:highlight w:val="none"/>
        </w:rPr>
        <w:fldChar w:fldCharType="separate"/>
      </w:r>
      <w:r>
        <w:rPr>
          <w:rFonts w:hint="eastAsia" w:ascii="宋体" w:hAnsi="宋体" w:eastAsia="宋体" w:cs="宋体"/>
          <w:bCs/>
          <w:kern w:val="2"/>
          <w:szCs w:val="24"/>
          <w:highlight w:val="none"/>
          <w:lang w:val="en-US" w:eastAsia="zh-CN" w:bidi="ar-SA"/>
        </w:rPr>
        <w:t>第一节 项目概述</w:t>
      </w:r>
      <w:r>
        <w:tab/>
      </w:r>
      <w:r>
        <w:fldChar w:fldCharType="begin"/>
      </w:r>
      <w:r>
        <w:instrText xml:space="preserve"> PAGEREF _Toc3056 \h </w:instrText>
      </w:r>
      <w:r>
        <w:fldChar w:fldCharType="separate"/>
      </w:r>
      <w:r>
        <w:t>46</w:t>
      </w:r>
      <w:r>
        <w:fldChar w:fldCharType="end"/>
      </w:r>
      <w:r>
        <w:rPr>
          <w:rFonts w:cs="Times New Roman" w:asciiTheme="minorEastAsia" w:hAnsiTheme="minorEastAsia" w:eastAsiaTheme="minorEastAsia"/>
          <w:highlight w:val="none"/>
        </w:rPr>
        <w:fldChar w:fldCharType="end"/>
      </w:r>
    </w:p>
    <w:p w14:paraId="6C5076EB">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_Toc7828 </w:instrText>
      </w:r>
      <w:r>
        <w:rPr>
          <w:rFonts w:cs="Times New Roman" w:asciiTheme="minorEastAsia" w:hAnsiTheme="minorEastAsia" w:eastAsiaTheme="minorEastAsia"/>
          <w:highlight w:val="none"/>
        </w:rPr>
        <w:fldChar w:fldCharType="separate"/>
      </w:r>
      <w:r>
        <w:rPr>
          <w:rFonts w:hint="eastAsia" w:ascii="宋体" w:hAnsi="宋体" w:eastAsia="宋体" w:cs="宋体"/>
          <w:bCs/>
          <w:kern w:val="2"/>
          <w:szCs w:val="24"/>
          <w:highlight w:val="none"/>
          <w:lang w:val="en-US" w:eastAsia="zh-CN" w:bidi="ar-SA"/>
        </w:rPr>
        <w:t>第二节 技术要求</w:t>
      </w:r>
      <w:r>
        <w:tab/>
      </w:r>
      <w:r>
        <w:fldChar w:fldCharType="begin"/>
      </w:r>
      <w:r>
        <w:instrText xml:space="preserve"> PAGEREF _Toc7828 \h </w:instrText>
      </w:r>
      <w:r>
        <w:fldChar w:fldCharType="separate"/>
      </w:r>
      <w:r>
        <w:t>46</w:t>
      </w:r>
      <w:r>
        <w:fldChar w:fldCharType="end"/>
      </w:r>
      <w:r>
        <w:rPr>
          <w:rFonts w:cs="Times New Roman" w:asciiTheme="minorEastAsia" w:hAnsiTheme="minorEastAsia" w:eastAsiaTheme="minorEastAsia"/>
          <w:highlight w:val="none"/>
        </w:rPr>
        <w:fldChar w:fldCharType="end"/>
      </w:r>
    </w:p>
    <w:p w14:paraId="18A6DFF2">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_Toc9722 </w:instrText>
      </w:r>
      <w:r>
        <w:rPr>
          <w:rFonts w:cs="Times New Roman" w:asciiTheme="minorEastAsia" w:hAnsiTheme="minorEastAsia" w:eastAsiaTheme="minorEastAsia"/>
          <w:highlight w:val="none"/>
        </w:rPr>
        <w:fldChar w:fldCharType="separate"/>
      </w:r>
      <w:r>
        <w:rPr>
          <w:rFonts w:hint="eastAsia" w:ascii="宋体" w:hAnsi="宋体" w:eastAsia="宋体" w:cs="宋体"/>
          <w:bCs/>
          <w:kern w:val="2"/>
          <w:szCs w:val="24"/>
          <w:highlight w:val="none"/>
          <w:lang w:val="en-US" w:eastAsia="zh-CN" w:bidi="ar-SA"/>
        </w:rPr>
        <w:t>第三节 商务要求</w:t>
      </w:r>
      <w:r>
        <w:tab/>
      </w:r>
      <w:r>
        <w:fldChar w:fldCharType="begin"/>
      </w:r>
      <w:r>
        <w:instrText xml:space="preserve"> PAGEREF _Toc9722 \h </w:instrText>
      </w:r>
      <w:r>
        <w:fldChar w:fldCharType="separate"/>
      </w:r>
      <w:r>
        <w:t>211</w:t>
      </w:r>
      <w:r>
        <w:fldChar w:fldCharType="end"/>
      </w:r>
      <w:r>
        <w:rPr>
          <w:rFonts w:cs="Times New Roman" w:asciiTheme="minorEastAsia" w:hAnsiTheme="minorEastAsia" w:eastAsiaTheme="minorEastAsia"/>
          <w:highlight w:val="none"/>
        </w:rPr>
        <w:fldChar w:fldCharType="end"/>
      </w:r>
    </w:p>
    <w:p w14:paraId="2BF499CA">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_Toc5255 </w:instrText>
      </w:r>
      <w:r>
        <w:rPr>
          <w:rFonts w:cs="Times New Roman" w:asciiTheme="minorEastAsia" w:hAnsiTheme="minorEastAsia" w:eastAsiaTheme="minorEastAsia"/>
          <w:highlight w:val="none"/>
        </w:rPr>
        <w:fldChar w:fldCharType="separate"/>
      </w:r>
      <w:r>
        <w:rPr>
          <w:rFonts w:hint="eastAsia" w:ascii="黑体" w:hAnsi="华文中宋" w:eastAsia="黑体"/>
          <w:szCs w:val="32"/>
          <w:highlight w:val="none"/>
        </w:rPr>
        <w:t>第六章 政府采购合同</w:t>
      </w:r>
      <w:r>
        <w:tab/>
      </w:r>
      <w:r>
        <w:fldChar w:fldCharType="begin"/>
      </w:r>
      <w:r>
        <w:instrText xml:space="preserve"> PAGEREF _Toc5255 \h </w:instrText>
      </w:r>
      <w:r>
        <w:fldChar w:fldCharType="separate"/>
      </w:r>
      <w:r>
        <w:t>214</w:t>
      </w:r>
      <w:r>
        <w:fldChar w:fldCharType="end"/>
      </w:r>
      <w:r>
        <w:rPr>
          <w:rFonts w:cs="Times New Roman" w:asciiTheme="minorEastAsia" w:hAnsiTheme="minorEastAsia" w:eastAsiaTheme="minorEastAsia"/>
          <w:highlight w:val="none"/>
        </w:rPr>
        <w:fldChar w:fldCharType="end"/>
      </w:r>
    </w:p>
    <w:p w14:paraId="0F61E884">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_Toc12951 </w:instrText>
      </w:r>
      <w:r>
        <w:rPr>
          <w:rFonts w:cs="Times New Roman" w:asciiTheme="minorEastAsia" w:hAnsiTheme="minorEastAsia" w:eastAsiaTheme="minorEastAsia"/>
          <w:highlight w:val="none"/>
        </w:rPr>
        <w:fldChar w:fldCharType="separate"/>
      </w:r>
      <w:r>
        <w:rPr>
          <w:rFonts w:hint="eastAsia"/>
          <w:highlight w:val="none"/>
        </w:rPr>
        <w:t>第一节 政府采购合同协议书</w:t>
      </w:r>
      <w:r>
        <w:tab/>
      </w:r>
      <w:r>
        <w:fldChar w:fldCharType="begin"/>
      </w:r>
      <w:r>
        <w:instrText xml:space="preserve"> PAGEREF _Toc12951 \h </w:instrText>
      </w:r>
      <w:r>
        <w:fldChar w:fldCharType="separate"/>
      </w:r>
      <w:r>
        <w:t>214</w:t>
      </w:r>
      <w:r>
        <w:fldChar w:fldCharType="end"/>
      </w:r>
      <w:r>
        <w:rPr>
          <w:rFonts w:cs="Times New Roman" w:asciiTheme="minorEastAsia" w:hAnsiTheme="minorEastAsia" w:eastAsiaTheme="minorEastAsia"/>
          <w:highlight w:val="none"/>
        </w:rPr>
        <w:fldChar w:fldCharType="end"/>
      </w:r>
    </w:p>
    <w:p w14:paraId="64988318">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_Toc29551 </w:instrText>
      </w:r>
      <w:r>
        <w:rPr>
          <w:rFonts w:cs="Times New Roman" w:asciiTheme="minorEastAsia" w:hAnsiTheme="minorEastAsia" w:eastAsiaTheme="minorEastAsia"/>
          <w:highlight w:val="none"/>
        </w:rPr>
        <w:fldChar w:fldCharType="separate"/>
      </w:r>
      <w:r>
        <w:rPr>
          <w:rFonts w:hint="eastAsia"/>
          <w:bCs/>
          <w:highlight w:val="none"/>
        </w:rPr>
        <w:t>第二节 政府采购合同通用条款</w:t>
      </w:r>
      <w:r>
        <w:tab/>
      </w:r>
      <w:r>
        <w:fldChar w:fldCharType="begin"/>
      </w:r>
      <w:r>
        <w:instrText xml:space="preserve"> PAGEREF _Toc29551 \h </w:instrText>
      </w:r>
      <w:r>
        <w:fldChar w:fldCharType="separate"/>
      </w:r>
      <w:r>
        <w:t>220</w:t>
      </w:r>
      <w:r>
        <w:fldChar w:fldCharType="end"/>
      </w:r>
      <w:r>
        <w:rPr>
          <w:rFonts w:cs="Times New Roman" w:asciiTheme="minorEastAsia" w:hAnsiTheme="minorEastAsia" w:eastAsiaTheme="minorEastAsia"/>
          <w:highlight w:val="none"/>
        </w:rPr>
        <w:fldChar w:fldCharType="end"/>
      </w:r>
    </w:p>
    <w:p w14:paraId="6276F798">
      <w:pPr>
        <w:pStyle w:val="34"/>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_Toc5952 </w:instrText>
      </w:r>
      <w:r>
        <w:rPr>
          <w:rFonts w:cs="Times New Roman" w:asciiTheme="minorEastAsia" w:hAnsiTheme="minorEastAsia" w:eastAsiaTheme="minorEastAsia"/>
          <w:highlight w:val="none"/>
        </w:rPr>
        <w:fldChar w:fldCharType="separate"/>
      </w:r>
      <w:r>
        <w:rPr>
          <w:rFonts w:hint="eastAsia"/>
          <w:highlight w:val="none"/>
        </w:rPr>
        <w:t>第三节 政府采购合同专用条款</w:t>
      </w:r>
      <w:r>
        <w:tab/>
      </w:r>
      <w:r>
        <w:fldChar w:fldCharType="begin"/>
      </w:r>
      <w:r>
        <w:instrText xml:space="preserve"> PAGEREF _Toc5952 \h </w:instrText>
      </w:r>
      <w:r>
        <w:fldChar w:fldCharType="separate"/>
      </w:r>
      <w:r>
        <w:t>227</w:t>
      </w:r>
      <w:r>
        <w:fldChar w:fldCharType="end"/>
      </w:r>
      <w:r>
        <w:rPr>
          <w:rFonts w:cs="Times New Roman" w:asciiTheme="minorEastAsia" w:hAnsiTheme="minorEastAsia" w:eastAsiaTheme="minorEastAsia"/>
          <w:highlight w:val="none"/>
        </w:rPr>
        <w:fldChar w:fldCharType="end"/>
      </w:r>
    </w:p>
    <w:p w14:paraId="3A28A56A">
      <w:pPr>
        <w:pStyle w:val="30"/>
        <w:tabs>
          <w:tab w:val="right" w:leader="dot" w:pos="8844"/>
        </w:tabs>
      </w:pPr>
      <w:r>
        <w:rPr>
          <w:rFonts w:cs="Times New Roman" w:asciiTheme="minorEastAsia" w:hAnsiTheme="minorEastAsia" w:eastAsiaTheme="minorEastAsia"/>
          <w:highlight w:val="none"/>
        </w:rPr>
        <w:fldChar w:fldCharType="begin"/>
      </w:r>
      <w:r>
        <w:rPr>
          <w:rFonts w:cs="Times New Roman" w:asciiTheme="minorEastAsia" w:hAnsiTheme="minorEastAsia" w:eastAsiaTheme="minorEastAsia"/>
          <w:highlight w:val="none"/>
        </w:rPr>
        <w:instrText xml:space="preserve"> HYPERLINK \l _Toc4718 </w:instrText>
      </w:r>
      <w:r>
        <w:rPr>
          <w:rFonts w:cs="Times New Roman" w:asciiTheme="minorEastAsia" w:hAnsiTheme="minorEastAsia" w:eastAsiaTheme="minorEastAsia"/>
          <w:highlight w:val="none"/>
        </w:rPr>
        <w:fldChar w:fldCharType="separate"/>
      </w:r>
      <w:r>
        <w:rPr>
          <w:rFonts w:hint="eastAsia" w:ascii="黑体" w:hAnsi="华文中宋" w:eastAsia="黑体"/>
          <w:szCs w:val="32"/>
          <w:highlight w:val="none"/>
        </w:rPr>
        <w:t>第七章  投标文件的组成</w:t>
      </w:r>
      <w:r>
        <w:tab/>
      </w:r>
      <w:r>
        <w:fldChar w:fldCharType="begin"/>
      </w:r>
      <w:r>
        <w:instrText xml:space="preserve"> PAGEREF _Toc4718 \h </w:instrText>
      </w:r>
      <w:r>
        <w:fldChar w:fldCharType="separate"/>
      </w:r>
      <w:r>
        <w:t>229</w:t>
      </w:r>
      <w:r>
        <w:fldChar w:fldCharType="end"/>
      </w:r>
      <w:r>
        <w:rPr>
          <w:rFonts w:cs="Times New Roman" w:asciiTheme="minorEastAsia" w:hAnsiTheme="minorEastAsia" w:eastAsiaTheme="minorEastAsia"/>
          <w:highlight w:val="none"/>
        </w:rPr>
        <w:fldChar w:fldCharType="end"/>
      </w:r>
    </w:p>
    <w:p w14:paraId="666CFCD2">
      <w:pPr>
        <w:pStyle w:val="23"/>
        <w:adjustRightInd w:val="0"/>
        <w:snapToGrid w:val="0"/>
        <w:spacing w:line="360" w:lineRule="auto"/>
        <w:outlineLvl w:val="0"/>
        <w:rPr>
          <w:rFonts w:hAnsi="宋体"/>
          <w:highlight w:val="none"/>
        </w:rPr>
      </w:pPr>
      <w:r>
        <w:rPr>
          <w:rFonts w:cs="Times New Roman" w:asciiTheme="minorEastAsia" w:hAnsiTheme="minorEastAsia" w:eastAsiaTheme="minorEastAsia"/>
          <w:highlight w:val="none"/>
        </w:rPr>
        <w:fldChar w:fldCharType="end"/>
      </w:r>
    </w:p>
    <w:p w14:paraId="1479E998">
      <w:pPr>
        <w:pStyle w:val="23"/>
        <w:adjustRightInd w:val="0"/>
        <w:snapToGrid w:val="0"/>
        <w:spacing w:line="360" w:lineRule="auto"/>
        <w:outlineLvl w:val="0"/>
        <w:rPr>
          <w:rFonts w:ascii="黑体" w:hAnsi="华文中宋" w:eastAsia="黑体"/>
          <w:b/>
          <w:sz w:val="32"/>
          <w:szCs w:val="32"/>
          <w:highlight w:val="none"/>
        </w:rPr>
        <w:sectPr>
          <w:headerReference r:id="rId4" w:type="default"/>
          <w:footerReference r:id="rId5" w:type="default"/>
          <w:pgSz w:w="11906" w:h="16838"/>
          <w:pgMar w:top="1474" w:right="1474" w:bottom="1474" w:left="1588" w:header="851" w:footer="992" w:gutter="0"/>
          <w:pgBorders>
            <w:top w:val="none" w:sz="0" w:space="0"/>
            <w:left w:val="none" w:sz="0" w:space="0"/>
            <w:bottom w:val="none" w:sz="0" w:space="0"/>
            <w:right w:val="none" w:sz="0" w:space="0"/>
          </w:pgBorders>
          <w:pgNumType w:start="1"/>
          <w:cols w:space="720" w:num="1"/>
          <w:docGrid w:type="lines" w:linePitch="312" w:charSpace="0"/>
        </w:sectPr>
      </w:pPr>
      <w:bookmarkStart w:id="0" w:name="_Toc35421027"/>
      <w:bookmarkStart w:id="1" w:name="_Toc34720698"/>
      <w:bookmarkStart w:id="2" w:name="_Toc20988241"/>
      <w:bookmarkStart w:id="3" w:name="_Toc53472201"/>
      <w:bookmarkStart w:id="4" w:name="_Toc20642243"/>
      <w:bookmarkStart w:id="5" w:name="_Toc21001314"/>
      <w:bookmarkStart w:id="6" w:name="_Toc21000471"/>
      <w:bookmarkStart w:id="7" w:name="_Toc20816073"/>
    </w:p>
    <w:p w14:paraId="48D9E795">
      <w:pPr>
        <w:adjustRightInd w:val="0"/>
        <w:snapToGrid w:val="0"/>
        <w:spacing w:line="360" w:lineRule="auto"/>
        <w:jc w:val="center"/>
        <w:outlineLvl w:val="0"/>
        <w:rPr>
          <w:rFonts w:ascii="黑体" w:hAnsi="华文中宋" w:eastAsia="黑体" w:cs="Courier New"/>
          <w:b/>
          <w:sz w:val="32"/>
          <w:szCs w:val="32"/>
          <w:highlight w:val="none"/>
        </w:rPr>
      </w:pPr>
      <w:bookmarkStart w:id="8" w:name="_Toc3270"/>
      <w:r>
        <w:rPr>
          <w:rFonts w:hint="eastAsia" w:ascii="黑体" w:hAnsi="华文中宋" w:eastAsia="黑体"/>
          <w:b/>
          <w:sz w:val="32"/>
          <w:szCs w:val="32"/>
          <w:highlight w:val="none"/>
        </w:rPr>
        <w:t>第一章 投标邀请（公开招标）</w:t>
      </w:r>
      <w:bookmarkEnd w:id="8"/>
    </w:p>
    <w:p w14:paraId="3162D004">
      <w:pPr>
        <w:spacing w:after="120"/>
        <w:ind w:firstLine="420" w:firstLineChars="200"/>
        <w:rPr>
          <w:rFonts w:ascii="黑体" w:hAnsi="华文中宋" w:eastAsia="黑体"/>
          <w:sz w:val="32"/>
          <w:szCs w:val="32"/>
          <w:highlight w:val="none"/>
        </w:rPr>
      </w:pPr>
      <w:r>
        <w:rPr>
          <w:rFonts w:hint="eastAsia" w:ascii="宋体" w:hAnsi="宋体" w:cs="宋体"/>
          <w:szCs w:val="21"/>
          <w:highlight w:val="none"/>
          <w:u w:val="single"/>
          <w:lang w:eastAsia="zh-CN"/>
        </w:rPr>
        <w:t>大祥区教育局</w:t>
      </w:r>
      <w:r>
        <w:rPr>
          <w:rFonts w:hint="eastAsia" w:ascii="宋体" w:hAnsi="宋体" w:cs="宋体"/>
          <w:szCs w:val="21"/>
          <w:highlight w:val="none"/>
          <w:u w:val="single"/>
          <w:lang w:val="en-US" w:eastAsia="zh-CN"/>
        </w:rPr>
        <w:t xml:space="preserve"> </w:t>
      </w:r>
      <w:r>
        <w:rPr>
          <w:rFonts w:hint="eastAsia" w:ascii="宋体" w:hAnsi="宋体" w:cs="宋体"/>
          <w:szCs w:val="21"/>
          <w:highlight w:val="none"/>
          <w:u w:val="none"/>
          <w:lang w:eastAsia="zh-CN"/>
        </w:rPr>
        <w:t>的</w:t>
      </w:r>
      <w:r>
        <w:rPr>
          <w:rFonts w:hint="eastAsia" w:ascii="宋体" w:hAnsi="宋体" w:cs="宋体"/>
          <w:szCs w:val="21"/>
          <w:highlight w:val="none"/>
          <w:u w:val="single"/>
          <w:lang w:val="en-US" w:eastAsia="zh-CN"/>
        </w:rPr>
        <w:t xml:space="preserve"> </w:t>
      </w:r>
      <w:r>
        <w:rPr>
          <w:rFonts w:hint="eastAsia" w:ascii="宋体" w:hAnsi="宋体" w:cs="宋体"/>
          <w:szCs w:val="21"/>
          <w:highlight w:val="none"/>
          <w:u w:val="single"/>
          <w:lang w:eastAsia="zh-CN"/>
        </w:rPr>
        <w:t>体育新城实验学校设施设备采购</w:t>
      </w:r>
      <w:r>
        <w:rPr>
          <w:rFonts w:hint="eastAsia" w:ascii="宋体" w:hAnsi="宋体" w:cs="宋体"/>
          <w:szCs w:val="21"/>
          <w:highlight w:val="none"/>
          <w:u w:val="none"/>
          <w:lang w:eastAsia="zh-CN"/>
        </w:rPr>
        <w:t>进行公开招标采购，现邀请合格投标人参加投标。</w:t>
      </w:r>
    </w:p>
    <w:tbl>
      <w:tblPr>
        <w:tblStyle w:val="4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70"/>
      </w:tblGrid>
      <w:tr w14:paraId="527A8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9" w:hRule="atLeast"/>
        </w:trPr>
        <w:tc>
          <w:tcPr>
            <w:tcW w:w="9004" w:type="dxa"/>
          </w:tcPr>
          <w:p w14:paraId="1E5BF2A1">
            <w:pPr>
              <w:spacing w:before="154" w:after="100" w:afterAutospacing="1"/>
              <w:ind w:firstLine="618" w:firstLineChars="300"/>
              <w:jc w:val="left"/>
              <w:rPr>
                <w:rFonts w:ascii="宋体" w:hAnsi="宋体" w:cs="宋体"/>
                <w:kern w:val="0"/>
                <w:sz w:val="24"/>
                <w:highlight w:val="none"/>
              </w:rPr>
            </w:pPr>
            <w:r>
              <w:rPr>
                <w:rFonts w:hint="eastAsia" w:ascii="宋体" w:hAnsi="宋体" w:cs="宋体"/>
                <w:spacing w:val="-2"/>
                <w:szCs w:val="21"/>
                <w:highlight w:val="none"/>
              </w:rPr>
              <w:t>项目概况</w:t>
            </w:r>
          </w:p>
          <w:p w14:paraId="212D1C70">
            <w:pPr>
              <w:spacing w:before="200" w:after="100" w:afterAutospacing="1" w:line="352" w:lineRule="auto"/>
              <w:ind w:left="117" w:right="71" w:firstLine="428" w:firstLineChars="200"/>
              <w:jc w:val="left"/>
              <w:rPr>
                <w:rFonts w:ascii="宋体" w:hAnsi="宋体" w:cs="宋体"/>
                <w:kern w:val="0"/>
                <w:szCs w:val="21"/>
                <w:highlight w:val="none"/>
              </w:rPr>
            </w:pPr>
            <w:r>
              <w:rPr>
                <w:rFonts w:hint="eastAsia" w:ascii="宋体" w:hAnsi="宋体" w:cs="宋体"/>
                <w:spacing w:val="2"/>
                <w:kern w:val="0"/>
                <w:szCs w:val="21"/>
                <w:highlight w:val="none"/>
                <w:u w:val="single"/>
                <w:lang w:eastAsia="zh-CN"/>
              </w:rPr>
              <w:t>体育新城实验学校设施设备采购</w:t>
            </w:r>
            <w:r>
              <w:rPr>
                <w:rFonts w:hint="eastAsia" w:ascii="宋体" w:hAnsi="宋体" w:cs="宋体"/>
                <w:spacing w:val="2"/>
                <w:szCs w:val="21"/>
                <w:highlight w:val="none"/>
              </w:rPr>
              <w:t>的</w:t>
            </w:r>
            <w:r>
              <w:rPr>
                <w:rFonts w:hint="eastAsia" w:ascii="宋体" w:hAnsi="宋体" w:cs="宋体"/>
                <w:spacing w:val="-1"/>
                <w:szCs w:val="21"/>
                <w:highlight w:val="none"/>
              </w:rPr>
              <w:t>潜在投标人应在</w:t>
            </w:r>
            <w:r>
              <w:rPr>
                <w:rFonts w:hint="eastAsia" w:ascii="宋体" w:hAnsi="宋体" w:cs="宋体"/>
                <w:spacing w:val="-1"/>
                <w:kern w:val="0"/>
                <w:szCs w:val="21"/>
                <w:highlight w:val="none"/>
              </w:rPr>
              <w:t>（邵阳市公共资源交易网(</w:t>
            </w:r>
            <w:r>
              <w:rPr>
                <w:highlight w:val="none"/>
              </w:rPr>
              <w:fldChar w:fldCharType="begin"/>
            </w:r>
            <w:r>
              <w:rPr>
                <w:highlight w:val="none"/>
              </w:rPr>
              <w:instrText xml:space="preserve"> HYPERLINK "http://ggzy.shaoyang.gov.cn/" </w:instrText>
            </w:r>
            <w:r>
              <w:rPr>
                <w:highlight w:val="none"/>
              </w:rPr>
              <w:fldChar w:fldCharType="separate"/>
            </w:r>
            <w:r>
              <w:rPr>
                <w:rStyle w:val="54"/>
                <w:rFonts w:hint="eastAsia"/>
                <w:color w:val="auto"/>
                <w:szCs w:val="21"/>
                <w:highlight w:val="none"/>
                <w:u w:val="none"/>
              </w:rPr>
              <w:t>http://ggzy.shaoyang.gov.cn</w:t>
            </w:r>
            <w:r>
              <w:rPr>
                <w:rStyle w:val="54"/>
                <w:rFonts w:hint="eastAsia"/>
                <w:color w:val="auto"/>
                <w:szCs w:val="21"/>
                <w:highlight w:val="none"/>
                <w:u w:val="none"/>
              </w:rPr>
              <w:fldChar w:fldCharType="end"/>
            </w:r>
            <w:r>
              <w:rPr>
                <w:rFonts w:hint="eastAsia" w:ascii="宋体" w:hAnsi="宋体" w:cs="宋体"/>
                <w:spacing w:val="-1"/>
                <w:kern w:val="0"/>
                <w:szCs w:val="21"/>
                <w:highlight w:val="none"/>
              </w:rPr>
              <w:t>）</w:t>
            </w:r>
            <w:r>
              <w:rPr>
                <w:rFonts w:hint="eastAsia" w:ascii="宋体" w:hAnsi="宋体" w:cs="宋体"/>
                <w:spacing w:val="-1"/>
                <w:szCs w:val="21"/>
                <w:highlight w:val="none"/>
              </w:rPr>
              <w:t>获取</w:t>
            </w:r>
            <w:r>
              <w:rPr>
                <w:rFonts w:hint="eastAsia" w:ascii="宋体" w:hAnsi="宋体" w:cs="宋体"/>
                <w:spacing w:val="-1"/>
                <w:szCs w:val="21"/>
                <w:highlight w:val="none"/>
                <w:lang w:eastAsia="zh-CN"/>
              </w:rPr>
              <w:t>招标</w:t>
            </w:r>
            <w:r>
              <w:rPr>
                <w:rFonts w:hint="eastAsia" w:ascii="宋体" w:hAnsi="宋体" w:cs="宋体"/>
                <w:spacing w:val="-1"/>
                <w:szCs w:val="21"/>
                <w:highlight w:val="none"/>
              </w:rPr>
              <w:t>文件，</w:t>
            </w:r>
            <w:r>
              <w:rPr>
                <w:rFonts w:hint="eastAsia" w:ascii="宋体" w:hAnsi="宋体" w:cs="宋体"/>
                <w:spacing w:val="-5"/>
                <w:szCs w:val="21"/>
                <w:highlight w:val="none"/>
              </w:rPr>
              <w:t>并于</w:t>
            </w:r>
            <w:r>
              <w:rPr>
                <w:rFonts w:hint="eastAsia" w:ascii="宋体" w:hAnsi="宋体" w:cs="宋体"/>
                <w:b/>
                <w:bCs/>
                <w:color w:val="FF0000"/>
                <w:spacing w:val="-5"/>
                <w:kern w:val="0"/>
                <w:szCs w:val="21"/>
                <w:highlight w:val="none"/>
              </w:rPr>
              <w:t>202</w:t>
            </w:r>
            <w:r>
              <w:rPr>
                <w:rFonts w:hint="eastAsia" w:ascii="宋体" w:hAnsi="宋体" w:cs="宋体"/>
                <w:b/>
                <w:bCs/>
                <w:color w:val="FF0000"/>
                <w:spacing w:val="-5"/>
                <w:kern w:val="0"/>
                <w:szCs w:val="21"/>
                <w:highlight w:val="none"/>
                <w:lang w:val="en-US" w:eastAsia="zh-CN"/>
              </w:rPr>
              <w:t>6</w:t>
            </w:r>
            <w:r>
              <w:rPr>
                <w:rFonts w:hint="eastAsia" w:ascii="宋体" w:hAnsi="宋体" w:cs="宋体"/>
                <w:b/>
                <w:bCs/>
                <w:color w:val="FF0000"/>
                <w:spacing w:val="-5"/>
                <w:kern w:val="0"/>
                <w:szCs w:val="21"/>
                <w:highlight w:val="none"/>
              </w:rPr>
              <w:t>年</w:t>
            </w:r>
            <w:r>
              <w:rPr>
                <w:rFonts w:hint="eastAsia" w:ascii="宋体" w:hAnsi="宋体" w:cs="宋体"/>
                <w:b/>
                <w:bCs/>
                <w:color w:val="FF0000"/>
                <w:spacing w:val="-5"/>
                <w:kern w:val="0"/>
                <w:szCs w:val="21"/>
                <w:highlight w:val="none"/>
                <w:u w:val="single"/>
                <w:lang w:val="en-US" w:eastAsia="zh-CN"/>
              </w:rPr>
              <w:t>8</w:t>
            </w:r>
            <w:r>
              <w:rPr>
                <w:rFonts w:hint="eastAsia" w:ascii="宋体" w:hAnsi="宋体" w:cs="宋体"/>
                <w:b/>
                <w:bCs/>
                <w:color w:val="FF0000"/>
                <w:spacing w:val="-5"/>
                <w:kern w:val="0"/>
                <w:szCs w:val="21"/>
                <w:highlight w:val="none"/>
              </w:rPr>
              <w:t>月</w:t>
            </w:r>
            <w:r>
              <w:rPr>
                <w:rFonts w:hint="eastAsia" w:ascii="宋体" w:hAnsi="宋体" w:cs="宋体"/>
                <w:b/>
                <w:bCs/>
                <w:color w:val="FF0000"/>
                <w:spacing w:val="-5"/>
                <w:kern w:val="0"/>
                <w:szCs w:val="21"/>
                <w:highlight w:val="none"/>
                <w:u w:val="single"/>
                <w:lang w:val="en-US" w:eastAsia="zh-CN"/>
              </w:rPr>
              <w:t>3</w:t>
            </w:r>
            <w:r>
              <w:rPr>
                <w:rFonts w:hint="eastAsia" w:ascii="宋体" w:hAnsi="宋体" w:cs="宋体"/>
                <w:b/>
                <w:bCs/>
                <w:color w:val="FF0000"/>
                <w:spacing w:val="-5"/>
                <w:kern w:val="0"/>
                <w:szCs w:val="21"/>
                <w:highlight w:val="none"/>
              </w:rPr>
              <w:t>日</w:t>
            </w:r>
            <w:r>
              <w:rPr>
                <w:rFonts w:hint="eastAsia" w:ascii="宋体" w:hAnsi="宋体" w:cs="宋体"/>
                <w:b/>
                <w:bCs/>
                <w:color w:val="FF0000"/>
                <w:spacing w:val="-5"/>
                <w:kern w:val="0"/>
                <w:szCs w:val="21"/>
                <w:highlight w:val="none"/>
                <w:u w:val="single"/>
              </w:rPr>
              <w:t>9</w:t>
            </w:r>
            <w:r>
              <w:rPr>
                <w:rFonts w:hint="eastAsia" w:ascii="宋体" w:hAnsi="宋体" w:cs="宋体"/>
                <w:b/>
                <w:bCs/>
                <w:color w:val="FF0000"/>
                <w:spacing w:val="-5"/>
                <w:kern w:val="0"/>
                <w:szCs w:val="21"/>
                <w:highlight w:val="none"/>
              </w:rPr>
              <w:t>点</w:t>
            </w:r>
            <w:r>
              <w:rPr>
                <w:rFonts w:hint="eastAsia" w:ascii="宋体" w:hAnsi="宋体" w:cs="宋体"/>
                <w:b/>
                <w:bCs/>
                <w:color w:val="FF0000"/>
                <w:spacing w:val="-5"/>
                <w:kern w:val="0"/>
                <w:szCs w:val="21"/>
                <w:highlight w:val="none"/>
                <w:u w:val="single"/>
                <w:lang w:val="en-US" w:eastAsia="zh-CN"/>
              </w:rPr>
              <w:t>30</w:t>
            </w:r>
            <w:r>
              <w:rPr>
                <w:rFonts w:hint="eastAsia" w:ascii="宋体" w:hAnsi="宋体" w:cs="宋体"/>
                <w:b/>
                <w:bCs/>
                <w:color w:val="FF0000"/>
                <w:spacing w:val="-5"/>
                <w:kern w:val="0"/>
                <w:szCs w:val="21"/>
                <w:highlight w:val="none"/>
              </w:rPr>
              <w:t>分</w:t>
            </w:r>
            <w:r>
              <w:rPr>
                <w:rFonts w:hint="eastAsia" w:ascii="宋体" w:hAnsi="宋体" w:cs="宋体"/>
                <w:spacing w:val="-5"/>
                <w:kern w:val="0"/>
                <w:szCs w:val="21"/>
                <w:highlight w:val="none"/>
              </w:rPr>
              <w:t>（</w:t>
            </w:r>
            <w:r>
              <w:rPr>
                <w:rFonts w:hint="eastAsia" w:ascii="宋体" w:hAnsi="宋体" w:cs="宋体"/>
                <w:spacing w:val="-5"/>
                <w:szCs w:val="21"/>
                <w:highlight w:val="none"/>
              </w:rPr>
              <w:t>北京时间）前递交投标文件。</w:t>
            </w:r>
          </w:p>
        </w:tc>
      </w:tr>
    </w:tbl>
    <w:p w14:paraId="313AD161">
      <w:pPr>
        <w:adjustRightInd w:val="0"/>
        <w:snapToGrid w:val="0"/>
        <w:spacing w:line="360" w:lineRule="auto"/>
        <w:jc w:val="center"/>
        <w:rPr>
          <w:rFonts w:ascii="宋体" w:hAnsi="宋体" w:cs="Courier New"/>
          <w:iCs/>
          <w:szCs w:val="21"/>
          <w:highlight w:val="none"/>
        </w:rPr>
      </w:pPr>
    </w:p>
    <w:p w14:paraId="2DDAA04A">
      <w:pPr>
        <w:adjustRightInd w:val="0"/>
        <w:snapToGrid w:val="0"/>
        <w:spacing w:line="360" w:lineRule="auto"/>
        <w:ind w:firstLine="422" w:firstLineChars="200"/>
        <w:rPr>
          <w:rFonts w:ascii="宋体" w:hAnsi="宋体"/>
          <w:szCs w:val="21"/>
          <w:highlight w:val="none"/>
        </w:rPr>
      </w:pPr>
      <w:r>
        <w:rPr>
          <w:rFonts w:hint="eastAsia" w:ascii="宋体" w:hAnsi="宋体"/>
          <w:b/>
          <w:szCs w:val="21"/>
          <w:highlight w:val="none"/>
        </w:rPr>
        <w:t>一、项目基本信息</w:t>
      </w:r>
    </w:p>
    <w:p w14:paraId="12AD0E02">
      <w:pPr>
        <w:adjustRightInd w:val="0"/>
        <w:snapToGrid w:val="0"/>
        <w:spacing w:line="360" w:lineRule="auto"/>
        <w:ind w:firstLine="420" w:firstLineChars="200"/>
        <w:rPr>
          <w:rFonts w:hint="eastAsia" w:ascii="宋体" w:hAnsi="宋体" w:eastAsia="宋体" w:cs="宋体"/>
          <w:szCs w:val="21"/>
          <w:highlight w:val="none"/>
          <w:lang w:eastAsia="zh-CN"/>
        </w:rPr>
      </w:pPr>
      <w:r>
        <w:rPr>
          <w:rFonts w:hint="eastAsia" w:ascii="宋体" w:hAnsi="宋体"/>
          <w:szCs w:val="21"/>
          <w:highlight w:val="none"/>
        </w:rPr>
        <w:t>1、</w:t>
      </w:r>
      <w:r>
        <w:rPr>
          <w:rFonts w:hint="eastAsia" w:ascii="宋体" w:hAnsi="宋体"/>
          <w:szCs w:val="21"/>
          <w:highlight w:val="none"/>
          <w:lang w:eastAsia="zh-CN"/>
        </w:rPr>
        <w:t>采购</w:t>
      </w:r>
      <w:r>
        <w:rPr>
          <w:rFonts w:hint="eastAsia" w:ascii="宋体" w:hAnsi="宋体"/>
          <w:szCs w:val="21"/>
          <w:highlight w:val="none"/>
        </w:rPr>
        <w:t>项目编号：</w:t>
      </w:r>
      <w:r>
        <w:rPr>
          <w:rFonts w:hint="eastAsia" w:ascii="宋体" w:hAnsi="宋体" w:cs="宋体"/>
          <w:color w:val="000000" w:themeColor="text1"/>
          <w:szCs w:val="21"/>
          <w:highlight w:val="none"/>
          <w:u w:val="single"/>
          <w:lang w:eastAsia="zh-CN"/>
          <w14:textFill>
            <w14:solidFill>
              <w14:schemeClr w14:val="tx1"/>
            </w14:solidFill>
          </w14:textFill>
        </w:rPr>
        <w:t>HNSZZFCG-2026-0485</w:t>
      </w:r>
    </w:p>
    <w:p w14:paraId="1B515713">
      <w:pPr>
        <w:spacing w:after="120"/>
        <w:ind w:firstLine="420" w:firstLineChars="200"/>
        <w:rPr>
          <w:rFonts w:hint="eastAsia" w:ascii="宋体" w:hAnsi="宋体" w:eastAsia="宋体"/>
          <w:szCs w:val="21"/>
          <w:highlight w:val="none"/>
          <w:u w:val="single"/>
          <w:lang w:eastAsia="zh-CN"/>
        </w:rPr>
      </w:pPr>
      <w:bookmarkStart w:id="60" w:name="_GoBack"/>
      <w:r>
        <w:rPr>
          <w:rFonts w:hint="eastAsia" w:ascii="宋体" w:hAnsi="宋体"/>
          <w:szCs w:val="21"/>
          <w:highlight w:val="none"/>
        </w:rPr>
        <w:t>2、采购项目名称：</w:t>
      </w:r>
      <w:r>
        <w:rPr>
          <w:rFonts w:hint="eastAsia" w:ascii="宋体" w:hAnsi="宋体" w:cs="宋体"/>
          <w:szCs w:val="21"/>
          <w:highlight w:val="none"/>
          <w:u w:val="single"/>
          <w:lang w:eastAsia="zh-CN"/>
        </w:rPr>
        <w:t>体育新城实验学校设施设备采购</w:t>
      </w:r>
    </w:p>
    <w:bookmarkEnd w:id="60"/>
    <w:p w14:paraId="1E0D8E65">
      <w:pPr>
        <w:adjustRightInd w:val="0"/>
        <w:snapToGrid w:val="0"/>
        <w:spacing w:line="360" w:lineRule="auto"/>
        <w:ind w:firstLine="420" w:firstLineChars="200"/>
        <w:rPr>
          <w:rFonts w:hint="eastAsia" w:ascii="宋体" w:hAnsi="宋体" w:eastAsia="宋体"/>
          <w:szCs w:val="21"/>
          <w:highlight w:val="none"/>
          <w:lang w:eastAsia="zh-CN"/>
        </w:rPr>
      </w:pPr>
      <w:r>
        <w:rPr>
          <w:rFonts w:hint="eastAsia" w:ascii="宋体" w:hAnsi="宋体"/>
          <w:szCs w:val="21"/>
          <w:highlight w:val="none"/>
        </w:rPr>
        <w:t>3、政府采购</w:t>
      </w:r>
      <w:r>
        <w:rPr>
          <w:rFonts w:hint="eastAsia" w:ascii="宋体" w:hAnsi="宋体"/>
          <w:szCs w:val="21"/>
          <w:highlight w:val="none"/>
          <w:lang w:eastAsia="zh-CN"/>
        </w:rPr>
        <w:t>计划</w:t>
      </w:r>
      <w:r>
        <w:rPr>
          <w:rFonts w:hint="eastAsia" w:ascii="宋体" w:hAnsi="宋体"/>
          <w:szCs w:val="21"/>
          <w:highlight w:val="none"/>
        </w:rPr>
        <w:t>编号：</w:t>
      </w:r>
      <w:r>
        <w:rPr>
          <w:rFonts w:hint="eastAsia" w:ascii="宋体" w:hAnsi="宋体" w:cs="宋体"/>
          <w:szCs w:val="21"/>
          <w:highlight w:val="none"/>
          <w:u w:val="single"/>
          <w:lang w:eastAsia="zh-CN"/>
        </w:rPr>
        <w:t>大祥财采计[2026]000008号</w:t>
      </w:r>
    </w:p>
    <w:p w14:paraId="62D34CDA">
      <w:pPr>
        <w:spacing w:after="120"/>
        <w:ind w:firstLine="420" w:firstLineChars="200"/>
        <w:rPr>
          <w:rFonts w:hint="eastAsia" w:ascii="宋体" w:hAnsi="宋体" w:eastAsia="宋体" w:cs="宋体"/>
          <w:szCs w:val="21"/>
          <w:highlight w:val="none"/>
          <w:u w:val="single"/>
          <w:lang w:eastAsia="zh-CN"/>
        </w:rPr>
      </w:pPr>
      <w:r>
        <w:rPr>
          <w:rFonts w:hint="eastAsia" w:ascii="宋体" w:hAnsi="宋体"/>
          <w:szCs w:val="21"/>
          <w:highlight w:val="none"/>
        </w:rPr>
        <w:t>4、</w:t>
      </w:r>
      <w:r>
        <w:rPr>
          <w:rFonts w:hint="eastAsia" w:ascii="宋体" w:hAnsi="宋体"/>
          <w:szCs w:val="21"/>
          <w:highlight w:val="none"/>
          <w:lang w:eastAsia="zh-CN"/>
        </w:rPr>
        <w:t>交货时间：</w:t>
      </w:r>
      <w:r>
        <w:rPr>
          <w:rFonts w:hint="eastAsia" w:ascii="宋体" w:hAnsi="宋体"/>
          <w:szCs w:val="21"/>
          <w:highlight w:val="none"/>
          <w:lang w:val="en-US" w:eastAsia="zh-CN"/>
        </w:rPr>
        <w:t>合同签订后25天内货物运输到指定地点，安装调试验收合格完成培训工作交付使用。</w:t>
      </w:r>
    </w:p>
    <w:p w14:paraId="7E9D3ED5">
      <w:pPr>
        <w:adjustRightInd w:val="0"/>
        <w:snapToGrid w:val="0"/>
        <w:spacing w:line="360" w:lineRule="auto"/>
        <w:ind w:firstLine="420" w:firstLineChars="200"/>
        <w:rPr>
          <w:rFonts w:hint="eastAsia" w:ascii="宋体" w:hAnsi="宋体"/>
          <w:szCs w:val="21"/>
          <w:highlight w:val="none"/>
        </w:rPr>
      </w:pPr>
      <w:r>
        <w:rPr>
          <w:rFonts w:hint="eastAsia" w:ascii="宋体" w:hAnsi="宋体"/>
          <w:bCs/>
          <w:szCs w:val="21"/>
          <w:highlight w:val="none"/>
        </w:rPr>
        <w:t>5、</w:t>
      </w:r>
      <w:r>
        <w:rPr>
          <w:rFonts w:hint="eastAsia" w:ascii="宋体" w:hAnsi="宋体"/>
          <w:szCs w:val="21"/>
          <w:highlight w:val="none"/>
        </w:rPr>
        <w:t>项目</w:t>
      </w:r>
      <w:r>
        <w:rPr>
          <w:rFonts w:hint="eastAsia" w:ascii="宋体" w:hAnsi="宋体"/>
          <w:szCs w:val="21"/>
          <w:highlight w:val="none"/>
          <w:u w:val="single"/>
        </w:rPr>
        <w:t>不接受</w:t>
      </w:r>
      <w:r>
        <w:rPr>
          <w:rFonts w:hint="eastAsia" w:ascii="宋体" w:hAnsi="宋体"/>
          <w:szCs w:val="21"/>
          <w:highlight w:val="none"/>
        </w:rPr>
        <w:t>联合体投标。</w:t>
      </w:r>
    </w:p>
    <w:p w14:paraId="291F0A34">
      <w:pPr>
        <w:adjustRightInd w:val="0"/>
        <w:snapToGrid w:val="0"/>
        <w:spacing w:line="360" w:lineRule="auto"/>
        <w:ind w:firstLine="420" w:firstLineChars="200"/>
        <w:rPr>
          <w:rFonts w:hint="eastAsia" w:ascii="宋体" w:hAnsi="宋体"/>
          <w:szCs w:val="21"/>
          <w:highlight w:val="none"/>
          <w:u w:val="single"/>
          <w:lang w:val="en-US" w:eastAsia="zh-CN"/>
        </w:rPr>
      </w:pPr>
      <w:r>
        <w:rPr>
          <w:rFonts w:hint="eastAsia" w:ascii="宋体" w:hAnsi="宋体"/>
          <w:szCs w:val="21"/>
          <w:highlight w:val="none"/>
          <w:lang w:val="en-US" w:eastAsia="zh-CN"/>
        </w:rPr>
        <w:t>6、采购方式：</w:t>
      </w:r>
      <w:r>
        <w:rPr>
          <w:rFonts w:hint="eastAsia" w:ascii="宋体" w:hAnsi="宋体"/>
          <w:szCs w:val="21"/>
          <w:highlight w:val="none"/>
          <w:u w:val="single"/>
          <w:lang w:val="en-US" w:eastAsia="zh-CN"/>
        </w:rPr>
        <w:t>公开招标</w:t>
      </w:r>
    </w:p>
    <w:p w14:paraId="49E41CCB">
      <w:pPr>
        <w:adjustRightInd w:val="0"/>
        <w:snapToGrid w:val="0"/>
        <w:spacing w:line="360" w:lineRule="auto"/>
        <w:ind w:firstLine="420" w:firstLineChars="200"/>
        <w:rPr>
          <w:rFonts w:hint="eastAsia" w:ascii="宋体" w:hAnsi="宋体"/>
          <w:szCs w:val="21"/>
          <w:highlight w:val="none"/>
          <w:u w:val="single"/>
          <w:lang w:val="en-US" w:eastAsia="zh-CN"/>
        </w:rPr>
      </w:pPr>
      <w:r>
        <w:rPr>
          <w:rFonts w:hint="eastAsia" w:ascii="宋体" w:hAnsi="宋体"/>
          <w:szCs w:val="21"/>
          <w:highlight w:val="none"/>
          <w:u w:val="none"/>
          <w:lang w:val="en-US" w:eastAsia="zh-CN"/>
        </w:rPr>
        <w:t>7、评分方法：</w:t>
      </w:r>
      <w:r>
        <w:rPr>
          <w:rFonts w:hint="eastAsia" w:ascii="宋体" w:hAnsi="宋体"/>
          <w:szCs w:val="21"/>
          <w:highlight w:val="none"/>
          <w:u w:val="single"/>
          <w:lang w:val="en-US" w:eastAsia="zh-CN"/>
        </w:rPr>
        <w:t>综合评分法</w:t>
      </w:r>
    </w:p>
    <w:p w14:paraId="23E7C32C">
      <w:pPr>
        <w:adjustRightInd w:val="0"/>
        <w:snapToGrid w:val="0"/>
        <w:spacing w:line="360" w:lineRule="auto"/>
        <w:ind w:firstLine="420" w:firstLineChars="200"/>
        <w:rPr>
          <w:rFonts w:hint="default" w:ascii="宋体" w:hAnsi="宋体"/>
          <w:szCs w:val="21"/>
          <w:highlight w:val="none"/>
          <w:u w:val="single"/>
          <w:lang w:val="en-US" w:eastAsia="zh-CN"/>
        </w:rPr>
      </w:pPr>
      <w:r>
        <w:rPr>
          <w:rFonts w:hint="eastAsia" w:ascii="宋体" w:hAnsi="宋体"/>
          <w:szCs w:val="21"/>
          <w:highlight w:val="none"/>
          <w:u w:val="none"/>
          <w:lang w:val="en-US" w:eastAsia="zh-CN"/>
        </w:rPr>
        <w:t>8、合同定价方式：</w:t>
      </w:r>
      <w:r>
        <w:rPr>
          <w:rFonts w:hint="eastAsia" w:ascii="宋体" w:hAnsi="宋体"/>
          <w:szCs w:val="21"/>
          <w:highlight w:val="none"/>
          <w:u w:val="single"/>
          <w:lang w:val="en-US" w:eastAsia="zh-CN"/>
        </w:rPr>
        <w:t>固定总价合同</w:t>
      </w:r>
    </w:p>
    <w:p w14:paraId="08A4B861">
      <w:pPr>
        <w:adjustRightInd w:val="0"/>
        <w:snapToGrid w:val="0"/>
        <w:spacing w:line="360" w:lineRule="auto"/>
        <w:ind w:firstLine="422" w:firstLineChars="200"/>
        <w:rPr>
          <w:rFonts w:hint="eastAsia" w:ascii="宋体" w:hAnsi="宋体" w:cs="Times New Roman"/>
          <w:b/>
          <w:szCs w:val="21"/>
          <w:highlight w:val="none"/>
        </w:rPr>
      </w:pPr>
      <w:r>
        <w:rPr>
          <w:rFonts w:hint="eastAsia" w:ascii="宋体" w:hAnsi="宋体" w:cs="Times New Roman"/>
          <w:b/>
          <w:szCs w:val="21"/>
          <w:highlight w:val="none"/>
          <w:lang w:eastAsia="zh-CN"/>
        </w:rPr>
        <w:t>二、</w:t>
      </w:r>
      <w:r>
        <w:rPr>
          <w:rFonts w:hint="eastAsia" w:ascii="宋体" w:hAnsi="宋体" w:cs="Times New Roman"/>
          <w:b/>
          <w:szCs w:val="21"/>
          <w:highlight w:val="none"/>
        </w:rPr>
        <w:t>采购需求</w:t>
      </w:r>
    </w:p>
    <w:tbl>
      <w:tblPr>
        <w:tblStyle w:val="174"/>
        <w:tblpPr w:leftFromText="180" w:rightFromText="180" w:vertAnchor="text" w:horzAnchor="page" w:tblpXSpec="center" w:tblpY="7"/>
        <w:tblOverlap w:val="never"/>
        <w:tblW w:w="901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5"/>
        <w:gridCol w:w="1192"/>
        <w:gridCol w:w="811"/>
        <w:gridCol w:w="1444"/>
        <w:gridCol w:w="862"/>
        <w:gridCol w:w="668"/>
        <w:gridCol w:w="1310"/>
        <w:gridCol w:w="1310"/>
        <w:gridCol w:w="853"/>
      </w:tblGrid>
      <w:tr w14:paraId="00AC40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1" w:hRule="atLeast"/>
          <w:jc w:val="center"/>
        </w:trPr>
        <w:tc>
          <w:tcPr>
            <w:tcW w:w="565" w:type="dxa"/>
            <w:vAlign w:val="center"/>
          </w:tcPr>
          <w:p w14:paraId="58325008">
            <w:pPr>
              <w:spacing w:before="72" w:line="222" w:lineRule="auto"/>
              <w:jc w:val="center"/>
              <w:rPr>
                <w:rFonts w:ascii="宋体" w:hAnsi="宋体" w:cs="宋体"/>
                <w:sz w:val="18"/>
                <w:szCs w:val="18"/>
                <w:highlight w:val="none"/>
                <w:lang w:eastAsia="en-US"/>
              </w:rPr>
            </w:pPr>
            <w:r>
              <w:rPr>
                <w:rFonts w:ascii="宋体" w:hAnsi="宋体" w:cs="宋体"/>
                <w:spacing w:val="-2"/>
                <w:sz w:val="18"/>
                <w:szCs w:val="18"/>
                <w:highlight w:val="none"/>
                <w:lang w:eastAsia="en-US"/>
              </w:rPr>
              <w:t>包号</w:t>
            </w:r>
          </w:p>
        </w:tc>
        <w:tc>
          <w:tcPr>
            <w:tcW w:w="1192" w:type="dxa"/>
            <w:vAlign w:val="center"/>
          </w:tcPr>
          <w:p w14:paraId="2ECE08EF">
            <w:pPr>
              <w:spacing w:before="155" w:line="294" w:lineRule="auto"/>
              <w:ind w:left="755" w:right="138" w:hanging="603"/>
              <w:jc w:val="center"/>
              <w:rPr>
                <w:rFonts w:hint="eastAsia" w:ascii="宋体" w:hAnsi="宋体" w:eastAsia="宋体" w:cs="宋体"/>
                <w:sz w:val="18"/>
                <w:szCs w:val="18"/>
                <w:highlight w:val="none"/>
                <w:lang w:eastAsia="zh-CN"/>
              </w:rPr>
            </w:pPr>
            <w:r>
              <w:rPr>
                <w:rFonts w:ascii="宋体" w:hAnsi="宋体" w:cs="宋体"/>
                <w:spacing w:val="-1"/>
                <w:sz w:val="18"/>
                <w:szCs w:val="18"/>
                <w:highlight w:val="none"/>
                <w:lang w:eastAsia="en-US"/>
              </w:rPr>
              <w:t>包名称</w:t>
            </w:r>
          </w:p>
        </w:tc>
        <w:tc>
          <w:tcPr>
            <w:tcW w:w="811" w:type="dxa"/>
            <w:vAlign w:val="center"/>
          </w:tcPr>
          <w:p w14:paraId="66114643">
            <w:pPr>
              <w:spacing w:before="72" w:line="219" w:lineRule="auto"/>
              <w:jc w:val="center"/>
              <w:rPr>
                <w:rFonts w:hint="eastAsia" w:ascii="宋体" w:hAnsi="宋体" w:eastAsia="宋体" w:cs="宋体"/>
                <w:spacing w:val="-2"/>
                <w:sz w:val="18"/>
                <w:szCs w:val="18"/>
                <w:highlight w:val="none"/>
                <w:lang w:eastAsia="zh-CN"/>
              </w:rPr>
            </w:pPr>
            <w:r>
              <w:rPr>
                <w:rFonts w:hint="eastAsia" w:ascii="宋体" w:hAnsi="宋体" w:cs="宋体"/>
                <w:spacing w:val="-2"/>
                <w:sz w:val="18"/>
                <w:szCs w:val="18"/>
                <w:highlight w:val="none"/>
                <w:lang w:eastAsia="zh-CN"/>
              </w:rPr>
              <w:t>标的名称</w:t>
            </w:r>
          </w:p>
        </w:tc>
        <w:tc>
          <w:tcPr>
            <w:tcW w:w="1444" w:type="dxa"/>
            <w:vAlign w:val="center"/>
          </w:tcPr>
          <w:p w14:paraId="05280065">
            <w:pPr>
              <w:spacing w:before="72" w:line="219" w:lineRule="auto"/>
              <w:jc w:val="center"/>
              <w:rPr>
                <w:rFonts w:ascii="宋体" w:hAnsi="宋体" w:cs="宋体"/>
                <w:spacing w:val="-2"/>
                <w:sz w:val="18"/>
                <w:szCs w:val="18"/>
                <w:highlight w:val="none"/>
              </w:rPr>
            </w:pPr>
            <w:r>
              <w:rPr>
                <w:rFonts w:hint="eastAsia" w:ascii="宋体" w:hAnsi="宋体" w:cs="宋体"/>
                <w:spacing w:val="-2"/>
                <w:sz w:val="18"/>
                <w:szCs w:val="18"/>
                <w:highlight w:val="none"/>
              </w:rPr>
              <w:t>品目编码</w:t>
            </w:r>
          </w:p>
        </w:tc>
        <w:tc>
          <w:tcPr>
            <w:tcW w:w="862" w:type="dxa"/>
            <w:vAlign w:val="center"/>
          </w:tcPr>
          <w:p w14:paraId="75EB46CA">
            <w:pPr>
              <w:spacing w:before="72" w:line="219" w:lineRule="auto"/>
              <w:jc w:val="center"/>
              <w:rPr>
                <w:rFonts w:ascii="宋体" w:hAnsi="宋体" w:cs="宋体"/>
                <w:sz w:val="18"/>
                <w:szCs w:val="18"/>
                <w:highlight w:val="none"/>
                <w:lang w:eastAsia="en-US"/>
              </w:rPr>
            </w:pPr>
            <w:r>
              <w:rPr>
                <w:rFonts w:ascii="宋体" w:hAnsi="宋体" w:cs="宋体"/>
                <w:spacing w:val="-2"/>
                <w:sz w:val="18"/>
                <w:szCs w:val="18"/>
                <w:highlight w:val="none"/>
                <w:lang w:eastAsia="en-US"/>
              </w:rPr>
              <w:t>简要技术要求</w:t>
            </w:r>
          </w:p>
        </w:tc>
        <w:tc>
          <w:tcPr>
            <w:tcW w:w="668" w:type="dxa"/>
            <w:vAlign w:val="center"/>
          </w:tcPr>
          <w:p w14:paraId="798DB72C">
            <w:pPr>
              <w:spacing w:before="72" w:line="220" w:lineRule="auto"/>
              <w:jc w:val="center"/>
              <w:rPr>
                <w:rFonts w:ascii="宋体" w:hAnsi="宋体" w:cs="宋体"/>
                <w:sz w:val="18"/>
                <w:szCs w:val="18"/>
                <w:highlight w:val="none"/>
                <w:lang w:eastAsia="en-US"/>
              </w:rPr>
            </w:pPr>
            <w:r>
              <w:rPr>
                <w:rFonts w:ascii="宋体" w:hAnsi="宋体" w:cs="宋体"/>
                <w:spacing w:val="-3"/>
                <w:sz w:val="18"/>
                <w:szCs w:val="18"/>
                <w:highlight w:val="none"/>
                <w:lang w:eastAsia="en-US"/>
              </w:rPr>
              <w:t>数量</w:t>
            </w:r>
          </w:p>
        </w:tc>
        <w:tc>
          <w:tcPr>
            <w:tcW w:w="1310" w:type="dxa"/>
            <w:vAlign w:val="center"/>
          </w:tcPr>
          <w:p w14:paraId="2D970CCF">
            <w:pPr>
              <w:spacing w:before="71" w:line="219" w:lineRule="auto"/>
              <w:jc w:val="center"/>
              <w:rPr>
                <w:rFonts w:hint="eastAsia" w:ascii="宋体" w:hAnsi="宋体" w:eastAsia="宋体" w:cs="宋体"/>
                <w:sz w:val="18"/>
                <w:szCs w:val="18"/>
                <w:highlight w:val="none"/>
                <w:lang w:eastAsia="zh-CN"/>
              </w:rPr>
            </w:pPr>
            <w:r>
              <w:rPr>
                <w:rFonts w:hint="eastAsia" w:ascii="宋体" w:hAnsi="宋体" w:cs="宋体"/>
                <w:sz w:val="18"/>
                <w:szCs w:val="18"/>
                <w:highlight w:val="none"/>
                <w:lang w:eastAsia="zh-CN"/>
              </w:rPr>
              <w:t>预算金额（元）</w:t>
            </w:r>
          </w:p>
        </w:tc>
        <w:tc>
          <w:tcPr>
            <w:tcW w:w="1310" w:type="dxa"/>
            <w:vAlign w:val="center"/>
          </w:tcPr>
          <w:p w14:paraId="26E0BDC6">
            <w:pPr>
              <w:spacing w:before="71" w:line="219" w:lineRule="auto"/>
              <w:jc w:val="center"/>
              <w:rPr>
                <w:rFonts w:hint="eastAsia" w:ascii="宋体" w:hAnsi="宋体" w:cs="宋体"/>
                <w:sz w:val="18"/>
                <w:szCs w:val="18"/>
                <w:highlight w:val="none"/>
                <w:lang w:eastAsia="zh-CN"/>
              </w:rPr>
            </w:pPr>
            <w:r>
              <w:rPr>
                <w:rFonts w:hint="eastAsia" w:ascii="宋体" w:hAnsi="宋体" w:cs="宋体"/>
                <w:sz w:val="18"/>
                <w:szCs w:val="18"/>
                <w:highlight w:val="none"/>
                <w:lang w:eastAsia="zh-CN"/>
              </w:rPr>
              <w:t>最高限价（元）</w:t>
            </w:r>
          </w:p>
        </w:tc>
        <w:tc>
          <w:tcPr>
            <w:tcW w:w="853" w:type="dxa"/>
            <w:vAlign w:val="center"/>
          </w:tcPr>
          <w:p w14:paraId="57B6F65C">
            <w:pPr>
              <w:spacing w:before="71" w:line="219" w:lineRule="auto"/>
              <w:jc w:val="center"/>
              <w:rPr>
                <w:rFonts w:ascii="宋体" w:hAnsi="宋体" w:cs="宋体"/>
                <w:sz w:val="18"/>
                <w:szCs w:val="18"/>
                <w:highlight w:val="none"/>
                <w:lang w:eastAsia="en-US"/>
              </w:rPr>
            </w:pPr>
            <w:r>
              <w:rPr>
                <w:rFonts w:hint="eastAsia" w:ascii="宋体" w:hAnsi="宋体" w:cs="宋体"/>
                <w:sz w:val="18"/>
                <w:szCs w:val="18"/>
                <w:highlight w:val="none"/>
                <w:lang w:eastAsia="en-US"/>
              </w:rPr>
              <w:t>对应的中小企业划分标准所属行业</w:t>
            </w:r>
          </w:p>
        </w:tc>
      </w:tr>
      <w:tr w14:paraId="0ECC75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27" w:hRule="atLeast"/>
          <w:jc w:val="center"/>
        </w:trPr>
        <w:tc>
          <w:tcPr>
            <w:tcW w:w="565" w:type="dxa"/>
            <w:vAlign w:val="center"/>
          </w:tcPr>
          <w:p w14:paraId="21D4C096">
            <w:pPr>
              <w:spacing w:before="72" w:line="182" w:lineRule="auto"/>
              <w:jc w:val="center"/>
              <w:rPr>
                <w:rFonts w:ascii="宋体" w:hAnsi="宋体" w:cs="宋体"/>
                <w:sz w:val="18"/>
                <w:szCs w:val="18"/>
                <w:highlight w:val="none"/>
                <w:u w:val="none"/>
                <w:lang w:eastAsia="en-US"/>
              </w:rPr>
            </w:pPr>
            <w:r>
              <w:rPr>
                <w:rFonts w:ascii="宋体" w:hAnsi="宋体" w:cs="宋体"/>
                <w:sz w:val="18"/>
                <w:szCs w:val="18"/>
                <w:highlight w:val="none"/>
                <w:u w:val="none"/>
                <w:lang w:eastAsia="en-US"/>
              </w:rPr>
              <w:t>1</w:t>
            </w:r>
          </w:p>
        </w:tc>
        <w:tc>
          <w:tcPr>
            <w:tcW w:w="1192" w:type="dxa"/>
            <w:vAlign w:val="center"/>
          </w:tcPr>
          <w:p w14:paraId="379E3044">
            <w:pPr>
              <w:widowControl/>
              <w:kinsoku w:val="0"/>
              <w:autoSpaceDE w:val="0"/>
              <w:autoSpaceDN w:val="0"/>
              <w:adjustRightInd w:val="0"/>
              <w:snapToGrid w:val="0"/>
              <w:spacing w:before="104" w:line="220" w:lineRule="auto"/>
              <w:ind w:left="18"/>
              <w:jc w:val="center"/>
              <w:textAlignment w:val="baseline"/>
              <w:rPr>
                <w:rFonts w:hint="eastAsia" w:ascii="宋体" w:hAnsi="宋体" w:eastAsia="宋体" w:cs="宋体"/>
                <w:szCs w:val="21"/>
                <w:highlight w:val="none"/>
                <w:u w:val="none"/>
                <w:lang w:eastAsia="zh-CN"/>
              </w:rPr>
            </w:pPr>
            <w:r>
              <w:rPr>
                <w:rFonts w:hint="eastAsia" w:ascii="宋体" w:hAnsi="宋体" w:cs="宋体"/>
                <w:szCs w:val="21"/>
                <w:highlight w:val="none"/>
                <w:u w:val="none"/>
                <w:lang w:eastAsia="zh-CN"/>
              </w:rPr>
              <w:t>体育新城实验学校设施设备采购</w:t>
            </w:r>
          </w:p>
        </w:tc>
        <w:tc>
          <w:tcPr>
            <w:tcW w:w="811" w:type="dxa"/>
            <w:vAlign w:val="center"/>
          </w:tcPr>
          <w:p w14:paraId="379A0325">
            <w:pPr>
              <w:widowControl/>
              <w:kinsoku w:val="0"/>
              <w:autoSpaceDE w:val="0"/>
              <w:autoSpaceDN w:val="0"/>
              <w:adjustRightInd w:val="0"/>
              <w:snapToGrid w:val="0"/>
              <w:spacing w:before="104" w:line="220" w:lineRule="auto"/>
              <w:ind w:left="18"/>
              <w:jc w:val="center"/>
              <w:textAlignment w:val="baseline"/>
              <w:rPr>
                <w:rFonts w:hint="eastAsia" w:ascii="宋体" w:hAnsi="宋体" w:eastAsia="宋体" w:cs="宋体"/>
                <w:szCs w:val="21"/>
                <w:highlight w:val="none"/>
                <w:u w:val="none"/>
                <w:lang w:eastAsia="zh-CN"/>
              </w:rPr>
            </w:pPr>
            <w:r>
              <w:rPr>
                <w:rFonts w:hint="eastAsia" w:ascii="宋体" w:hAnsi="宋体" w:cs="宋体"/>
                <w:szCs w:val="21"/>
                <w:highlight w:val="none"/>
                <w:u w:val="none"/>
                <w:lang w:eastAsia="zh-CN"/>
              </w:rPr>
              <w:t>详见采购需求</w:t>
            </w:r>
          </w:p>
        </w:tc>
        <w:tc>
          <w:tcPr>
            <w:tcW w:w="1444" w:type="dxa"/>
            <w:vAlign w:val="center"/>
          </w:tcPr>
          <w:p w14:paraId="583C5EFA">
            <w:pPr>
              <w:widowControl/>
              <w:kinsoku w:val="0"/>
              <w:autoSpaceDE w:val="0"/>
              <w:autoSpaceDN w:val="0"/>
              <w:adjustRightInd w:val="0"/>
              <w:snapToGrid w:val="0"/>
              <w:spacing w:before="104" w:line="220" w:lineRule="auto"/>
              <w:ind w:left="18"/>
              <w:jc w:val="center"/>
              <w:textAlignment w:val="baseline"/>
              <w:rPr>
                <w:rFonts w:hint="eastAsia" w:ascii="宋体" w:hAnsi="宋体" w:cs="宋体"/>
                <w:szCs w:val="21"/>
                <w:highlight w:val="none"/>
                <w:u w:val="none"/>
                <w:lang w:eastAsia="zh-CN"/>
              </w:rPr>
            </w:pPr>
            <w:r>
              <w:rPr>
                <w:rFonts w:hint="eastAsia" w:ascii="宋体" w:hAnsi="宋体" w:cs="宋体"/>
                <w:szCs w:val="21"/>
                <w:highlight w:val="none"/>
                <w:u w:val="none"/>
                <w:lang w:val="en-US" w:eastAsia="zh-CN"/>
              </w:rPr>
              <w:t>A02010000 、A05000000等</w:t>
            </w:r>
          </w:p>
          <w:p w14:paraId="1E424ECC">
            <w:pPr>
              <w:keepNext w:val="0"/>
              <w:keepLines w:val="0"/>
              <w:widowControl/>
              <w:suppressLineNumbers w:val="0"/>
              <w:jc w:val="left"/>
              <w:rPr>
                <w:highlight w:val="none"/>
              </w:rPr>
            </w:pPr>
          </w:p>
          <w:p w14:paraId="088235F8">
            <w:pPr>
              <w:widowControl/>
              <w:kinsoku w:val="0"/>
              <w:autoSpaceDE w:val="0"/>
              <w:autoSpaceDN w:val="0"/>
              <w:adjustRightInd w:val="0"/>
              <w:snapToGrid w:val="0"/>
              <w:spacing w:before="104" w:line="220" w:lineRule="auto"/>
              <w:ind w:left="18"/>
              <w:jc w:val="center"/>
              <w:textAlignment w:val="baseline"/>
              <w:rPr>
                <w:rFonts w:hint="eastAsia" w:ascii="宋体" w:hAnsi="宋体" w:eastAsia="宋体" w:cs="宋体"/>
                <w:szCs w:val="21"/>
                <w:highlight w:val="none"/>
                <w:u w:val="none"/>
                <w:lang w:eastAsia="zh-CN"/>
              </w:rPr>
            </w:pPr>
          </w:p>
        </w:tc>
        <w:tc>
          <w:tcPr>
            <w:tcW w:w="862" w:type="dxa"/>
            <w:vAlign w:val="center"/>
          </w:tcPr>
          <w:p w14:paraId="16C64518">
            <w:pPr>
              <w:widowControl/>
              <w:kinsoku w:val="0"/>
              <w:autoSpaceDE w:val="0"/>
              <w:autoSpaceDN w:val="0"/>
              <w:adjustRightInd w:val="0"/>
              <w:snapToGrid w:val="0"/>
              <w:spacing w:before="104" w:line="220" w:lineRule="auto"/>
              <w:ind w:left="18"/>
              <w:jc w:val="center"/>
              <w:textAlignment w:val="baseline"/>
              <w:rPr>
                <w:rFonts w:ascii="宋体" w:hAnsi="宋体" w:cs="宋体"/>
                <w:szCs w:val="21"/>
                <w:highlight w:val="none"/>
                <w:u w:val="none"/>
              </w:rPr>
            </w:pPr>
            <w:r>
              <w:rPr>
                <w:rFonts w:hint="eastAsia" w:ascii="宋体" w:hAnsi="宋体" w:cs="宋体"/>
                <w:szCs w:val="21"/>
                <w:highlight w:val="none"/>
                <w:u w:val="none"/>
              </w:rPr>
              <w:t>详见采购需求</w:t>
            </w:r>
          </w:p>
        </w:tc>
        <w:tc>
          <w:tcPr>
            <w:tcW w:w="668" w:type="dxa"/>
            <w:vAlign w:val="center"/>
          </w:tcPr>
          <w:p w14:paraId="364834C4">
            <w:pPr>
              <w:widowControl/>
              <w:kinsoku w:val="0"/>
              <w:autoSpaceDE w:val="0"/>
              <w:autoSpaceDN w:val="0"/>
              <w:adjustRightInd w:val="0"/>
              <w:snapToGrid w:val="0"/>
              <w:spacing w:before="104" w:line="220" w:lineRule="auto"/>
              <w:ind w:left="18"/>
              <w:jc w:val="center"/>
              <w:textAlignment w:val="baseline"/>
              <w:rPr>
                <w:rFonts w:hint="eastAsia" w:ascii="宋体" w:hAnsi="宋体" w:eastAsia="宋体" w:cs="宋体"/>
                <w:szCs w:val="21"/>
                <w:highlight w:val="none"/>
                <w:u w:val="none"/>
                <w:lang w:eastAsia="zh-CN"/>
              </w:rPr>
            </w:pPr>
            <w:r>
              <w:rPr>
                <w:rFonts w:hint="eastAsia" w:ascii="宋体" w:hAnsi="宋体" w:cs="宋体"/>
                <w:szCs w:val="21"/>
                <w:highlight w:val="none"/>
                <w:u w:val="none"/>
              </w:rPr>
              <w:t>1</w:t>
            </w:r>
            <w:r>
              <w:rPr>
                <w:rFonts w:hint="eastAsia" w:ascii="宋体" w:hAnsi="宋体" w:cs="宋体"/>
                <w:szCs w:val="21"/>
                <w:highlight w:val="none"/>
                <w:u w:val="none"/>
                <w:lang w:eastAsia="zh-CN"/>
              </w:rPr>
              <w:t>批</w:t>
            </w:r>
          </w:p>
        </w:tc>
        <w:tc>
          <w:tcPr>
            <w:tcW w:w="1310" w:type="dxa"/>
            <w:vAlign w:val="center"/>
          </w:tcPr>
          <w:p w14:paraId="35C7EB51">
            <w:pPr>
              <w:widowControl/>
              <w:kinsoku w:val="0"/>
              <w:autoSpaceDE w:val="0"/>
              <w:autoSpaceDN w:val="0"/>
              <w:adjustRightInd w:val="0"/>
              <w:snapToGrid w:val="0"/>
              <w:spacing w:before="104" w:line="220" w:lineRule="auto"/>
              <w:ind w:left="18"/>
              <w:jc w:val="center"/>
              <w:textAlignment w:val="baseline"/>
              <w:rPr>
                <w:rFonts w:hint="eastAsia" w:ascii="宋体" w:hAnsi="宋体" w:cs="宋体"/>
                <w:szCs w:val="21"/>
                <w:highlight w:val="none"/>
                <w:u w:val="none"/>
              </w:rPr>
            </w:pPr>
            <w:r>
              <w:rPr>
                <w:rFonts w:hint="eastAsia" w:ascii="宋体" w:hAnsi="宋体" w:cs="宋体"/>
                <w:szCs w:val="21"/>
                <w:highlight w:val="none"/>
                <w:u w:val="none"/>
                <w:lang w:eastAsia="zh-CN"/>
              </w:rPr>
              <w:t>6200740.41</w:t>
            </w:r>
          </w:p>
        </w:tc>
        <w:tc>
          <w:tcPr>
            <w:tcW w:w="1310" w:type="dxa"/>
            <w:vAlign w:val="center"/>
          </w:tcPr>
          <w:p w14:paraId="7A33526F">
            <w:pPr>
              <w:widowControl/>
              <w:kinsoku w:val="0"/>
              <w:autoSpaceDE w:val="0"/>
              <w:autoSpaceDN w:val="0"/>
              <w:adjustRightInd w:val="0"/>
              <w:snapToGrid w:val="0"/>
              <w:spacing w:before="104" w:line="220" w:lineRule="auto"/>
              <w:ind w:left="18"/>
              <w:jc w:val="center"/>
              <w:textAlignment w:val="baseline"/>
              <w:rPr>
                <w:rFonts w:hint="default" w:ascii="宋体" w:hAnsi="宋体" w:cs="宋体"/>
                <w:szCs w:val="21"/>
                <w:highlight w:val="none"/>
                <w:u w:val="none"/>
                <w:lang w:val="en-US" w:eastAsia="zh-CN"/>
              </w:rPr>
            </w:pPr>
            <w:r>
              <w:rPr>
                <w:rFonts w:hint="eastAsia" w:ascii="宋体" w:hAnsi="宋体" w:cs="宋体"/>
                <w:szCs w:val="21"/>
                <w:highlight w:val="none"/>
                <w:u w:val="none"/>
                <w:lang w:val="en-US" w:eastAsia="zh-CN"/>
              </w:rPr>
              <w:t>6185273.16</w:t>
            </w:r>
          </w:p>
        </w:tc>
        <w:tc>
          <w:tcPr>
            <w:tcW w:w="853" w:type="dxa"/>
            <w:vAlign w:val="center"/>
          </w:tcPr>
          <w:p w14:paraId="6A138233">
            <w:pPr>
              <w:widowControl/>
              <w:kinsoku w:val="0"/>
              <w:autoSpaceDE w:val="0"/>
              <w:autoSpaceDN w:val="0"/>
              <w:adjustRightInd w:val="0"/>
              <w:snapToGrid w:val="0"/>
              <w:spacing w:before="104" w:line="220" w:lineRule="auto"/>
              <w:ind w:left="18"/>
              <w:jc w:val="center"/>
              <w:textAlignment w:val="baseline"/>
              <w:rPr>
                <w:rFonts w:hint="eastAsia" w:ascii="宋体" w:hAnsi="宋体" w:eastAsia="宋体" w:cs="宋体"/>
                <w:szCs w:val="21"/>
                <w:highlight w:val="none"/>
                <w:u w:val="none"/>
                <w:lang w:eastAsia="zh-CN"/>
              </w:rPr>
            </w:pPr>
            <w:r>
              <w:rPr>
                <w:rFonts w:hint="eastAsia" w:ascii="宋体" w:hAnsi="宋体" w:cs="宋体"/>
                <w:szCs w:val="21"/>
                <w:highlight w:val="none"/>
                <w:u w:val="none"/>
                <w:lang w:eastAsia="zh-CN"/>
              </w:rPr>
              <w:t>工业</w:t>
            </w:r>
          </w:p>
        </w:tc>
      </w:tr>
    </w:tbl>
    <w:p w14:paraId="43B75149">
      <w:pPr>
        <w:spacing w:line="19" w:lineRule="exact"/>
        <w:rPr>
          <w:highlight w:val="none"/>
        </w:rPr>
      </w:pPr>
    </w:p>
    <w:p w14:paraId="35B3A9EA">
      <w:pPr>
        <w:adjustRightInd w:val="0"/>
        <w:snapToGrid w:val="0"/>
        <w:spacing w:line="360" w:lineRule="auto"/>
        <w:rPr>
          <w:rFonts w:ascii="宋体" w:hAnsi="宋体"/>
          <w:b/>
          <w:szCs w:val="21"/>
          <w:highlight w:val="none"/>
        </w:rPr>
      </w:pPr>
      <w:r>
        <w:rPr>
          <w:rFonts w:hint="eastAsia" w:ascii="宋体" w:hAnsi="宋体"/>
          <w:szCs w:val="21"/>
          <w:highlight w:val="none"/>
        </w:rPr>
        <w:t>说明：节能产品实行</w:t>
      </w:r>
      <w:r>
        <w:rPr>
          <w:rFonts w:hint="eastAsia" w:ascii="宋体" w:hAnsi="宋体"/>
          <w:iCs/>
          <w:szCs w:val="21"/>
          <w:highlight w:val="none"/>
        </w:rPr>
        <w:t>强制采购的</w:t>
      </w:r>
      <w:r>
        <w:rPr>
          <w:rFonts w:hint="eastAsia" w:ascii="宋体" w:hAnsi="宋体"/>
          <w:szCs w:val="21"/>
          <w:highlight w:val="none"/>
        </w:rPr>
        <w:t>，需提供国家认证机构出具的、处于有效期内的节能产品证书。</w:t>
      </w:r>
    </w:p>
    <w:p w14:paraId="5AEDC39F">
      <w:pPr>
        <w:numPr>
          <w:ilvl w:val="0"/>
          <w:numId w:val="0"/>
        </w:numPr>
        <w:adjustRightInd w:val="0"/>
        <w:snapToGrid w:val="0"/>
        <w:spacing w:line="360" w:lineRule="auto"/>
        <w:ind w:firstLine="422" w:firstLineChars="200"/>
        <w:rPr>
          <w:rFonts w:hint="eastAsia" w:ascii="宋体" w:hAnsi="宋体"/>
          <w:b/>
          <w:szCs w:val="21"/>
          <w:highlight w:val="none"/>
        </w:rPr>
      </w:pPr>
      <w:r>
        <w:rPr>
          <w:rFonts w:hint="eastAsia" w:ascii="宋体" w:hAnsi="宋体" w:eastAsia="宋体" w:cs="Times New Roman"/>
          <w:b/>
          <w:kern w:val="2"/>
          <w:sz w:val="21"/>
          <w:szCs w:val="21"/>
          <w:highlight w:val="none"/>
          <w:lang w:val="en-US" w:eastAsia="zh-CN" w:bidi="ar-SA"/>
        </w:rPr>
        <w:t>三、</w:t>
      </w:r>
      <w:r>
        <w:rPr>
          <w:rFonts w:hint="eastAsia" w:ascii="宋体" w:hAnsi="宋体"/>
          <w:b/>
          <w:szCs w:val="21"/>
          <w:highlight w:val="none"/>
        </w:rPr>
        <w:t>投标人的资格要求</w:t>
      </w:r>
    </w:p>
    <w:p w14:paraId="6BA30C69">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1、投标人的基本资格条件：</w:t>
      </w:r>
    </w:p>
    <w:p w14:paraId="7FAE7B59">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（1）投标人必须是在中华人民共和国境内注册登记的法人、其他组织或者自然人，且应当符合《政府采购法》第二十二条第一款的规定。</w:t>
      </w:r>
    </w:p>
    <w:p w14:paraId="5E7BE7DE">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（2）单位负责人为同一人或者存在直接控股、管理关系的不同投标人，不得参加同一合同项下的政府采购活动。</w:t>
      </w:r>
    </w:p>
    <w:p w14:paraId="0A4A7BE0">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（3）为本采购项目提供整体设计、规范编制或者项目管理、监理、检测等服务的，不得再参加此项目的其他采购活动。</w:t>
      </w:r>
    </w:p>
    <w:p w14:paraId="3AEE9E90">
      <w:pPr>
        <w:adjustRightInd w:val="0"/>
        <w:snapToGrid w:val="0"/>
        <w:spacing w:line="360" w:lineRule="auto"/>
        <w:ind w:firstLine="420" w:firstLineChars="200"/>
        <w:rPr>
          <w:rFonts w:ascii="宋体" w:hAnsi="宋体"/>
          <w:szCs w:val="21"/>
          <w:highlight w:val="none"/>
        </w:rPr>
      </w:pPr>
      <w:r>
        <w:rPr>
          <w:rFonts w:hint="eastAsia" w:ascii="宋体" w:hAnsi="宋体"/>
          <w:szCs w:val="21"/>
          <w:highlight w:val="none"/>
        </w:rPr>
        <w:t xml:space="preserve">（4）列入失信被执行人、重大税收违法失信主体名单、政府采购严重违法失信行为记录名单的，拒绝其参与政府采购活动。 </w:t>
      </w:r>
    </w:p>
    <w:p w14:paraId="2D0778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szCs w:val="21"/>
          <w:highlight w:val="none"/>
          <w:lang w:eastAsia="zh-CN"/>
        </w:rPr>
      </w:pPr>
      <w:r>
        <w:rPr>
          <w:rFonts w:hint="eastAsia" w:ascii="宋体" w:hAnsi="宋体"/>
          <w:szCs w:val="21"/>
          <w:highlight w:val="none"/>
        </w:rPr>
        <w:t>2、落实政府采购政策需满足的资格要求：</w:t>
      </w:r>
    </w:p>
    <w:p w14:paraId="7E2A60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Times New Roman"/>
          <w:szCs w:val="21"/>
          <w:highlight w:val="none"/>
        </w:rPr>
      </w:pPr>
      <w:r>
        <w:rPr>
          <w:rFonts w:hint="eastAsia" w:ascii="宋体" w:hAnsi="宋体" w:cs="Times New Roman"/>
          <w:szCs w:val="21"/>
          <w:highlight w:val="none"/>
        </w:rPr>
        <w:t>包名称：</w:t>
      </w:r>
      <w:r>
        <w:rPr>
          <w:rFonts w:hint="eastAsia" w:ascii="宋体" w:hAnsi="宋体" w:cs="Times New Roman"/>
          <w:szCs w:val="21"/>
          <w:highlight w:val="none"/>
          <w:u w:val="single"/>
        </w:rPr>
        <w:t xml:space="preserve"> </w:t>
      </w:r>
      <w:r>
        <w:rPr>
          <w:rFonts w:hint="eastAsia" w:ascii="宋体" w:hAnsi="宋体" w:cs="Times New Roman"/>
          <w:szCs w:val="21"/>
          <w:highlight w:val="none"/>
          <w:u w:val="single"/>
          <w:lang w:eastAsia="zh-CN"/>
        </w:rPr>
        <w:t>体育新城实验学校设施设备采购</w:t>
      </w:r>
      <w:r>
        <w:rPr>
          <w:rFonts w:hint="eastAsia" w:ascii="宋体" w:hAnsi="宋体" w:cs="Times New Roman"/>
          <w:szCs w:val="21"/>
          <w:highlight w:val="none"/>
        </w:rPr>
        <w:t xml:space="preserve">   </w:t>
      </w:r>
    </w:p>
    <w:p w14:paraId="720C9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Times New Roman"/>
          <w:szCs w:val="21"/>
          <w:highlight w:val="none"/>
          <w:lang w:val="en-US" w:eastAsia="zh-CN"/>
        </w:rPr>
      </w:pPr>
      <w:r>
        <w:rPr>
          <w:rFonts w:hint="eastAsia" w:ascii="宋体" w:hAnsi="宋体" w:cs="Times New Roman"/>
          <w:szCs w:val="21"/>
          <w:highlight w:val="none"/>
          <w:lang w:val="en-US" w:eastAsia="zh-CN"/>
        </w:rPr>
        <w:t>落实政府采购政策需满足的资格要求：</w:t>
      </w:r>
      <w:r>
        <w:rPr>
          <w:rFonts w:hint="eastAsia" w:ascii="宋体" w:hAnsi="宋体" w:cs="Times New Roman"/>
          <w:szCs w:val="21"/>
          <w:highlight w:val="none"/>
          <w:u w:val="single"/>
          <w:lang w:val="en-US" w:eastAsia="zh-CN"/>
        </w:rPr>
        <w:t>无。</w:t>
      </w:r>
    </w:p>
    <w:p w14:paraId="7946CA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Times New Roman"/>
          <w:szCs w:val="21"/>
          <w:highlight w:val="none"/>
        </w:rPr>
      </w:pPr>
      <w:r>
        <w:rPr>
          <w:rFonts w:hint="eastAsia" w:ascii="宋体" w:hAnsi="宋体" w:eastAsia="宋体" w:cs="Times New Roman"/>
          <w:kern w:val="2"/>
          <w:sz w:val="21"/>
          <w:szCs w:val="21"/>
          <w:highlight w:val="none"/>
          <w:lang w:val="en-US" w:eastAsia="zh-CN" w:bidi="ar-SA"/>
        </w:rPr>
        <w:t>3、</w:t>
      </w:r>
      <w:r>
        <w:rPr>
          <w:rFonts w:hint="eastAsia" w:ascii="宋体" w:hAnsi="宋体" w:cs="Times New Roman"/>
          <w:szCs w:val="21"/>
          <w:highlight w:val="none"/>
        </w:rPr>
        <w:t>供应商特定资格条件：</w:t>
      </w:r>
    </w:p>
    <w:p w14:paraId="208046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Times New Roman"/>
          <w:szCs w:val="21"/>
          <w:highlight w:val="none"/>
          <w:lang w:val="en-US" w:eastAsia="zh-CN"/>
        </w:rPr>
      </w:pPr>
      <w:r>
        <w:rPr>
          <w:rFonts w:hint="eastAsia" w:ascii="宋体" w:hAnsi="宋体" w:cs="Times New Roman"/>
          <w:szCs w:val="21"/>
          <w:highlight w:val="none"/>
          <w:lang w:val="en-US" w:eastAsia="zh-CN"/>
        </w:rPr>
        <w:t>包名称：</w:t>
      </w:r>
      <w:r>
        <w:rPr>
          <w:rFonts w:hint="eastAsia" w:ascii="宋体" w:hAnsi="宋体" w:cs="Times New Roman"/>
          <w:szCs w:val="21"/>
          <w:highlight w:val="none"/>
          <w:u w:val="single"/>
          <w:lang w:val="en-US" w:eastAsia="zh-CN"/>
        </w:rPr>
        <w:t xml:space="preserve"> 体育新城实验学校设施设备采购</w:t>
      </w:r>
      <w:r>
        <w:rPr>
          <w:rFonts w:hint="eastAsia" w:ascii="宋体" w:hAnsi="宋体" w:cs="Times New Roman"/>
          <w:szCs w:val="21"/>
          <w:highlight w:val="none"/>
          <w:lang w:val="en-US" w:eastAsia="zh-CN"/>
        </w:rPr>
        <w:t xml:space="preserve">    </w:t>
      </w:r>
    </w:p>
    <w:p w14:paraId="5F71F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ascii="宋体" w:hAnsi="宋体"/>
          <w:szCs w:val="21"/>
          <w:highlight w:val="none"/>
        </w:rPr>
      </w:pPr>
      <w:r>
        <w:rPr>
          <w:rFonts w:hint="eastAsia" w:ascii="宋体" w:hAnsi="宋体" w:cs="Times New Roman"/>
          <w:szCs w:val="21"/>
          <w:highlight w:val="none"/>
          <w:lang w:val="en-US" w:eastAsia="zh-CN"/>
        </w:rPr>
        <w:t>特定资格条件：</w:t>
      </w:r>
      <w:r>
        <w:rPr>
          <w:rFonts w:hint="eastAsia" w:ascii="宋体" w:hAnsi="宋体" w:cs="Times New Roman"/>
          <w:szCs w:val="21"/>
          <w:highlight w:val="none"/>
          <w:u w:val="single"/>
          <w:lang w:val="en-US" w:eastAsia="zh-CN"/>
        </w:rPr>
        <w:t>无</w:t>
      </w:r>
    </w:p>
    <w:p w14:paraId="0C67089B">
      <w:pPr>
        <w:adjustRightInd w:val="0"/>
        <w:snapToGrid w:val="0"/>
        <w:spacing w:before="50" w:line="360" w:lineRule="auto"/>
        <w:ind w:firstLine="422" w:firstLineChars="200"/>
        <w:rPr>
          <w:rFonts w:ascii="宋体" w:hAnsi="宋体"/>
          <w:szCs w:val="21"/>
          <w:highlight w:val="none"/>
        </w:rPr>
      </w:pPr>
      <w:r>
        <w:rPr>
          <w:rFonts w:hint="eastAsia" w:ascii="宋体" w:hAnsi="宋体"/>
          <w:b/>
          <w:bCs/>
          <w:szCs w:val="21"/>
          <w:highlight w:val="none"/>
        </w:rPr>
        <w:t>注：</w:t>
      </w:r>
      <w:r>
        <w:rPr>
          <w:rFonts w:hint="eastAsia" w:ascii="宋体" w:hAnsi="宋体"/>
          <w:szCs w:val="21"/>
          <w:highlight w:val="none"/>
        </w:rPr>
        <w:t>（1）投标人具有实行了“三证合一”登记制度改革的新证，视同为持有工商营业执照、组织机构代码证和税务登记证，符合基本资格条件的相关条款；投标人具有实行了“五证合一”登记制度改革的新政，视同持有工商营业执照、组织机构代码证、税务登记证、社会保险登记证和统计登记证，符合基本资格条件的相关条款；</w:t>
      </w:r>
    </w:p>
    <w:p w14:paraId="74A28C88">
      <w:pPr>
        <w:adjustRightInd w:val="0"/>
        <w:snapToGrid w:val="0"/>
        <w:spacing w:before="50" w:line="360" w:lineRule="auto"/>
        <w:ind w:firstLine="420" w:firstLineChars="200"/>
        <w:rPr>
          <w:rFonts w:ascii="宋体" w:hAnsi="宋体"/>
          <w:b/>
          <w:szCs w:val="21"/>
          <w:highlight w:val="none"/>
        </w:rPr>
      </w:pPr>
      <w:r>
        <w:rPr>
          <w:rFonts w:hint="eastAsia" w:ascii="宋体" w:hAnsi="宋体"/>
          <w:szCs w:val="21"/>
          <w:highlight w:val="none"/>
        </w:rPr>
        <w:t>（2）根据《〈政府采购法实施条例〉释义》，银行、保险、石油石化、电力、电信等有行业特殊情况的，取得营业执照的分支机构可以分公司名义参与投标，采购文件中涉及的“法定代表人”在前述特殊行业中即对应为“分支机构负责人”。</w:t>
      </w:r>
    </w:p>
    <w:p w14:paraId="1D32D659">
      <w:pPr>
        <w:numPr>
          <w:ilvl w:val="0"/>
          <w:numId w:val="0"/>
        </w:numPr>
        <w:adjustRightInd w:val="0"/>
        <w:snapToGrid w:val="0"/>
        <w:spacing w:line="360" w:lineRule="auto"/>
        <w:ind w:firstLine="422" w:firstLineChars="200"/>
        <w:rPr>
          <w:rFonts w:hint="eastAsia" w:ascii="宋体" w:hAnsi="宋体" w:eastAsia="宋体" w:cs="Times New Roman"/>
          <w:b/>
          <w:szCs w:val="21"/>
          <w:highlight w:val="none"/>
          <w:lang w:val="en-US" w:eastAsia="zh-CN"/>
        </w:rPr>
      </w:pPr>
      <w:bookmarkStart w:id="9" w:name="_Toc28945"/>
      <w:r>
        <w:rPr>
          <w:rFonts w:hint="eastAsia" w:ascii="宋体" w:hAnsi="宋体" w:eastAsia="宋体" w:cs="Times New Roman"/>
          <w:b/>
          <w:szCs w:val="21"/>
          <w:highlight w:val="none"/>
          <w:lang w:val="en-US" w:eastAsia="zh-CN"/>
        </w:rPr>
        <w:t>四、获取招标文件的时间、期限、地点及方式</w:t>
      </w:r>
      <w:bookmarkEnd w:id="9"/>
    </w:p>
    <w:p w14:paraId="404B1E21">
      <w:pPr>
        <w:adjustRightInd w:val="0"/>
        <w:snapToGrid w:val="0"/>
        <w:spacing w:line="360" w:lineRule="auto"/>
        <w:ind w:firstLine="420" w:firstLineChars="200"/>
        <w:rPr>
          <w:rFonts w:hint="eastAsia" w:cs="宋体"/>
          <w:color w:val="000000"/>
          <w:sz w:val="21"/>
          <w:szCs w:val="21"/>
          <w:highlight w:val="none"/>
          <w:u w:val="none"/>
          <w:lang w:val="en-US" w:eastAsia="zh-CN"/>
        </w:rPr>
      </w:pPr>
      <w:r>
        <w:rPr>
          <w:rFonts w:hint="eastAsia" w:ascii="宋体" w:hAnsi="宋体" w:cs="Times New Roman"/>
          <w:bCs/>
          <w:color w:val="000000"/>
          <w:szCs w:val="21"/>
          <w:highlight w:val="none"/>
          <w:u w:val="none"/>
          <w:lang w:val="en-US" w:eastAsia="zh-CN"/>
        </w:rPr>
        <w:t>1、时间：</w:t>
      </w:r>
      <w:r>
        <w:rPr>
          <w:rFonts w:hint="eastAsia" w:ascii="宋体" w:hAnsi="宋体" w:cs="Times New Roman"/>
          <w:bCs/>
          <w:color w:val="FF0000"/>
          <w:szCs w:val="21"/>
          <w:highlight w:val="none"/>
          <w:u w:val="single"/>
          <w:lang w:val="en-US" w:eastAsia="zh-CN"/>
        </w:rPr>
        <w:t>2026</w:t>
      </w:r>
      <w:r>
        <w:rPr>
          <w:rFonts w:hint="eastAsia" w:ascii="宋体" w:hAnsi="宋体" w:cs="Times New Roman"/>
          <w:bCs/>
          <w:color w:val="FF0000"/>
          <w:szCs w:val="21"/>
          <w:highlight w:val="none"/>
          <w:u w:val="none"/>
          <w:lang w:val="en-US" w:eastAsia="zh-CN"/>
        </w:rPr>
        <w:t>年</w:t>
      </w:r>
      <w:r>
        <w:rPr>
          <w:rFonts w:hint="eastAsia" w:ascii="宋体" w:hAnsi="宋体" w:cs="Times New Roman"/>
          <w:bCs/>
          <w:color w:val="FF0000"/>
          <w:szCs w:val="21"/>
          <w:highlight w:val="none"/>
          <w:u w:val="single"/>
          <w:lang w:val="en-US" w:eastAsia="zh-CN"/>
        </w:rPr>
        <w:t>7</w:t>
      </w:r>
      <w:r>
        <w:rPr>
          <w:rFonts w:hint="eastAsia" w:ascii="宋体" w:hAnsi="宋体" w:cs="Times New Roman"/>
          <w:bCs/>
          <w:color w:val="FF0000"/>
          <w:szCs w:val="21"/>
          <w:highlight w:val="none"/>
          <w:u w:val="none"/>
          <w:lang w:val="en-US" w:eastAsia="zh-CN"/>
        </w:rPr>
        <w:t>月</w:t>
      </w:r>
      <w:r>
        <w:rPr>
          <w:rFonts w:hint="eastAsia" w:ascii="宋体" w:hAnsi="宋体" w:cs="Times New Roman"/>
          <w:bCs/>
          <w:color w:val="FF0000"/>
          <w:szCs w:val="21"/>
          <w:highlight w:val="none"/>
          <w:u w:val="single"/>
          <w:lang w:val="en-US" w:eastAsia="zh-CN"/>
        </w:rPr>
        <w:t>10</w:t>
      </w:r>
      <w:r>
        <w:rPr>
          <w:rFonts w:hint="eastAsia" w:ascii="宋体" w:hAnsi="宋体" w:cs="Times New Roman"/>
          <w:bCs/>
          <w:color w:val="FF0000"/>
          <w:szCs w:val="21"/>
          <w:highlight w:val="none"/>
          <w:u w:val="none"/>
          <w:lang w:val="en-US" w:eastAsia="zh-CN"/>
        </w:rPr>
        <w:t>日上午</w:t>
      </w:r>
      <w:r>
        <w:rPr>
          <w:rFonts w:hint="eastAsia" w:ascii="宋体" w:hAnsi="宋体" w:cs="Times New Roman"/>
          <w:bCs/>
          <w:color w:val="FF0000"/>
          <w:szCs w:val="21"/>
          <w:highlight w:val="none"/>
          <w:u w:val="single"/>
          <w:lang w:val="en-US" w:eastAsia="zh-CN"/>
        </w:rPr>
        <w:t>9</w:t>
      </w:r>
      <w:r>
        <w:rPr>
          <w:rFonts w:hint="eastAsia" w:ascii="宋体" w:hAnsi="宋体" w:cs="Times New Roman"/>
          <w:bCs/>
          <w:color w:val="FF0000"/>
          <w:szCs w:val="21"/>
          <w:highlight w:val="none"/>
          <w:u w:val="none"/>
          <w:lang w:val="en-US" w:eastAsia="zh-CN"/>
        </w:rPr>
        <w:t>:</w:t>
      </w:r>
      <w:r>
        <w:rPr>
          <w:rFonts w:hint="eastAsia" w:ascii="宋体" w:hAnsi="宋体" w:cs="Times New Roman"/>
          <w:bCs/>
          <w:color w:val="FF0000"/>
          <w:szCs w:val="21"/>
          <w:highlight w:val="none"/>
          <w:u w:val="single"/>
          <w:lang w:val="en-US" w:eastAsia="zh-CN"/>
        </w:rPr>
        <w:t>00</w:t>
      </w:r>
      <w:r>
        <w:rPr>
          <w:rFonts w:hint="eastAsia" w:ascii="宋体" w:hAnsi="宋体" w:cs="Times New Roman"/>
          <w:bCs/>
          <w:color w:val="FF0000"/>
          <w:szCs w:val="21"/>
          <w:highlight w:val="none"/>
          <w:u w:val="none"/>
          <w:lang w:val="en-US" w:eastAsia="zh-CN"/>
        </w:rPr>
        <w:t>至</w:t>
      </w:r>
      <w:r>
        <w:rPr>
          <w:rFonts w:hint="eastAsia" w:ascii="宋体" w:hAnsi="宋体" w:cs="Times New Roman"/>
          <w:bCs/>
          <w:color w:val="FF0000"/>
          <w:szCs w:val="21"/>
          <w:highlight w:val="none"/>
          <w:u w:val="single"/>
          <w:lang w:val="en-US" w:eastAsia="zh-CN"/>
        </w:rPr>
        <w:t>2026</w:t>
      </w:r>
      <w:r>
        <w:rPr>
          <w:rFonts w:hint="eastAsia" w:ascii="宋体" w:hAnsi="宋体" w:cs="Times New Roman"/>
          <w:bCs/>
          <w:color w:val="FF0000"/>
          <w:szCs w:val="21"/>
          <w:highlight w:val="none"/>
          <w:u w:val="none"/>
          <w:lang w:val="en-US" w:eastAsia="zh-CN"/>
        </w:rPr>
        <w:t>年</w:t>
      </w:r>
      <w:r>
        <w:rPr>
          <w:rFonts w:hint="eastAsia" w:ascii="宋体" w:hAnsi="宋体" w:cs="Times New Roman"/>
          <w:bCs/>
          <w:color w:val="FF0000"/>
          <w:szCs w:val="21"/>
          <w:highlight w:val="none"/>
          <w:u w:val="single"/>
          <w:lang w:val="en-US" w:eastAsia="zh-CN"/>
        </w:rPr>
        <w:t>7</w:t>
      </w:r>
      <w:r>
        <w:rPr>
          <w:rFonts w:hint="eastAsia" w:ascii="宋体" w:hAnsi="宋体" w:cs="Times New Roman"/>
          <w:bCs/>
          <w:color w:val="FF0000"/>
          <w:szCs w:val="21"/>
          <w:highlight w:val="none"/>
          <w:u w:val="none"/>
          <w:lang w:val="en-US" w:eastAsia="zh-CN"/>
        </w:rPr>
        <w:t>月</w:t>
      </w:r>
      <w:r>
        <w:rPr>
          <w:rFonts w:hint="eastAsia" w:ascii="宋体" w:hAnsi="宋体" w:cs="Times New Roman"/>
          <w:bCs/>
          <w:color w:val="FF0000"/>
          <w:szCs w:val="21"/>
          <w:highlight w:val="none"/>
          <w:u w:val="single"/>
          <w:lang w:val="en-US" w:eastAsia="zh-CN"/>
        </w:rPr>
        <w:t>17</w:t>
      </w:r>
      <w:r>
        <w:rPr>
          <w:rFonts w:hint="eastAsia" w:ascii="宋体" w:hAnsi="宋体" w:cs="Times New Roman"/>
          <w:bCs/>
          <w:color w:val="FF0000"/>
          <w:szCs w:val="21"/>
          <w:highlight w:val="none"/>
          <w:u w:val="none"/>
          <w:lang w:val="en-US" w:eastAsia="zh-CN"/>
        </w:rPr>
        <w:t>日下午</w:t>
      </w:r>
      <w:r>
        <w:rPr>
          <w:rFonts w:hint="eastAsia" w:ascii="宋体" w:hAnsi="宋体" w:cs="Times New Roman"/>
          <w:bCs/>
          <w:color w:val="FF0000"/>
          <w:szCs w:val="21"/>
          <w:highlight w:val="none"/>
          <w:u w:val="single"/>
          <w:lang w:val="en-US" w:eastAsia="zh-CN"/>
        </w:rPr>
        <w:t>17</w:t>
      </w:r>
      <w:r>
        <w:rPr>
          <w:rFonts w:hint="eastAsia" w:ascii="宋体" w:hAnsi="宋体" w:cs="Times New Roman"/>
          <w:bCs/>
          <w:color w:val="FF0000"/>
          <w:szCs w:val="21"/>
          <w:highlight w:val="none"/>
          <w:u w:val="none"/>
          <w:lang w:val="en-US" w:eastAsia="zh-CN"/>
        </w:rPr>
        <w:t>:</w:t>
      </w:r>
      <w:r>
        <w:rPr>
          <w:rFonts w:hint="eastAsia" w:ascii="宋体" w:hAnsi="宋体" w:cs="Times New Roman"/>
          <w:bCs/>
          <w:color w:val="FF0000"/>
          <w:szCs w:val="21"/>
          <w:highlight w:val="none"/>
          <w:u w:val="single"/>
          <w:lang w:val="en-US" w:eastAsia="zh-CN"/>
        </w:rPr>
        <w:t>00</w:t>
      </w:r>
      <w:r>
        <w:rPr>
          <w:rFonts w:hint="eastAsia" w:ascii="宋体" w:hAnsi="宋体" w:cs="Times New Roman"/>
          <w:bCs/>
          <w:color w:val="000000"/>
          <w:szCs w:val="21"/>
          <w:highlight w:val="none"/>
          <w:u w:val="none"/>
          <w:lang w:val="en-US" w:eastAsia="zh-CN"/>
        </w:rPr>
        <w:t>（北京时间）</w:t>
      </w:r>
      <w:r>
        <w:rPr>
          <w:rFonts w:hint="eastAsia" w:cs="宋体"/>
          <w:color w:val="000000"/>
          <w:sz w:val="21"/>
          <w:szCs w:val="21"/>
          <w:highlight w:val="none"/>
          <w:u w:val="none"/>
          <w:lang w:val="en-US" w:eastAsia="zh-CN"/>
        </w:rPr>
        <w:t>。</w:t>
      </w:r>
    </w:p>
    <w:p w14:paraId="56FF9ADB">
      <w:pPr>
        <w:adjustRightInd w:val="0"/>
        <w:snapToGrid w:val="0"/>
        <w:spacing w:line="360" w:lineRule="auto"/>
        <w:ind w:firstLine="420" w:firstLineChars="200"/>
        <w:rPr>
          <w:rFonts w:hint="eastAsia" w:ascii="宋体" w:hAnsi="宋体" w:cs="Times New Roman"/>
          <w:bCs/>
          <w:color w:val="000000"/>
          <w:szCs w:val="21"/>
          <w:highlight w:val="none"/>
          <w:u w:val="none"/>
          <w:lang w:val="en-US" w:eastAsia="zh-CN"/>
        </w:rPr>
      </w:pPr>
      <w:r>
        <w:rPr>
          <w:rFonts w:hint="eastAsia" w:ascii="宋体" w:hAnsi="宋体"/>
          <w:bCs/>
          <w:color w:val="000000"/>
          <w:szCs w:val="21"/>
          <w:highlight w:val="none"/>
          <w:lang w:val="en-US" w:eastAsia="zh-CN"/>
        </w:rPr>
        <w:t>2</w:t>
      </w:r>
      <w:r>
        <w:rPr>
          <w:rFonts w:hint="eastAsia" w:ascii="宋体" w:hAnsi="宋体"/>
          <w:bCs/>
          <w:color w:val="000000"/>
          <w:szCs w:val="21"/>
          <w:highlight w:val="none"/>
        </w:rPr>
        <w:t>、</w:t>
      </w:r>
      <w:r>
        <w:rPr>
          <w:rFonts w:hint="eastAsia" w:ascii="宋体" w:hAnsi="宋体" w:cs="Times New Roman"/>
          <w:bCs/>
          <w:color w:val="000000"/>
          <w:szCs w:val="21"/>
          <w:highlight w:val="none"/>
          <w:u w:val="none"/>
          <w:lang w:val="en-US" w:eastAsia="zh-CN"/>
        </w:rPr>
        <w:t>地点：邵阳市公共资源交易中心网站（http:// ggzy.shaoyang.gov.cn）。</w:t>
      </w:r>
    </w:p>
    <w:p w14:paraId="306916B0">
      <w:pPr>
        <w:adjustRightInd w:val="0"/>
        <w:snapToGrid w:val="0"/>
        <w:spacing w:line="360" w:lineRule="auto"/>
        <w:ind w:firstLine="420" w:firstLineChars="200"/>
        <w:rPr>
          <w:rFonts w:hint="eastAsia" w:ascii="宋体" w:hAnsi="宋体" w:cs="Times New Roman"/>
          <w:bCs/>
          <w:color w:val="000000"/>
          <w:szCs w:val="21"/>
          <w:highlight w:val="none"/>
          <w:u w:val="none"/>
          <w:lang w:val="en-US" w:eastAsia="zh-CN"/>
        </w:rPr>
      </w:pPr>
      <w:r>
        <w:rPr>
          <w:rFonts w:hint="eastAsia" w:ascii="宋体" w:hAnsi="宋体" w:cs="Times New Roman"/>
          <w:bCs/>
          <w:color w:val="000000"/>
          <w:szCs w:val="21"/>
          <w:highlight w:val="none"/>
          <w:u w:val="none"/>
          <w:lang w:val="en-US" w:eastAsia="zh-CN"/>
        </w:rPr>
        <w:t>3、方式：在邵阳市公共资源交易中心网站（http:// ggzy.shaoyang.gov.cn）点击“交易主体入口”进入全流程电子交易平台-政府采购类”登录进入交易系统。</w:t>
      </w:r>
    </w:p>
    <w:p w14:paraId="783082EE">
      <w:pPr>
        <w:adjustRightInd w:val="0"/>
        <w:snapToGrid w:val="0"/>
        <w:spacing w:line="360" w:lineRule="auto"/>
        <w:ind w:firstLine="420" w:firstLineChars="200"/>
        <w:rPr>
          <w:rFonts w:hint="default" w:ascii="宋体" w:hAnsi="宋体" w:cs="Times New Roman"/>
          <w:bCs/>
          <w:color w:val="000000"/>
          <w:szCs w:val="21"/>
          <w:highlight w:val="none"/>
          <w:u w:val="none"/>
          <w:lang w:val="en-US" w:eastAsia="zh-CN"/>
        </w:rPr>
      </w:pPr>
      <w:r>
        <w:rPr>
          <w:rFonts w:hint="eastAsia" w:ascii="宋体" w:hAnsi="宋体" w:cs="Times New Roman"/>
          <w:bCs/>
          <w:color w:val="000000"/>
          <w:szCs w:val="21"/>
          <w:highlight w:val="none"/>
          <w:u w:val="none"/>
          <w:lang w:val="en-US" w:eastAsia="zh-CN"/>
        </w:rPr>
        <w:t>注：①供应商须在招标文件获取截至时间之前登录交易系统后进行“填写投标信息”等操作后方可进行文件下载；②邵阳市公共资源交易平台需使用数字证书登录进行操作，供应商须在邵阳市公共资源交易中心网站(http://gszy.shaoyang:gov.cn)的交易平台注册，办理CA证书并绑定邵阳市公共资源交易平台。</w:t>
      </w:r>
    </w:p>
    <w:p w14:paraId="2515DC63">
      <w:pPr>
        <w:spacing w:line="360" w:lineRule="auto"/>
        <w:ind w:firstLine="420" w:firstLineChars="200"/>
        <w:rPr>
          <w:rFonts w:ascii="宋体" w:hAnsi="宋体" w:cs="宋体" w:eastAsiaTheme="minorEastAsia"/>
          <w:szCs w:val="21"/>
          <w:highlight w:val="none"/>
        </w:rPr>
      </w:pPr>
      <w:r>
        <w:rPr>
          <w:rFonts w:hint="eastAsia" w:ascii="宋体" w:hAnsi="宋体" w:eastAsia="宋体" w:cs="Times New Roman"/>
          <w:bCs/>
          <w:color w:val="000000"/>
          <w:kern w:val="2"/>
          <w:sz w:val="21"/>
          <w:szCs w:val="21"/>
          <w:highlight w:val="none"/>
          <w:lang w:val="en-US" w:eastAsia="zh-CN" w:bidi="ar-SA"/>
        </w:rPr>
        <w:t>4、</w:t>
      </w:r>
      <w:r>
        <w:rPr>
          <w:rFonts w:hint="eastAsia" w:ascii="宋体" w:hAnsi="宋体"/>
          <w:bCs/>
          <w:color w:val="000000"/>
          <w:szCs w:val="21"/>
          <w:highlight w:val="none"/>
          <w:u w:val="none"/>
          <w:lang w:val="en-US" w:eastAsia="zh-CN"/>
        </w:rPr>
        <w:t>售价：</w:t>
      </w:r>
      <w:r>
        <w:rPr>
          <w:rFonts w:hint="eastAsia" w:ascii="宋体" w:hAnsi="宋体"/>
          <w:bCs/>
          <w:color w:val="000000"/>
          <w:szCs w:val="21"/>
          <w:highlight w:val="none"/>
          <w:u w:val="single"/>
          <w:lang w:val="en-US" w:eastAsia="zh-CN"/>
        </w:rPr>
        <w:t>0元</w:t>
      </w:r>
    </w:p>
    <w:p w14:paraId="62ABAD42">
      <w:pPr>
        <w:adjustRightInd w:val="0"/>
        <w:snapToGrid w:val="0"/>
        <w:spacing w:line="360" w:lineRule="auto"/>
        <w:ind w:firstLine="422" w:firstLineChars="200"/>
        <w:rPr>
          <w:rFonts w:ascii="宋体" w:hAnsi="宋体" w:cs="宋体"/>
          <w:b/>
          <w:szCs w:val="21"/>
          <w:highlight w:val="none"/>
        </w:rPr>
      </w:pPr>
      <w:r>
        <w:rPr>
          <w:rFonts w:hint="eastAsia" w:ascii="宋体" w:hAnsi="宋体" w:cs="宋体"/>
          <w:b/>
          <w:szCs w:val="21"/>
          <w:highlight w:val="none"/>
          <w:lang w:eastAsia="zh-CN"/>
        </w:rPr>
        <w:t>五</w:t>
      </w:r>
      <w:r>
        <w:rPr>
          <w:rFonts w:hint="eastAsia" w:ascii="宋体" w:hAnsi="宋体" w:cs="宋体"/>
          <w:b/>
          <w:szCs w:val="21"/>
          <w:highlight w:val="none"/>
        </w:rPr>
        <w:t>、提交投标文件截止时间、开标时间和地点</w:t>
      </w:r>
    </w:p>
    <w:p w14:paraId="4AA608EF">
      <w:pPr>
        <w:adjustRightInd w:val="0"/>
        <w:snapToGrid w:val="0"/>
        <w:spacing w:line="360" w:lineRule="auto"/>
        <w:ind w:firstLine="420" w:firstLineChars="200"/>
        <w:rPr>
          <w:rFonts w:ascii="宋体" w:hAnsi="宋体"/>
          <w:szCs w:val="21"/>
          <w:highlight w:val="none"/>
        </w:rPr>
      </w:pPr>
      <w:r>
        <w:rPr>
          <w:rFonts w:hint="eastAsia" w:ascii="宋体" w:hAnsi="宋体"/>
          <w:szCs w:val="21"/>
          <w:highlight w:val="none"/>
        </w:rPr>
        <w:t>1、提交投标文件的截止时间和文件解密开始时间：</w:t>
      </w:r>
      <w:r>
        <w:rPr>
          <w:rFonts w:hint="eastAsia" w:ascii="宋体" w:hAnsi="宋体"/>
          <w:b/>
          <w:bCs/>
          <w:color w:val="FF0000"/>
          <w:szCs w:val="21"/>
          <w:highlight w:val="none"/>
        </w:rPr>
        <w:t>202</w:t>
      </w:r>
      <w:r>
        <w:rPr>
          <w:rFonts w:hint="eastAsia" w:ascii="宋体" w:hAnsi="宋体"/>
          <w:b/>
          <w:bCs/>
          <w:color w:val="FF0000"/>
          <w:szCs w:val="21"/>
          <w:highlight w:val="none"/>
          <w:lang w:val="en-US" w:eastAsia="zh-CN"/>
        </w:rPr>
        <w:t>6</w:t>
      </w:r>
      <w:r>
        <w:rPr>
          <w:rFonts w:hint="eastAsia" w:ascii="宋体" w:hAnsi="宋体"/>
          <w:b/>
          <w:bCs/>
          <w:color w:val="FF0000"/>
          <w:szCs w:val="21"/>
          <w:highlight w:val="none"/>
        </w:rPr>
        <w:t>年</w:t>
      </w:r>
      <w:r>
        <w:rPr>
          <w:rFonts w:hint="eastAsia" w:ascii="宋体" w:hAnsi="宋体"/>
          <w:b/>
          <w:bCs/>
          <w:color w:val="FF0000"/>
          <w:szCs w:val="21"/>
          <w:highlight w:val="none"/>
          <w:u w:val="single"/>
          <w:lang w:val="en-US" w:eastAsia="zh-CN"/>
        </w:rPr>
        <w:t>8</w:t>
      </w:r>
      <w:r>
        <w:rPr>
          <w:rFonts w:hint="eastAsia" w:ascii="宋体" w:hAnsi="宋体"/>
          <w:b/>
          <w:bCs/>
          <w:color w:val="FF0000"/>
          <w:szCs w:val="21"/>
          <w:highlight w:val="none"/>
        </w:rPr>
        <w:t>月</w:t>
      </w:r>
      <w:r>
        <w:rPr>
          <w:rFonts w:hint="eastAsia" w:ascii="宋体" w:hAnsi="宋体"/>
          <w:b/>
          <w:bCs/>
          <w:color w:val="FF0000"/>
          <w:szCs w:val="21"/>
          <w:highlight w:val="none"/>
          <w:u w:val="single"/>
          <w:lang w:val="en-US" w:eastAsia="zh-CN"/>
        </w:rPr>
        <w:t>3</w:t>
      </w:r>
      <w:r>
        <w:rPr>
          <w:rFonts w:hint="eastAsia" w:ascii="宋体" w:hAnsi="宋体"/>
          <w:b/>
          <w:bCs/>
          <w:color w:val="FF0000"/>
          <w:szCs w:val="21"/>
          <w:highlight w:val="none"/>
        </w:rPr>
        <w:t>日</w:t>
      </w:r>
      <w:r>
        <w:rPr>
          <w:rFonts w:hint="eastAsia" w:ascii="宋体" w:hAnsi="宋体"/>
          <w:b/>
          <w:bCs/>
          <w:color w:val="FF0000"/>
          <w:szCs w:val="21"/>
          <w:highlight w:val="none"/>
          <w:u w:val="single"/>
        </w:rPr>
        <w:t>9</w:t>
      </w:r>
      <w:r>
        <w:rPr>
          <w:rFonts w:hint="eastAsia" w:ascii="宋体" w:hAnsi="宋体"/>
          <w:b/>
          <w:bCs/>
          <w:color w:val="FF0000"/>
          <w:szCs w:val="21"/>
          <w:highlight w:val="none"/>
        </w:rPr>
        <w:t>:</w:t>
      </w:r>
      <w:r>
        <w:rPr>
          <w:rFonts w:hint="eastAsia" w:ascii="宋体" w:hAnsi="宋体"/>
          <w:b/>
          <w:bCs/>
          <w:color w:val="FF0000"/>
          <w:szCs w:val="21"/>
          <w:highlight w:val="none"/>
          <w:u w:val="single"/>
        </w:rPr>
        <w:t>30</w:t>
      </w:r>
      <w:r>
        <w:rPr>
          <w:rFonts w:hint="eastAsia" w:ascii="宋体" w:hAnsi="宋体"/>
          <w:szCs w:val="21"/>
          <w:highlight w:val="none"/>
        </w:rPr>
        <w:t>，解密时长：30分钟，未在规定时间内登录交易系统进行解密的视为放弃投标。</w:t>
      </w:r>
    </w:p>
    <w:p w14:paraId="45BD8184">
      <w:pPr>
        <w:adjustRightInd w:val="0"/>
        <w:snapToGrid w:val="0"/>
        <w:spacing w:line="360" w:lineRule="auto"/>
        <w:ind w:firstLine="420" w:firstLineChars="200"/>
        <w:rPr>
          <w:rFonts w:ascii="宋体" w:hAnsi="宋体"/>
          <w:szCs w:val="21"/>
          <w:highlight w:val="none"/>
        </w:rPr>
      </w:pPr>
      <w:r>
        <w:rPr>
          <w:rFonts w:hint="eastAsia" w:ascii="宋体" w:hAnsi="宋体" w:cs="宋体"/>
          <w:szCs w:val="21"/>
          <w:highlight w:val="none"/>
        </w:rPr>
        <w:t>2、提交投标文件地点：在邵阳市公共资源交易中心网站（http:// ggzy.shaoyang.gov.cn）点击“交易主体入口”进入全流程电子交易平台-政府采购类”登录进入交易系统。</w:t>
      </w:r>
    </w:p>
    <w:p w14:paraId="68390057">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3、开标时间：与</w:t>
      </w:r>
      <w:r>
        <w:rPr>
          <w:rFonts w:hint="eastAsia" w:ascii="宋体" w:hAnsi="宋体" w:cs="宋体"/>
          <w:szCs w:val="21"/>
          <w:highlight w:val="none"/>
        </w:rPr>
        <w:t>提交投标文件的截止时间一致；投标人未在开标时间（提交投标文件截止时间）前在交易系统中提交电子投标文件的，其投标文件将被拒收。</w:t>
      </w:r>
      <w:r>
        <w:rPr>
          <w:rFonts w:hint="eastAsia" w:ascii="宋体" w:hAnsi="宋体"/>
          <w:szCs w:val="21"/>
          <w:highlight w:val="none"/>
        </w:rPr>
        <w:t xml:space="preserve"> </w:t>
      </w:r>
    </w:p>
    <w:p w14:paraId="191A08E1">
      <w:pPr>
        <w:adjustRightInd w:val="0"/>
        <w:snapToGrid w:val="0"/>
        <w:spacing w:line="360" w:lineRule="auto"/>
        <w:ind w:firstLine="420" w:firstLineChars="200"/>
        <w:rPr>
          <w:rFonts w:hint="eastAsia" w:ascii="宋体" w:hAnsi="宋体" w:eastAsia="宋体" w:cs="Times New Roman"/>
          <w:szCs w:val="21"/>
          <w:highlight w:val="none"/>
        </w:rPr>
      </w:pPr>
      <w:r>
        <w:rPr>
          <w:rFonts w:hint="eastAsia" w:ascii="宋体" w:hAnsi="宋体" w:eastAsia="宋体" w:cs="Times New Roman"/>
          <w:szCs w:val="21"/>
          <w:highlight w:val="none"/>
        </w:rPr>
        <w:t>4、开标地点：邵阳市公共资源交易中心（邵阳市双清区邵阳大道邵阳市公共资源交易中心，详见当天电子显示屏）</w:t>
      </w:r>
      <w:r>
        <w:rPr>
          <w:rFonts w:hint="eastAsia" w:ascii="宋体" w:hAnsi="宋体" w:eastAsia="宋体" w:cs="Times New Roman"/>
          <w:szCs w:val="21"/>
          <w:highlight w:val="none"/>
          <w:lang w:eastAsia="zh-CN"/>
        </w:rPr>
        <w:t>；投标人</w:t>
      </w:r>
      <w:r>
        <w:rPr>
          <w:rFonts w:hint="eastAsia" w:ascii="宋体" w:hAnsi="宋体" w:cs="宋体"/>
          <w:szCs w:val="21"/>
          <w:highlight w:val="none"/>
        </w:rPr>
        <w:t>在邵阳市公共资源交易中心网站（http:// ggzy.shaoyang.gov.cn）点击“交易主体入口”进入全流程电子交易平台-政府采购类”登录进入交易系统</w:t>
      </w:r>
      <w:r>
        <w:rPr>
          <w:rFonts w:hint="eastAsia" w:ascii="宋体" w:hAnsi="宋体" w:cs="宋体"/>
          <w:szCs w:val="21"/>
          <w:highlight w:val="none"/>
          <w:lang w:eastAsia="zh-CN"/>
        </w:rPr>
        <w:t>“开标大厅”</w:t>
      </w:r>
      <w:r>
        <w:rPr>
          <w:rFonts w:hint="eastAsia" w:ascii="宋体" w:hAnsi="宋体" w:cs="宋体"/>
          <w:szCs w:val="21"/>
          <w:highlight w:val="none"/>
        </w:rPr>
        <w:t>。</w:t>
      </w:r>
      <w:r>
        <w:rPr>
          <w:rFonts w:hint="eastAsia" w:ascii="宋体" w:hAnsi="宋体" w:eastAsia="宋体" w:cs="Times New Roman"/>
          <w:szCs w:val="21"/>
          <w:highlight w:val="none"/>
        </w:rPr>
        <w:t xml:space="preserve"> </w:t>
      </w:r>
    </w:p>
    <w:p w14:paraId="226ACBBF">
      <w:pPr>
        <w:adjustRightInd w:val="0"/>
        <w:snapToGrid w:val="0"/>
        <w:spacing w:line="360" w:lineRule="auto"/>
        <w:ind w:firstLine="422" w:firstLineChars="200"/>
        <w:rPr>
          <w:rFonts w:ascii="宋体" w:hAnsi="宋体"/>
          <w:szCs w:val="21"/>
          <w:highlight w:val="none"/>
        </w:rPr>
      </w:pPr>
      <w:r>
        <w:rPr>
          <w:rFonts w:hint="eastAsia" w:ascii="宋体" w:hAnsi="宋体"/>
          <w:b/>
          <w:szCs w:val="21"/>
          <w:highlight w:val="none"/>
          <w:lang w:eastAsia="zh-CN"/>
        </w:rPr>
        <w:t>六</w:t>
      </w:r>
      <w:r>
        <w:rPr>
          <w:rFonts w:hint="eastAsia" w:ascii="宋体" w:hAnsi="宋体"/>
          <w:b/>
          <w:szCs w:val="21"/>
          <w:highlight w:val="none"/>
        </w:rPr>
        <w:t>、公告期限</w:t>
      </w:r>
    </w:p>
    <w:p w14:paraId="106D6A5A">
      <w:pPr>
        <w:adjustRightInd w:val="0"/>
        <w:snapToGrid w:val="0"/>
        <w:spacing w:line="360" w:lineRule="auto"/>
        <w:ind w:firstLine="420" w:firstLineChars="200"/>
        <w:rPr>
          <w:rFonts w:ascii="宋体" w:hAnsi="宋体"/>
          <w:szCs w:val="21"/>
          <w:highlight w:val="none"/>
        </w:rPr>
      </w:pPr>
      <w:r>
        <w:rPr>
          <w:rFonts w:hint="eastAsia" w:ascii="宋体" w:hAnsi="宋体"/>
          <w:szCs w:val="21"/>
          <w:highlight w:val="none"/>
        </w:rPr>
        <w:t>1、本招标公告在中国湖南政府采购网（www.ccgp-hunan.gov.cn）</w:t>
      </w:r>
      <w:r>
        <w:rPr>
          <w:rFonts w:hint="eastAsia" w:ascii="宋体" w:hAnsi="宋体" w:cs="宋体"/>
          <w:szCs w:val="21"/>
          <w:highlight w:val="none"/>
        </w:rPr>
        <w:t>和邵阳市公共资源交易中心网站（</w:t>
      </w:r>
      <w:r>
        <w:rPr>
          <w:highlight w:val="none"/>
        </w:rPr>
        <w:fldChar w:fldCharType="begin"/>
      </w:r>
      <w:r>
        <w:rPr>
          <w:highlight w:val="none"/>
        </w:rPr>
        <w:instrText xml:space="preserve"> HYPERLINK "http://ggzy.shaoyang.gov.cn/" </w:instrText>
      </w:r>
      <w:r>
        <w:rPr>
          <w:highlight w:val="none"/>
        </w:rPr>
        <w:fldChar w:fldCharType="separate"/>
      </w:r>
      <w:r>
        <w:rPr>
          <w:rStyle w:val="54"/>
          <w:rFonts w:hint="eastAsia" w:ascii="宋体" w:hAnsi="宋体" w:cs="宋体"/>
          <w:color w:val="auto"/>
          <w:szCs w:val="21"/>
          <w:highlight w:val="none"/>
        </w:rPr>
        <w:t>http://ggzy.shaoyang.gov.cn/</w:t>
      </w:r>
      <w:r>
        <w:rPr>
          <w:rStyle w:val="54"/>
          <w:rFonts w:hint="eastAsia" w:ascii="宋体" w:hAnsi="宋体" w:cs="宋体"/>
          <w:color w:val="auto"/>
          <w:szCs w:val="21"/>
          <w:highlight w:val="none"/>
        </w:rPr>
        <w:fldChar w:fldCharType="end"/>
      </w:r>
      <w:r>
        <w:rPr>
          <w:rFonts w:hint="eastAsia" w:ascii="宋体" w:hAnsi="宋体" w:cs="宋体"/>
          <w:szCs w:val="21"/>
          <w:highlight w:val="none"/>
        </w:rPr>
        <w:t>）发布</w:t>
      </w:r>
      <w:r>
        <w:rPr>
          <w:rFonts w:hint="eastAsia" w:ascii="宋体" w:hAnsi="宋体"/>
          <w:szCs w:val="21"/>
          <w:highlight w:val="none"/>
        </w:rPr>
        <w:t>。公告期限从本招标公告发布之日起5个工作日。</w:t>
      </w:r>
    </w:p>
    <w:p w14:paraId="1FD8AEFD">
      <w:pPr>
        <w:adjustRightInd w:val="0"/>
        <w:snapToGrid w:val="0"/>
        <w:spacing w:line="360" w:lineRule="auto"/>
        <w:ind w:firstLine="420" w:firstLineChars="200"/>
        <w:rPr>
          <w:rFonts w:ascii="宋体" w:hAnsi="宋体"/>
          <w:szCs w:val="21"/>
          <w:highlight w:val="none"/>
        </w:rPr>
      </w:pPr>
      <w:r>
        <w:rPr>
          <w:rFonts w:hint="eastAsia" w:ascii="宋体" w:hAnsi="宋体"/>
          <w:szCs w:val="21"/>
          <w:highlight w:val="none"/>
        </w:rPr>
        <w:t>2、公告内容以中国湖南政府采购网发布的公告为准；公告期限自本招标公告指定媒体最先发布公告之日起算。</w:t>
      </w:r>
    </w:p>
    <w:p w14:paraId="0170E514">
      <w:pPr>
        <w:adjustRightInd w:val="0"/>
        <w:snapToGrid w:val="0"/>
        <w:spacing w:line="360" w:lineRule="auto"/>
        <w:ind w:firstLine="422" w:firstLineChars="200"/>
        <w:rPr>
          <w:rFonts w:hint="eastAsia" w:ascii="宋体" w:hAnsi="宋体" w:eastAsia="宋体"/>
          <w:b/>
          <w:szCs w:val="21"/>
          <w:highlight w:val="none"/>
          <w:lang w:eastAsia="zh-CN"/>
        </w:rPr>
      </w:pPr>
      <w:r>
        <w:rPr>
          <w:rFonts w:hint="eastAsia" w:ascii="宋体" w:hAnsi="宋体"/>
          <w:b/>
          <w:szCs w:val="21"/>
          <w:highlight w:val="none"/>
          <w:lang w:eastAsia="zh-CN"/>
        </w:rPr>
        <w:t>七</w:t>
      </w:r>
      <w:r>
        <w:rPr>
          <w:rFonts w:hint="eastAsia" w:ascii="宋体" w:hAnsi="宋体"/>
          <w:b/>
          <w:szCs w:val="21"/>
          <w:highlight w:val="none"/>
        </w:rPr>
        <w:t>、</w:t>
      </w:r>
      <w:r>
        <w:rPr>
          <w:rFonts w:hint="eastAsia" w:ascii="宋体" w:hAnsi="宋体"/>
          <w:b/>
          <w:szCs w:val="21"/>
          <w:highlight w:val="none"/>
          <w:lang w:eastAsia="zh-CN"/>
        </w:rPr>
        <w:t>询问及质疑</w:t>
      </w:r>
    </w:p>
    <w:p w14:paraId="0643C670">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1、供应商对政府采购活动事项如有疑问的，可以向采购人、采购代理机构提出询问。采购人、采购代理机构将在3个工作日内作出答复。</w:t>
      </w:r>
    </w:p>
    <w:p w14:paraId="4F39113A">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2、供应商对电子交易平台办理CA证书、操作等如有疑问，请咨询电子交易平台服务机构。</w:t>
      </w:r>
    </w:p>
    <w:p w14:paraId="2F14C631">
      <w:pPr>
        <w:adjustRightInd w:val="0"/>
        <w:snapToGrid w:val="0"/>
        <w:spacing w:line="360" w:lineRule="auto"/>
        <w:ind w:firstLine="420" w:firstLineChars="200"/>
        <w:rPr>
          <w:rFonts w:hint="eastAsia" w:ascii="宋体" w:hAnsi="宋体"/>
          <w:szCs w:val="21"/>
          <w:highlight w:val="none"/>
        </w:rPr>
      </w:pPr>
      <w:r>
        <w:rPr>
          <w:rFonts w:hint="eastAsia" w:ascii="宋体" w:hAnsi="宋体"/>
          <w:szCs w:val="21"/>
          <w:highlight w:val="none"/>
        </w:rPr>
        <w:t>3、潜在</w:t>
      </w:r>
      <w:r>
        <w:rPr>
          <w:rFonts w:hint="eastAsia" w:ascii="宋体" w:hAnsi="宋体"/>
          <w:szCs w:val="21"/>
          <w:highlight w:val="none"/>
          <w:lang w:eastAsia="zh-CN"/>
        </w:rPr>
        <w:t>投标人</w:t>
      </w:r>
      <w:r>
        <w:rPr>
          <w:rFonts w:hint="eastAsia" w:ascii="宋体" w:hAnsi="宋体"/>
          <w:szCs w:val="21"/>
          <w:highlight w:val="none"/>
        </w:rPr>
        <w:t>认为采购文件或本公告使自己的合法权益受到损害的，可以在收到采购文件之日或本公告期限届满之日起7个工作日内，按《湖南省财政厅关于印发＜政府采购质疑答复和投诉处理操作规程＞的通知》(湘财购〔2024〕67号)规定，以纸质书面形式向采购人、采购代理机构提出质疑；针对同一采购程序环节的质疑,供应商应在法定质疑期内一次性提出。</w:t>
      </w:r>
    </w:p>
    <w:p w14:paraId="6F9B32A9">
      <w:pPr>
        <w:adjustRightInd w:val="0"/>
        <w:snapToGrid w:val="0"/>
        <w:spacing w:line="360" w:lineRule="auto"/>
        <w:ind w:firstLine="422" w:firstLineChars="200"/>
        <w:rPr>
          <w:rFonts w:hint="default" w:ascii="宋体" w:hAnsi="宋体" w:eastAsia="宋体" w:cs="Times New Roman"/>
          <w:b/>
          <w:szCs w:val="21"/>
          <w:highlight w:val="none"/>
          <w:lang w:val="en-US" w:eastAsia="zh-CN"/>
        </w:rPr>
      </w:pPr>
      <w:r>
        <w:rPr>
          <w:rFonts w:hint="eastAsia" w:ascii="宋体" w:hAnsi="宋体" w:eastAsia="宋体" w:cs="Times New Roman"/>
          <w:b/>
          <w:szCs w:val="21"/>
          <w:highlight w:val="none"/>
          <w:lang w:eastAsia="zh-CN"/>
        </w:rPr>
        <w:t>八、</w:t>
      </w:r>
      <w:r>
        <w:rPr>
          <w:rFonts w:hint="eastAsia" w:ascii="宋体" w:hAnsi="宋体" w:eastAsia="宋体" w:cs="Times New Roman"/>
          <w:b/>
          <w:szCs w:val="21"/>
          <w:highlight w:val="none"/>
          <w:lang w:val="en-US" w:eastAsia="zh-CN"/>
        </w:rPr>
        <w:t>磋商说明</w:t>
      </w:r>
    </w:p>
    <w:p w14:paraId="69412241">
      <w:pPr>
        <w:adjustRightInd w:val="0"/>
        <w:snapToGrid w:val="0"/>
        <w:spacing w:line="360" w:lineRule="auto"/>
        <w:ind w:firstLine="420" w:firstLineChars="200"/>
        <w:rPr>
          <w:rFonts w:hint="eastAsia" w:ascii="宋体" w:hAnsi="宋体"/>
          <w:bCs/>
          <w:color w:val="000000"/>
          <w:szCs w:val="21"/>
          <w:highlight w:val="none"/>
          <w:u w:val="none"/>
          <w:lang w:val="en-US" w:eastAsia="zh-CN"/>
        </w:rPr>
      </w:pPr>
      <w:r>
        <w:rPr>
          <w:rFonts w:hint="eastAsia" w:ascii="宋体" w:hAnsi="宋体"/>
          <w:bCs/>
          <w:color w:val="000000"/>
          <w:szCs w:val="21"/>
          <w:highlight w:val="none"/>
          <w:u w:val="none"/>
          <w:lang w:val="en-US" w:eastAsia="zh-CN"/>
        </w:rPr>
        <w:t>1、本公告选项：</w:t>
      </w:r>
      <w:r>
        <w:rPr>
          <w:rFonts w:hint="eastAsia" w:ascii="宋体" w:hAnsi="宋体" w:cs="Times New Roman"/>
          <w:bCs/>
          <w:color w:val="000000"/>
          <w:szCs w:val="21"/>
          <w:highlight w:val="none"/>
          <w:u w:val="none"/>
          <w:lang w:val="en-US" w:eastAsia="zh-CN"/>
        </w:rPr>
        <w:sym w:font="Wingdings 2" w:char="0052"/>
      </w:r>
      <w:r>
        <w:rPr>
          <w:rFonts w:hint="eastAsia" w:ascii="宋体" w:hAnsi="宋体" w:cs="Times New Roman"/>
          <w:bCs/>
          <w:color w:val="000000"/>
          <w:szCs w:val="21"/>
          <w:highlight w:val="none"/>
          <w:u w:val="none"/>
          <w:lang w:val="en-US" w:eastAsia="zh-CN"/>
        </w:rPr>
        <w:t>表示选择，</w:t>
      </w:r>
      <w:r>
        <w:rPr>
          <w:rFonts w:hint="eastAsia" w:ascii="宋体" w:hAnsi="宋体" w:cs="Times New Roman"/>
          <w:bCs/>
          <w:color w:val="000000"/>
          <w:szCs w:val="21"/>
          <w:highlight w:val="none"/>
          <w:u w:val="none"/>
          <w:lang w:val="en-US" w:eastAsia="zh-CN"/>
        </w:rPr>
        <w:sym w:font="Wingdings 2" w:char="F0A3"/>
      </w:r>
      <w:r>
        <w:rPr>
          <w:rFonts w:hint="eastAsia" w:ascii="宋体" w:hAnsi="宋体"/>
          <w:bCs/>
          <w:color w:val="000000"/>
          <w:szCs w:val="21"/>
          <w:highlight w:val="none"/>
          <w:u w:val="none"/>
          <w:lang w:val="en-US" w:eastAsia="zh-CN"/>
        </w:rPr>
        <w:t>表示未选择。</w:t>
      </w:r>
    </w:p>
    <w:p w14:paraId="76775FA3">
      <w:pPr>
        <w:adjustRightInd w:val="0"/>
        <w:snapToGrid w:val="0"/>
        <w:spacing w:line="360" w:lineRule="auto"/>
        <w:ind w:firstLine="420" w:firstLineChars="200"/>
        <w:rPr>
          <w:rFonts w:hint="eastAsia" w:ascii="宋体" w:hAnsi="宋体"/>
          <w:bCs/>
          <w:color w:val="000000"/>
          <w:szCs w:val="21"/>
          <w:highlight w:val="none"/>
          <w:u w:val="none"/>
          <w:lang w:val="en-US" w:eastAsia="zh-CN"/>
        </w:rPr>
      </w:pPr>
      <w:r>
        <w:rPr>
          <w:rFonts w:hint="eastAsia" w:ascii="宋体" w:hAnsi="宋体"/>
          <w:bCs/>
          <w:color w:val="000000"/>
          <w:szCs w:val="21"/>
          <w:highlight w:val="none"/>
          <w:u w:val="none"/>
          <w:lang w:val="en-US" w:eastAsia="zh-CN"/>
        </w:rPr>
        <w:t>2、供应商参与政府采购活动，无需向采购人、代理机构、交易平台缴纳任何费用。</w:t>
      </w:r>
    </w:p>
    <w:p w14:paraId="0C86A291">
      <w:pPr>
        <w:adjustRightInd w:val="0"/>
        <w:snapToGrid w:val="0"/>
        <w:spacing w:line="360" w:lineRule="auto"/>
        <w:ind w:firstLine="420" w:firstLineChars="200"/>
        <w:rPr>
          <w:rFonts w:hint="eastAsia" w:ascii="宋体" w:hAnsi="宋体"/>
          <w:color w:val="auto"/>
          <w:szCs w:val="21"/>
          <w:highlight w:val="none"/>
        </w:rPr>
      </w:pPr>
      <w:r>
        <w:rPr>
          <w:rFonts w:hint="eastAsia" w:ascii="宋体" w:hAnsi="宋体"/>
          <w:bCs/>
          <w:color w:val="000000"/>
          <w:szCs w:val="21"/>
          <w:highlight w:val="none"/>
          <w:u w:val="none"/>
          <w:lang w:val="en-US" w:eastAsia="zh-CN"/>
        </w:rPr>
        <w:t>3、</w:t>
      </w:r>
      <w:bookmarkStart w:id="10" w:name="_Toc10580"/>
      <w:r>
        <w:rPr>
          <w:rFonts w:hint="eastAsia" w:ascii="宋体" w:hAnsi="宋体"/>
          <w:color w:val="auto"/>
          <w:szCs w:val="21"/>
          <w:highlight w:val="none"/>
          <w:lang w:val="en-US" w:eastAsia="zh-CN"/>
        </w:rPr>
        <w:t>交易保证金</w:t>
      </w:r>
      <w:bookmarkEnd w:id="10"/>
      <w:r>
        <w:rPr>
          <w:rFonts w:hint="eastAsia" w:ascii="宋体" w:hAnsi="宋体"/>
          <w:color w:val="auto"/>
          <w:szCs w:val="21"/>
          <w:highlight w:val="none"/>
          <w:lang w:val="en-US" w:eastAsia="zh-CN"/>
        </w:rPr>
        <w:t>：</w:t>
      </w:r>
      <w:r>
        <w:rPr>
          <w:rFonts w:hint="eastAsia" w:ascii="宋体" w:hAnsi="宋体"/>
          <w:color w:val="auto"/>
          <w:szCs w:val="21"/>
          <w:highlight w:val="none"/>
        </w:rPr>
        <w:t>本项目不需要提供保证金，供应商提供</w:t>
      </w:r>
      <w:r>
        <w:rPr>
          <w:rFonts w:hint="eastAsia" w:ascii="宋体" w:hAnsi="宋体"/>
          <w:color w:val="auto"/>
          <w:szCs w:val="21"/>
          <w:highlight w:val="none"/>
          <w:u w:val="single"/>
        </w:rPr>
        <w:t>《项目免交投标保证金承诺书》（格式）</w:t>
      </w:r>
      <w:r>
        <w:rPr>
          <w:rFonts w:hint="eastAsia" w:ascii="宋体" w:hAnsi="宋体"/>
          <w:color w:val="auto"/>
          <w:szCs w:val="21"/>
          <w:highlight w:val="none"/>
        </w:rPr>
        <w:t>。</w:t>
      </w:r>
    </w:p>
    <w:p w14:paraId="3D9A71BE">
      <w:pPr>
        <w:adjustRightInd w:val="0"/>
        <w:snapToGrid w:val="0"/>
        <w:spacing w:line="360" w:lineRule="auto"/>
        <w:ind w:firstLine="422" w:firstLineChars="200"/>
        <w:rPr>
          <w:rFonts w:hint="eastAsia" w:ascii="宋体" w:hAnsi="宋体"/>
          <w:b/>
          <w:bCs/>
          <w:szCs w:val="21"/>
          <w:highlight w:val="none"/>
          <w:lang w:eastAsia="zh-CN"/>
        </w:rPr>
      </w:pPr>
      <w:r>
        <w:rPr>
          <w:rFonts w:hint="eastAsia" w:ascii="宋体" w:hAnsi="宋体"/>
          <w:b/>
          <w:bCs/>
          <w:szCs w:val="21"/>
          <w:highlight w:val="none"/>
          <w:lang w:eastAsia="zh-CN"/>
        </w:rPr>
        <w:t>九、其他补充事宜</w:t>
      </w:r>
    </w:p>
    <w:p w14:paraId="1178109B">
      <w:pPr>
        <w:adjustRightInd w:val="0"/>
        <w:snapToGrid w:val="0"/>
        <w:spacing w:line="360" w:lineRule="auto"/>
        <w:ind w:firstLine="420" w:firstLineChars="200"/>
        <w:rPr>
          <w:rFonts w:hint="eastAsia" w:ascii="宋体" w:hAnsi="宋体" w:cs="Times New Roman"/>
          <w:bCs/>
          <w:color w:val="000000"/>
          <w:szCs w:val="21"/>
          <w:highlight w:val="none"/>
          <w:u w:val="none"/>
          <w:lang w:val="en-US" w:eastAsia="zh-CN"/>
        </w:rPr>
      </w:pPr>
      <w:r>
        <w:rPr>
          <w:rFonts w:hint="eastAsia" w:ascii="宋体" w:hAnsi="宋体" w:cs="Times New Roman"/>
          <w:bCs/>
          <w:color w:val="000000"/>
          <w:szCs w:val="21"/>
          <w:highlight w:val="none"/>
          <w:u w:val="none"/>
          <w:lang w:val="en-US" w:eastAsia="zh-CN"/>
        </w:rPr>
        <w:t>1、代理服务收费最高限价：委托集中采购机构邵阳市政府采购中心代理采购，不收取代理服务费。</w:t>
      </w:r>
    </w:p>
    <w:p w14:paraId="0E3C6E44">
      <w:pPr>
        <w:adjustRightInd w:val="0"/>
        <w:snapToGrid w:val="0"/>
        <w:spacing w:line="360" w:lineRule="auto"/>
        <w:ind w:firstLine="422" w:firstLineChars="200"/>
        <w:rPr>
          <w:rFonts w:hint="default" w:ascii="宋体" w:hAnsi="宋体" w:eastAsia="宋体" w:cs="Times New Roman"/>
          <w:b/>
          <w:bCs/>
          <w:szCs w:val="21"/>
          <w:highlight w:val="none"/>
          <w:lang w:val="en-US" w:eastAsia="zh-CN"/>
        </w:rPr>
      </w:pPr>
      <w:r>
        <w:rPr>
          <w:rFonts w:hint="eastAsia" w:ascii="宋体" w:hAnsi="宋体" w:eastAsia="宋体" w:cs="Times New Roman"/>
          <w:b/>
          <w:bCs/>
          <w:szCs w:val="21"/>
          <w:highlight w:val="none"/>
          <w:lang w:eastAsia="zh-CN"/>
        </w:rPr>
        <w:t>十、对本次招标提出询问，请按以下方式联系</w:t>
      </w:r>
    </w:p>
    <w:p w14:paraId="031EA8E1">
      <w:pPr>
        <w:adjustRightInd w:val="0"/>
        <w:snapToGrid w:val="0"/>
        <w:spacing w:line="360" w:lineRule="auto"/>
        <w:ind w:firstLine="422" w:firstLineChars="200"/>
        <w:rPr>
          <w:rFonts w:hint="eastAsia" w:ascii="宋体" w:hAnsi="宋体" w:eastAsia="宋体" w:cs="宋体"/>
          <w:b/>
          <w:bCs/>
          <w:szCs w:val="21"/>
          <w:highlight w:val="none"/>
        </w:rPr>
      </w:pPr>
      <w:r>
        <w:rPr>
          <w:rFonts w:hint="eastAsia" w:ascii="宋体" w:hAnsi="宋体" w:eastAsia="宋体" w:cs="宋体"/>
          <w:b/>
          <w:bCs/>
          <w:szCs w:val="21"/>
          <w:highlight w:val="none"/>
        </w:rPr>
        <w:t>1.采购人信息</w:t>
      </w:r>
    </w:p>
    <w:p w14:paraId="1018956D">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名称：</w:t>
      </w:r>
      <w:r>
        <w:rPr>
          <w:rFonts w:hint="eastAsia" w:ascii="宋体" w:hAnsi="宋体" w:cs="宋体"/>
          <w:szCs w:val="21"/>
          <w:highlight w:val="none"/>
          <w:lang w:eastAsia="zh-CN"/>
        </w:rPr>
        <w:t>邵阳市大祥区教育局</w:t>
      </w:r>
      <w:r>
        <w:rPr>
          <w:rFonts w:hint="eastAsia" w:ascii="宋体" w:hAnsi="宋体" w:eastAsia="宋体" w:cs="宋体"/>
          <w:szCs w:val="21"/>
          <w:highlight w:val="none"/>
        </w:rPr>
        <w:t xml:space="preserve">       </w:t>
      </w:r>
    </w:p>
    <w:p w14:paraId="50FBCE7E">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地址：</w:t>
      </w:r>
      <w:r>
        <w:rPr>
          <w:rFonts w:hint="eastAsia" w:ascii="宋体" w:hAnsi="宋体" w:cs="宋体"/>
          <w:szCs w:val="21"/>
          <w:highlight w:val="none"/>
          <w:lang w:eastAsia="zh-CN"/>
        </w:rPr>
        <w:t>大祥区教育局</w:t>
      </w:r>
      <w:r>
        <w:rPr>
          <w:rFonts w:hint="eastAsia" w:ascii="宋体" w:hAnsi="宋体" w:eastAsia="宋体" w:cs="宋体"/>
          <w:szCs w:val="21"/>
          <w:highlight w:val="none"/>
        </w:rPr>
        <w:t xml:space="preserve">       </w:t>
      </w:r>
    </w:p>
    <w:p w14:paraId="68FD341C">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联系人：</w:t>
      </w:r>
      <w:r>
        <w:rPr>
          <w:rFonts w:hint="eastAsia" w:ascii="宋体" w:hAnsi="宋体" w:cs="宋体"/>
          <w:szCs w:val="21"/>
          <w:highlight w:val="none"/>
          <w:lang w:eastAsia="zh-CN"/>
        </w:rPr>
        <w:t>欧女士</w:t>
      </w:r>
      <w:r>
        <w:rPr>
          <w:rFonts w:hint="eastAsia" w:ascii="宋体" w:hAnsi="宋体" w:eastAsia="宋体" w:cs="宋体"/>
          <w:szCs w:val="21"/>
          <w:highlight w:val="none"/>
        </w:rPr>
        <w:t xml:space="preserve"> </w:t>
      </w:r>
    </w:p>
    <w:p w14:paraId="40C2D98E">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联系电话：</w:t>
      </w:r>
      <w:r>
        <w:rPr>
          <w:rFonts w:hint="eastAsia" w:ascii="宋体" w:hAnsi="宋体" w:cs="宋体"/>
          <w:szCs w:val="21"/>
          <w:highlight w:val="none"/>
          <w:lang w:eastAsia="zh-CN"/>
        </w:rPr>
        <w:t>15842919009</w:t>
      </w:r>
      <w:r>
        <w:rPr>
          <w:rFonts w:hint="eastAsia" w:ascii="宋体" w:hAnsi="宋体" w:eastAsia="宋体" w:cs="宋体"/>
          <w:szCs w:val="21"/>
          <w:highlight w:val="none"/>
        </w:rPr>
        <w:t xml:space="preserve">       </w:t>
      </w:r>
    </w:p>
    <w:p w14:paraId="39E859BA">
      <w:pPr>
        <w:adjustRightInd w:val="0"/>
        <w:snapToGrid w:val="0"/>
        <w:spacing w:line="360" w:lineRule="auto"/>
        <w:ind w:firstLine="422" w:firstLineChars="200"/>
        <w:rPr>
          <w:rFonts w:hint="eastAsia" w:ascii="宋体" w:hAnsi="宋体" w:eastAsia="宋体" w:cs="宋体"/>
          <w:szCs w:val="21"/>
          <w:highlight w:val="none"/>
        </w:rPr>
      </w:pPr>
      <w:r>
        <w:rPr>
          <w:rFonts w:hint="eastAsia" w:ascii="宋体" w:hAnsi="宋体" w:eastAsia="宋体" w:cs="宋体"/>
          <w:b/>
          <w:bCs/>
          <w:szCs w:val="21"/>
          <w:highlight w:val="none"/>
        </w:rPr>
        <w:t>2.采购代理机构信息</w:t>
      </w:r>
    </w:p>
    <w:p w14:paraId="2619D893">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名称：</w:t>
      </w:r>
      <w:r>
        <w:rPr>
          <w:rFonts w:hint="eastAsia" w:ascii="宋体" w:hAnsi="宋体" w:cs="宋体"/>
          <w:szCs w:val="21"/>
          <w:highlight w:val="none"/>
        </w:rPr>
        <w:t>邵阳市政府采购中心</w:t>
      </w:r>
      <w:r>
        <w:rPr>
          <w:rFonts w:hint="eastAsia" w:ascii="宋体" w:hAnsi="宋体" w:eastAsia="宋体" w:cs="宋体"/>
          <w:szCs w:val="21"/>
          <w:highlight w:val="none"/>
        </w:rPr>
        <w:t xml:space="preserve">      </w:t>
      </w:r>
    </w:p>
    <w:p w14:paraId="1861F55C">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地址：</w:t>
      </w:r>
      <w:r>
        <w:rPr>
          <w:rFonts w:hint="eastAsia" w:ascii="宋体" w:hAnsi="宋体" w:cs="宋体"/>
          <w:szCs w:val="21"/>
          <w:highlight w:val="none"/>
          <w:lang w:eastAsia="zh-CN"/>
        </w:rPr>
        <w:t>邵阳市宝庆中路第437号4栋</w:t>
      </w:r>
      <w:r>
        <w:rPr>
          <w:rFonts w:hint="eastAsia" w:ascii="宋体" w:hAnsi="宋体" w:eastAsia="宋体" w:cs="宋体"/>
          <w:szCs w:val="21"/>
          <w:highlight w:val="none"/>
        </w:rPr>
        <w:t xml:space="preserve">       </w:t>
      </w:r>
    </w:p>
    <w:p w14:paraId="1FB45076">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联系人：</w:t>
      </w:r>
      <w:r>
        <w:rPr>
          <w:rFonts w:hint="eastAsia" w:ascii="宋体" w:hAnsi="宋体" w:cs="宋体"/>
          <w:szCs w:val="21"/>
          <w:highlight w:val="none"/>
          <w:lang w:eastAsia="zh-CN"/>
        </w:rPr>
        <w:t>谢吕坚</w:t>
      </w:r>
      <w:r>
        <w:rPr>
          <w:rFonts w:hint="eastAsia" w:ascii="宋体" w:hAnsi="宋体" w:eastAsia="宋体" w:cs="宋体"/>
          <w:szCs w:val="21"/>
          <w:highlight w:val="none"/>
        </w:rPr>
        <w:t xml:space="preserve">       </w:t>
      </w:r>
    </w:p>
    <w:p w14:paraId="75E10523">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联系电话：</w:t>
      </w:r>
      <w:r>
        <w:rPr>
          <w:rFonts w:hint="eastAsia" w:ascii="宋体" w:hAnsi="宋体" w:cs="宋体"/>
          <w:szCs w:val="21"/>
          <w:highlight w:val="none"/>
          <w:lang w:val="en-US" w:eastAsia="zh-CN"/>
        </w:rPr>
        <w:t>18573946172</w:t>
      </w:r>
      <w:r>
        <w:rPr>
          <w:rFonts w:hint="eastAsia" w:ascii="宋体" w:hAnsi="宋体" w:eastAsia="宋体" w:cs="宋体"/>
          <w:szCs w:val="21"/>
          <w:highlight w:val="none"/>
        </w:rPr>
        <w:t xml:space="preserve">      </w:t>
      </w:r>
    </w:p>
    <w:p w14:paraId="7B43FE05">
      <w:pPr>
        <w:adjustRightInd w:val="0"/>
        <w:snapToGrid w:val="0"/>
        <w:spacing w:line="360" w:lineRule="auto"/>
        <w:ind w:firstLine="422" w:firstLineChars="200"/>
        <w:rPr>
          <w:rFonts w:hint="eastAsia" w:ascii="宋体" w:hAnsi="宋体" w:eastAsia="宋体" w:cs="宋体"/>
          <w:b/>
          <w:bCs/>
          <w:szCs w:val="21"/>
          <w:highlight w:val="none"/>
        </w:rPr>
      </w:pPr>
      <w:r>
        <w:rPr>
          <w:rFonts w:hint="eastAsia" w:ascii="宋体" w:hAnsi="宋体" w:eastAsia="宋体" w:cs="宋体"/>
          <w:b/>
          <w:bCs/>
          <w:szCs w:val="21"/>
          <w:highlight w:val="none"/>
        </w:rPr>
        <w:t>3.项目联系方式</w:t>
      </w:r>
    </w:p>
    <w:p w14:paraId="43EDCBB7">
      <w:pPr>
        <w:adjustRightInd w:val="0"/>
        <w:snapToGrid w:val="0"/>
        <w:spacing w:line="360" w:lineRule="auto"/>
        <w:ind w:firstLine="420" w:firstLineChars="200"/>
        <w:rPr>
          <w:rFonts w:hint="eastAsia" w:ascii="宋体" w:hAnsi="宋体" w:eastAsia="宋体" w:cs="宋体"/>
          <w:szCs w:val="21"/>
          <w:highlight w:val="none"/>
          <w:lang w:eastAsia="zh-CN"/>
        </w:rPr>
      </w:pPr>
      <w:r>
        <w:rPr>
          <w:rFonts w:hint="eastAsia" w:ascii="宋体" w:hAnsi="宋体" w:eastAsia="宋体" w:cs="宋体"/>
          <w:szCs w:val="21"/>
          <w:highlight w:val="none"/>
        </w:rPr>
        <w:t>项目联系人：</w:t>
      </w:r>
      <w:r>
        <w:rPr>
          <w:rFonts w:hint="eastAsia" w:ascii="宋体" w:hAnsi="宋体" w:cs="宋体"/>
          <w:szCs w:val="21"/>
          <w:highlight w:val="none"/>
          <w:lang w:eastAsia="zh-CN"/>
        </w:rPr>
        <w:t>谢吕坚</w:t>
      </w:r>
    </w:p>
    <w:p w14:paraId="3FD0A72A">
      <w:pPr>
        <w:adjustRightInd w:val="0"/>
        <w:snapToGrid w:val="0"/>
        <w:spacing w:line="360" w:lineRule="auto"/>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电　话：</w:t>
      </w:r>
      <w:r>
        <w:rPr>
          <w:rFonts w:hint="eastAsia" w:ascii="宋体" w:hAnsi="宋体" w:cs="宋体"/>
          <w:szCs w:val="21"/>
          <w:highlight w:val="none"/>
          <w:lang w:val="en-US" w:eastAsia="zh-CN"/>
        </w:rPr>
        <w:t>18573946172</w:t>
      </w:r>
      <w:r>
        <w:rPr>
          <w:rFonts w:hint="eastAsia" w:ascii="宋体" w:hAnsi="宋体" w:eastAsia="宋体" w:cs="宋体"/>
          <w:szCs w:val="21"/>
          <w:highlight w:val="none"/>
        </w:rPr>
        <w:t xml:space="preserve">      </w:t>
      </w:r>
    </w:p>
    <w:p w14:paraId="5FCFA931">
      <w:pPr>
        <w:adjustRightInd w:val="0"/>
        <w:snapToGrid w:val="0"/>
        <w:spacing w:line="360" w:lineRule="auto"/>
        <w:ind w:firstLine="422" w:firstLineChars="200"/>
        <w:rPr>
          <w:rFonts w:hint="default" w:ascii="宋体" w:hAnsi="宋体" w:eastAsia="宋体" w:cs="宋体"/>
          <w:szCs w:val="21"/>
          <w:highlight w:val="none"/>
        </w:rPr>
      </w:pPr>
      <w:r>
        <w:rPr>
          <w:rFonts w:hint="eastAsia" w:ascii="宋体" w:hAnsi="宋体" w:eastAsia="宋体" w:cs="宋体"/>
          <w:b/>
          <w:bCs/>
          <w:szCs w:val="21"/>
          <w:highlight w:val="none"/>
        </w:rPr>
        <w:t>4、电子交易平台服务机构信息</w:t>
      </w:r>
    </w:p>
    <w:p w14:paraId="239A00D9">
      <w:pPr>
        <w:adjustRightInd w:val="0"/>
        <w:snapToGrid w:val="0"/>
        <w:spacing w:line="360" w:lineRule="auto"/>
        <w:ind w:firstLine="420" w:firstLineChars="200"/>
        <w:rPr>
          <w:rFonts w:ascii="宋体" w:hAnsi="宋体"/>
          <w:szCs w:val="21"/>
          <w:highlight w:val="none"/>
        </w:rPr>
      </w:pPr>
      <w:r>
        <w:rPr>
          <w:rFonts w:hint="eastAsia" w:ascii="宋体" w:hAnsi="宋体"/>
          <w:szCs w:val="21"/>
          <w:highlight w:val="none"/>
        </w:rPr>
        <w:t>名称：国泰新点软件股份有限公司</w:t>
      </w:r>
    </w:p>
    <w:p w14:paraId="1B0A7D9E">
      <w:pPr>
        <w:adjustRightInd w:val="0"/>
        <w:snapToGrid w:val="0"/>
        <w:spacing w:line="360" w:lineRule="auto"/>
        <w:ind w:firstLine="420" w:firstLineChars="200"/>
        <w:rPr>
          <w:rFonts w:ascii="宋体" w:hAnsi="宋体"/>
          <w:szCs w:val="21"/>
          <w:highlight w:val="none"/>
        </w:rPr>
      </w:pPr>
      <w:r>
        <w:rPr>
          <w:rFonts w:hint="eastAsia" w:ascii="宋体" w:hAnsi="宋体"/>
          <w:szCs w:val="21"/>
          <w:highlight w:val="none"/>
        </w:rPr>
        <w:t xml:space="preserve">平台统一技术服务电话：4009980000 </w:t>
      </w:r>
    </w:p>
    <w:p w14:paraId="6ECEA9A3">
      <w:pPr>
        <w:adjustRightInd w:val="0"/>
        <w:snapToGrid w:val="0"/>
        <w:spacing w:line="360" w:lineRule="auto"/>
        <w:ind w:firstLine="420" w:firstLineChars="200"/>
        <w:rPr>
          <w:rFonts w:ascii="宋体" w:hAnsi="宋体"/>
          <w:b/>
          <w:szCs w:val="21"/>
          <w:highlight w:val="none"/>
        </w:rPr>
      </w:pPr>
      <w:r>
        <w:rPr>
          <w:rFonts w:hint="eastAsia" w:ascii="宋体" w:hAnsi="宋体"/>
          <w:szCs w:val="21"/>
          <w:highlight w:val="none"/>
        </w:rPr>
        <w:t>服务时间：周一至周日8:00-17:30</w:t>
      </w:r>
    </w:p>
    <w:p w14:paraId="513B115A">
      <w:pPr>
        <w:spacing w:after="120" w:line="360" w:lineRule="auto"/>
        <w:ind w:firstLine="630" w:firstLineChars="300"/>
        <w:rPr>
          <w:rFonts w:ascii="宋体" w:hAnsi="宋体" w:cs="宋体"/>
          <w:szCs w:val="21"/>
          <w:highlight w:val="none"/>
        </w:rPr>
      </w:pPr>
    </w:p>
    <w:p w14:paraId="2662F553">
      <w:pPr>
        <w:spacing w:after="120" w:line="360" w:lineRule="auto"/>
        <w:ind w:firstLine="420" w:firstLineChars="200"/>
        <w:rPr>
          <w:rFonts w:ascii="宋体" w:hAnsi="宋体" w:cs="宋体"/>
          <w:szCs w:val="21"/>
          <w:highlight w:val="none"/>
        </w:rPr>
      </w:pPr>
      <w:r>
        <w:rPr>
          <w:rFonts w:hint="eastAsia" w:ascii="宋体" w:hAnsi="宋体" w:cs="宋体"/>
          <w:szCs w:val="21"/>
          <w:highlight w:val="none"/>
        </w:rPr>
        <w:t>政府采购监管部门：邵阳市</w:t>
      </w:r>
      <w:r>
        <w:rPr>
          <w:rFonts w:hint="eastAsia" w:ascii="宋体" w:hAnsi="宋体" w:cs="宋体"/>
          <w:szCs w:val="21"/>
          <w:highlight w:val="none"/>
          <w:lang w:eastAsia="zh-CN"/>
        </w:rPr>
        <w:t>大祥区</w:t>
      </w:r>
      <w:r>
        <w:rPr>
          <w:rFonts w:hint="eastAsia" w:ascii="宋体" w:hAnsi="宋体" w:cs="宋体"/>
          <w:szCs w:val="21"/>
          <w:highlight w:val="none"/>
        </w:rPr>
        <w:t>财政局</w:t>
      </w:r>
    </w:p>
    <w:p w14:paraId="2E45D84E">
      <w:pPr>
        <w:pStyle w:val="4"/>
        <w:spacing w:line="360" w:lineRule="auto"/>
        <w:ind w:firstLine="420" w:firstLineChars="200"/>
        <w:rPr>
          <w:rFonts w:ascii="宋体" w:hAnsi="宋体" w:cs="宋体"/>
          <w:szCs w:val="21"/>
          <w:highlight w:val="none"/>
        </w:rPr>
      </w:pPr>
    </w:p>
    <w:p w14:paraId="00626F91">
      <w:pPr>
        <w:pStyle w:val="23"/>
        <w:adjustRightInd w:val="0"/>
        <w:snapToGrid w:val="0"/>
        <w:spacing w:line="360" w:lineRule="auto"/>
        <w:ind w:firstLine="422" w:firstLineChars="200"/>
        <w:rPr>
          <w:rFonts w:hAnsi="宋体" w:cs="宋体"/>
          <w:b/>
          <w:bCs/>
          <w:highlight w:val="none"/>
        </w:rPr>
      </w:pPr>
    </w:p>
    <w:p w14:paraId="2E069DBA">
      <w:pPr>
        <w:rPr>
          <w:rFonts w:ascii="黑体" w:hAnsi="华文中宋" w:eastAsia="黑体"/>
          <w:b/>
          <w:sz w:val="32"/>
          <w:szCs w:val="32"/>
          <w:highlight w:val="none"/>
        </w:rPr>
      </w:pPr>
      <w:r>
        <w:rPr>
          <w:rFonts w:ascii="黑体" w:hAnsi="华文中宋" w:eastAsia="黑体"/>
          <w:b/>
          <w:sz w:val="32"/>
          <w:szCs w:val="32"/>
          <w:highlight w:val="none"/>
        </w:rPr>
        <w:br w:type="page"/>
      </w:r>
    </w:p>
    <w:p w14:paraId="790DC8DB">
      <w:pPr>
        <w:pStyle w:val="23"/>
        <w:adjustRightInd w:val="0"/>
        <w:snapToGrid w:val="0"/>
        <w:spacing w:line="360" w:lineRule="auto"/>
        <w:jc w:val="center"/>
        <w:outlineLvl w:val="0"/>
        <w:rPr>
          <w:rFonts w:ascii="黑体" w:hAnsi="华文中宋" w:eastAsia="黑体"/>
          <w:b/>
          <w:spacing w:val="100"/>
          <w:sz w:val="32"/>
          <w:szCs w:val="32"/>
          <w:highlight w:val="none"/>
        </w:rPr>
      </w:pPr>
      <w:bookmarkStart w:id="11" w:name="_Toc14706"/>
      <w:r>
        <w:rPr>
          <w:rFonts w:hint="eastAsia" w:ascii="黑体" w:hAnsi="华文中宋" w:eastAsia="黑体"/>
          <w:b/>
          <w:sz w:val="32"/>
          <w:szCs w:val="32"/>
          <w:highlight w:val="none"/>
        </w:rPr>
        <w:t>第二章 投标须知</w:t>
      </w:r>
      <w:bookmarkEnd w:id="0"/>
      <w:bookmarkEnd w:id="1"/>
      <w:bookmarkEnd w:id="2"/>
      <w:bookmarkEnd w:id="3"/>
      <w:bookmarkEnd w:id="4"/>
      <w:bookmarkEnd w:id="5"/>
      <w:bookmarkEnd w:id="6"/>
      <w:bookmarkEnd w:id="7"/>
      <w:bookmarkEnd w:id="11"/>
    </w:p>
    <w:p w14:paraId="42066D56">
      <w:pPr>
        <w:pStyle w:val="3"/>
        <w:adjustRightInd w:val="0"/>
        <w:snapToGrid w:val="0"/>
        <w:jc w:val="center"/>
        <w:rPr>
          <w:rFonts w:ascii="黑体" w:hAnsi="华文中宋" w:eastAsia="黑体"/>
          <w:spacing w:val="100"/>
          <w:sz w:val="28"/>
          <w:szCs w:val="28"/>
          <w:highlight w:val="none"/>
        </w:rPr>
      </w:pPr>
      <w:bookmarkStart w:id="12" w:name="_Toc6921"/>
      <w:bookmarkStart w:id="13" w:name="_Toc22020"/>
      <w:r>
        <w:rPr>
          <w:rFonts w:hint="eastAsia" w:ascii="黑体" w:hAnsi="华文中宋" w:eastAsia="黑体"/>
          <w:sz w:val="28"/>
          <w:szCs w:val="28"/>
          <w:highlight w:val="none"/>
        </w:rPr>
        <w:t>第一节投标须知前附表</w:t>
      </w:r>
      <w:bookmarkEnd w:id="12"/>
      <w:bookmarkEnd w:id="13"/>
    </w:p>
    <w:p w14:paraId="5E56CD21">
      <w:pPr>
        <w:adjustRightInd w:val="0"/>
        <w:snapToGrid w:val="0"/>
        <w:spacing w:line="360" w:lineRule="auto"/>
        <w:ind w:right="31" w:rightChars="15"/>
        <w:jc w:val="right"/>
        <w:rPr>
          <w:rFonts w:asciiTheme="minorEastAsia" w:hAnsiTheme="minorEastAsia" w:eastAsiaTheme="minorEastAsia"/>
          <w:iCs/>
          <w:szCs w:val="21"/>
          <w:highlight w:val="none"/>
        </w:rPr>
      </w:pPr>
      <w:r>
        <w:rPr>
          <w:rFonts w:hint="eastAsia" w:asciiTheme="minorEastAsia" w:hAnsiTheme="minorEastAsia" w:eastAsiaTheme="minorEastAsia"/>
          <w:iCs/>
          <w:szCs w:val="21"/>
          <w:highlight w:val="none"/>
        </w:rPr>
        <w:t>注：本项目启用的条款在“编列内容规定”栏内以“■”标注。</w:t>
      </w:r>
    </w:p>
    <w:tbl>
      <w:tblPr>
        <w:tblStyle w:val="43"/>
        <w:tblW w:w="8931"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560"/>
        <w:gridCol w:w="2003"/>
        <w:gridCol w:w="5368"/>
      </w:tblGrid>
      <w:tr w14:paraId="33B7CFB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45" w:hRule="atLeast"/>
          <w:tblHeader/>
        </w:trPr>
        <w:tc>
          <w:tcPr>
            <w:tcW w:w="1560" w:type="dxa"/>
            <w:vAlign w:val="center"/>
          </w:tcPr>
          <w:p w14:paraId="002473C3">
            <w:pPr>
              <w:adjustRightInd w:val="0"/>
              <w:snapToGrid w:val="0"/>
              <w:spacing w:line="360" w:lineRule="auto"/>
              <w:jc w:val="center"/>
              <w:rPr>
                <w:rFonts w:asciiTheme="minorEastAsia" w:hAnsiTheme="minorEastAsia" w:eastAsiaTheme="minorEastAsia"/>
                <w:b/>
                <w:szCs w:val="21"/>
                <w:highlight w:val="none"/>
              </w:rPr>
            </w:pPr>
            <w:r>
              <w:rPr>
                <w:rFonts w:hint="eastAsia" w:asciiTheme="minorEastAsia" w:hAnsiTheme="minorEastAsia" w:eastAsiaTheme="minorEastAsia"/>
                <w:b/>
                <w:szCs w:val="21"/>
                <w:highlight w:val="none"/>
              </w:rPr>
              <w:t>条款号</w:t>
            </w:r>
          </w:p>
        </w:tc>
        <w:tc>
          <w:tcPr>
            <w:tcW w:w="2003" w:type="dxa"/>
            <w:vAlign w:val="center"/>
          </w:tcPr>
          <w:p w14:paraId="697C2BFB">
            <w:pPr>
              <w:adjustRightInd w:val="0"/>
              <w:snapToGrid w:val="0"/>
              <w:spacing w:line="360" w:lineRule="auto"/>
              <w:jc w:val="center"/>
              <w:rPr>
                <w:rFonts w:asciiTheme="minorEastAsia" w:hAnsiTheme="minorEastAsia" w:eastAsiaTheme="minorEastAsia"/>
                <w:b/>
                <w:szCs w:val="21"/>
                <w:highlight w:val="none"/>
              </w:rPr>
            </w:pPr>
            <w:r>
              <w:rPr>
                <w:rFonts w:hint="eastAsia" w:asciiTheme="minorEastAsia" w:hAnsiTheme="minorEastAsia" w:eastAsiaTheme="minorEastAsia"/>
                <w:b/>
                <w:szCs w:val="21"/>
                <w:highlight w:val="none"/>
              </w:rPr>
              <w:t>条款名称</w:t>
            </w:r>
          </w:p>
        </w:tc>
        <w:tc>
          <w:tcPr>
            <w:tcW w:w="5368" w:type="dxa"/>
            <w:vAlign w:val="center"/>
          </w:tcPr>
          <w:p w14:paraId="4C27386F">
            <w:pPr>
              <w:adjustRightInd w:val="0"/>
              <w:snapToGrid w:val="0"/>
              <w:spacing w:line="360" w:lineRule="auto"/>
              <w:jc w:val="center"/>
              <w:rPr>
                <w:rFonts w:asciiTheme="minorEastAsia" w:hAnsiTheme="minorEastAsia" w:eastAsiaTheme="minorEastAsia"/>
                <w:b/>
                <w:szCs w:val="21"/>
                <w:highlight w:val="none"/>
              </w:rPr>
            </w:pPr>
            <w:r>
              <w:rPr>
                <w:rFonts w:hint="eastAsia" w:asciiTheme="minorEastAsia" w:hAnsiTheme="minorEastAsia" w:eastAsiaTheme="minorEastAsia"/>
                <w:b/>
                <w:szCs w:val="21"/>
                <w:highlight w:val="none"/>
              </w:rPr>
              <w:t>编列内容规定</w:t>
            </w:r>
          </w:p>
        </w:tc>
      </w:tr>
      <w:tr w14:paraId="41C0F24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45" w:hRule="atLeast"/>
        </w:trPr>
        <w:tc>
          <w:tcPr>
            <w:tcW w:w="8931" w:type="dxa"/>
            <w:gridSpan w:val="3"/>
            <w:vAlign w:val="center"/>
          </w:tcPr>
          <w:p w14:paraId="3320675E">
            <w:pPr>
              <w:adjustRightInd w:val="0"/>
              <w:snapToGrid w:val="0"/>
              <w:spacing w:line="360" w:lineRule="auto"/>
              <w:rPr>
                <w:rFonts w:asciiTheme="minorEastAsia" w:hAnsiTheme="minorEastAsia" w:eastAsiaTheme="minorEastAsia"/>
                <w:szCs w:val="21"/>
                <w:highlight w:val="none"/>
              </w:rPr>
            </w:pPr>
            <w:r>
              <w:rPr>
                <w:rFonts w:hint="eastAsia" w:asciiTheme="minorEastAsia" w:hAnsiTheme="minorEastAsia" w:eastAsiaTheme="minorEastAsia"/>
                <w:b/>
                <w:szCs w:val="21"/>
                <w:highlight w:val="none"/>
              </w:rPr>
              <w:t>一、说明</w:t>
            </w:r>
          </w:p>
        </w:tc>
      </w:tr>
      <w:tr w14:paraId="4B38316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83" w:hRule="atLeast"/>
        </w:trPr>
        <w:tc>
          <w:tcPr>
            <w:tcW w:w="1560" w:type="dxa"/>
            <w:vAlign w:val="center"/>
          </w:tcPr>
          <w:p w14:paraId="0A5EA4B2">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第1.1款</w:t>
            </w:r>
          </w:p>
        </w:tc>
        <w:tc>
          <w:tcPr>
            <w:tcW w:w="2003" w:type="dxa"/>
            <w:vAlign w:val="center"/>
          </w:tcPr>
          <w:p w14:paraId="54C12AF6">
            <w:pPr>
              <w:adjustRightInd w:val="0"/>
              <w:snapToGrid w:val="0"/>
              <w:spacing w:line="360" w:lineRule="auto"/>
              <w:rPr>
                <w:rFonts w:hAnsi="宋体"/>
                <w:szCs w:val="21"/>
                <w:highlight w:val="none"/>
              </w:rPr>
            </w:pPr>
            <w:r>
              <w:rPr>
                <w:rFonts w:hint="eastAsia" w:hAnsi="宋体"/>
                <w:szCs w:val="21"/>
                <w:highlight w:val="none"/>
              </w:rPr>
              <w:t>采购项目</w:t>
            </w:r>
          </w:p>
        </w:tc>
        <w:tc>
          <w:tcPr>
            <w:tcW w:w="5368" w:type="dxa"/>
            <w:vAlign w:val="center"/>
          </w:tcPr>
          <w:p w14:paraId="3BDF84C6">
            <w:pPr>
              <w:adjustRightInd w:val="0"/>
              <w:snapToGrid w:val="0"/>
              <w:spacing w:line="420" w:lineRule="exact"/>
              <w:rPr>
                <w:rFonts w:hint="eastAsia" w:hAnsi="宋体" w:eastAsia="宋体"/>
                <w:szCs w:val="21"/>
                <w:highlight w:val="none"/>
                <w:lang w:eastAsia="zh-CN"/>
              </w:rPr>
            </w:pPr>
            <w:r>
              <w:rPr>
                <w:rFonts w:hint="eastAsia" w:ascii="宋体" w:hAnsi="宋体"/>
                <w:szCs w:val="21"/>
                <w:highlight w:val="none"/>
                <w:u w:val="single"/>
                <w:lang w:eastAsia="zh-CN"/>
              </w:rPr>
              <w:t>体育新城实验学校设施设备采购</w:t>
            </w:r>
          </w:p>
        </w:tc>
      </w:tr>
      <w:tr w14:paraId="2514E17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93" w:hRule="atLeast"/>
        </w:trPr>
        <w:tc>
          <w:tcPr>
            <w:tcW w:w="1560" w:type="dxa"/>
            <w:vAlign w:val="center"/>
          </w:tcPr>
          <w:p w14:paraId="360141C7">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第1.2款</w:t>
            </w:r>
          </w:p>
        </w:tc>
        <w:tc>
          <w:tcPr>
            <w:tcW w:w="2003" w:type="dxa"/>
            <w:vAlign w:val="center"/>
          </w:tcPr>
          <w:p w14:paraId="40FB57F5">
            <w:pPr>
              <w:adjustRightInd w:val="0"/>
              <w:snapToGrid w:val="0"/>
              <w:spacing w:line="360" w:lineRule="auto"/>
              <w:rPr>
                <w:rFonts w:hAnsi="宋体"/>
                <w:szCs w:val="21"/>
                <w:highlight w:val="none"/>
              </w:rPr>
            </w:pPr>
            <w:r>
              <w:rPr>
                <w:rFonts w:hint="eastAsia" w:hAnsi="宋体"/>
                <w:szCs w:val="21"/>
                <w:highlight w:val="none"/>
              </w:rPr>
              <w:t>专门面向中小企业采购</w:t>
            </w:r>
          </w:p>
        </w:tc>
        <w:tc>
          <w:tcPr>
            <w:tcW w:w="5368" w:type="dxa"/>
            <w:vAlign w:val="center"/>
          </w:tcPr>
          <w:p w14:paraId="08E2461A">
            <w:pPr>
              <w:adjustRightInd w:val="0"/>
              <w:snapToGrid w:val="0"/>
              <w:spacing w:line="420" w:lineRule="exact"/>
              <w:rPr>
                <w:rFonts w:hAnsi="宋体"/>
                <w:szCs w:val="21"/>
                <w:highlight w:val="none"/>
              </w:rPr>
            </w:pPr>
            <w:r>
              <w:rPr>
                <w:rFonts w:hint="eastAsia" w:ascii="宋体" w:hAnsi="宋体"/>
                <w:szCs w:val="21"/>
                <w:highlight w:val="none"/>
                <w:u w:val="single"/>
              </w:rPr>
              <w:t>否</w:t>
            </w:r>
          </w:p>
        </w:tc>
      </w:tr>
      <w:tr w14:paraId="4B2D220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560" w:type="dxa"/>
            <w:vAlign w:val="center"/>
          </w:tcPr>
          <w:p w14:paraId="13031CF1">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第2.2</w:t>
            </w:r>
            <w:r>
              <w:rPr>
                <w:rFonts w:hint="eastAsia" w:cs="宋体" w:asciiTheme="minorEastAsia" w:hAnsiTheme="minorEastAsia" w:eastAsiaTheme="minorEastAsia"/>
                <w:kern w:val="0"/>
                <w:szCs w:val="21"/>
                <w:highlight w:val="none"/>
                <w:lang w:val="zh-CN"/>
              </w:rPr>
              <w:t>款</w:t>
            </w:r>
          </w:p>
        </w:tc>
        <w:tc>
          <w:tcPr>
            <w:tcW w:w="2003" w:type="dxa"/>
            <w:vAlign w:val="center"/>
          </w:tcPr>
          <w:p w14:paraId="1224E7E7">
            <w:pPr>
              <w:adjustRightInd w:val="0"/>
              <w:snapToGrid w:val="0"/>
              <w:spacing w:line="360" w:lineRule="auto"/>
              <w:jc w:val="left"/>
              <w:rPr>
                <w:rFonts w:asciiTheme="minorEastAsia" w:hAnsiTheme="minorEastAsia" w:eastAsiaTheme="minorEastAsia"/>
                <w:szCs w:val="21"/>
                <w:highlight w:val="none"/>
              </w:rPr>
            </w:pPr>
            <w:r>
              <w:rPr>
                <w:rFonts w:hint="eastAsia" w:hAnsi="宋体"/>
                <w:szCs w:val="21"/>
                <w:highlight w:val="none"/>
              </w:rPr>
              <w:t>采购人名称、地址、电话、联系人</w:t>
            </w:r>
          </w:p>
        </w:tc>
        <w:tc>
          <w:tcPr>
            <w:tcW w:w="5368" w:type="dxa"/>
            <w:vAlign w:val="center"/>
          </w:tcPr>
          <w:p w14:paraId="029F3D36">
            <w:pPr>
              <w:adjustRightInd w:val="0"/>
              <w:snapToGrid w:val="0"/>
              <w:spacing w:line="360" w:lineRule="exact"/>
              <w:rPr>
                <w:rFonts w:hint="eastAsia" w:ascii="宋体" w:hAnsi="宋体" w:eastAsia="宋体" w:cs="宋体"/>
                <w:szCs w:val="21"/>
                <w:highlight w:val="none"/>
                <w:lang w:eastAsia="zh-CN"/>
              </w:rPr>
            </w:pPr>
            <w:r>
              <w:rPr>
                <w:rFonts w:hint="eastAsia" w:ascii="宋体" w:hAnsi="宋体" w:cs="宋体"/>
                <w:szCs w:val="21"/>
                <w:highlight w:val="none"/>
              </w:rPr>
              <w:t>采购人名称：</w:t>
            </w:r>
            <w:r>
              <w:rPr>
                <w:rFonts w:hint="eastAsia" w:ascii="宋体" w:hAnsi="宋体" w:cs="宋体"/>
                <w:szCs w:val="21"/>
                <w:highlight w:val="none"/>
                <w:lang w:eastAsia="zh-CN"/>
              </w:rPr>
              <w:t>邵阳市大祥区教育局</w:t>
            </w:r>
          </w:p>
          <w:p w14:paraId="3ED86AE2">
            <w:pPr>
              <w:adjustRightInd w:val="0"/>
              <w:snapToGrid w:val="0"/>
              <w:spacing w:line="360" w:lineRule="exact"/>
              <w:rPr>
                <w:rFonts w:hint="eastAsia" w:ascii="宋体" w:hAnsi="宋体" w:eastAsia="宋体" w:cs="宋体"/>
                <w:szCs w:val="21"/>
                <w:highlight w:val="none"/>
                <w:lang w:eastAsia="zh-CN"/>
              </w:rPr>
            </w:pPr>
            <w:r>
              <w:rPr>
                <w:rFonts w:hint="eastAsia" w:ascii="宋体" w:hAnsi="宋体" w:cs="宋体"/>
                <w:szCs w:val="21"/>
                <w:highlight w:val="none"/>
              </w:rPr>
              <w:t>联  系  人：</w:t>
            </w:r>
            <w:r>
              <w:rPr>
                <w:rFonts w:hint="eastAsia" w:ascii="宋体" w:hAnsi="宋体" w:cs="宋体"/>
                <w:szCs w:val="21"/>
                <w:highlight w:val="none"/>
                <w:lang w:eastAsia="zh-CN"/>
              </w:rPr>
              <w:t>欧女士</w:t>
            </w:r>
          </w:p>
          <w:p w14:paraId="20C4CDCF">
            <w:pPr>
              <w:adjustRightInd w:val="0"/>
              <w:snapToGrid w:val="0"/>
              <w:spacing w:line="360" w:lineRule="exact"/>
              <w:rPr>
                <w:rFonts w:hint="eastAsia" w:ascii="宋体" w:hAnsi="宋体" w:eastAsia="宋体" w:cs="宋体"/>
                <w:szCs w:val="21"/>
                <w:highlight w:val="none"/>
                <w:lang w:eastAsia="zh-CN"/>
              </w:rPr>
            </w:pPr>
            <w:r>
              <w:rPr>
                <w:rFonts w:hint="eastAsia" w:ascii="宋体" w:hAnsi="宋体" w:cs="宋体"/>
                <w:szCs w:val="21"/>
                <w:highlight w:val="none"/>
              </w:rPr>
              <w:t>电      话：</w:t>
            </w:r>
            <w:r>
              <w:rPr>
                <w:rFonts w:hint="eastAsia" w:ascii="宋体" w:hAnsi="宋体" w:cs="宋体"/>
                <w:szCs w:val="21"/>
                <w:highlight w:val="none"/>
                <w:lang w:eastAsia="zh-CN"/>
              </w:rPr>
              <w:t>15842919009</w:t>
            </w:r>
          </w:p>
          <w:p w14:paraId="1AE38C7E">
            <w:pPr>
              <w:adjustRightInd w:val="0"/>
              <w:snapToGrid w:val="0"/>
              <w:spacing w:line="360" w:lineRule="exact"/>
              <w:rPr>
                <w:rFonts w:hint="eastAsia" w:hAnsi="宋体" w:eastAsia="宋体"/>
                <w:szCs w:val="21"/>
                <w:highlight w:val="none"/>
                <w:lang w:eastAsia="zh-CN"/>
              </w:rPr>
            </w:pPr>
            <w:r>
              <w:rPr>
                <w:rFonts w:hint="eastAsia" w:ascii="宋体" w:hAnsi="宋体" w:cs="宋体"/>
                <w:szCs w:val="21"/>
                <w:highlight w:val="none"/>
              </w:rPr>
              <w:t>地      址：</w:t>
            </w:r>
            <w:r>
              <w:rPr>
                <w:rFonts w:hint="eastAsia" w:ascii="宋体" w:hAnsi="宋体" w:cs="宋体"/>
                <w:szCs w:val="21"/>
                <w:highlight w:val="none"/>
                <w:lang w:eastAsia="zh-CN"/>
              </w:rPr>
              <w:t>邵阳市宝庆中路430号</w:t>
            </w:r>
          </w:p>
        </w:tc>
      </w:tr>
      <w:tr w14:paraId="78239FF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231" w:hRule="atLeast"/>
        </w:trPr>
        <w:tc>
          <w:tcPr>
            <w:tcW w:w="1560" w:type="dxa"/>
            <w:vAlign w:val="center"/>
          </w:tcPr>
          <w:p w14:paraId="77BD44FD">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第2.3</w:t>
            </w:r>
            <w:r>
              <w:rPr>
                <w:rFonts w:hint="eastAsia" w:cs="宋体" w:asciiTheme="minorEastAsia" w:hAnsiTheme="minorEastAsia" w:eastAsiaTheme="minorEastAsia"/>
                <w:kern w:val="0"/>
                <w:szCs w:val="21"/>
                <w:highlight w:val="none"/>
                <w:lang w:val="zh-CN"/>
              </w:rPr>
              <w:t>款</w:t>
            </w:r>
          </w:p>
        </w:tc>
        <w:tc>
          <w:tcPr>
            <w:tcW w:w="2003" w:type="dxa"/>
            <w:vAlign w:val="center"/>
          </w:tcPr>
          <w:p w14:paraId="74A0E79E">
            <w:pPr>
              <w:adjustRightInd w:val="0"/>
              <w:snapToGrid w:val="0"/>
              <w:spacing w:line="360" w:lineRule="auto"/>
              <w:jc w:val="left"/>
              <w:rPr>
                <w:rFonts w:asciiTheme="minorEastAsia" w:hAnsiTheme="minorEastAsia" w:eastAsiaTheme="minorEastAsia"/>
                <w:szCs w:val="21"/>
                <w:highlight w:val="none"/>
              </w:rPr>
            </w:pPr>
            <w:r>
              <w:rPr>
                <w:rFonts w:hint="eastAsia" w:hAnsi="宋体"/>
                <w:szCs w:val="21"/>
                <w:highlight w:val="none"/>
              </w:rPr>
              <w:t>采购代理机构名称、地址、电话、联系人</w:t>
            </w:r>
          </w:p>
        </w:tc>
        <w:tc>
          <w:tcPr>
            <w:tcW w:w="5368" w:type="dxa"/>
            <w:vAlign w:val="center"/>
          </w:tcPr>
          <w:p w14:paraId="3CCD930E">
            <w:pPr>
              <w:adjustRightInd w:val="0"/>
              <w:snapToGrid w:val="0"/>
              <w:spacing w:line="360" w:lineRule="exact"/>
              <w:rPr>
                <w:rFonts w:ascii="宋体" w:hAnsi="宋体" w:cs="宋体"/>
                <w:szCs w:val="21"/>
                <w:highlight w:val="none"/>
              </w:rPr>
            </w:pPr>
            <w:r>
              <w:rPr>
                <w:rFonts w:hint="eastAsia" w:ascii="宋体" w:hAnsi="宋体" w:cs="宋体"/>
                <w:szCs w:val="21"/>
                <w:highlight w:val="none"/>
              </w:rPr>
              <w:t>采购代理机构：邵阳市政府采购中心</w:t>
            </w:r>
          </w:p>
          <w:p w14:paraId="41C5E093">
            <w:pPr>
              <w:adjustRightInd w:val="0"/>
              <w:snapToGrid w:val="0"/>
              <w:spacing w:line="360" w:lineRule="exact"/>
              <w:rPr>
                <w:rFonts w:hint="eastAsia" w:ascii="宋体" w:hAnsi="宋体" w:eastAsia="宋体" w:cs="宋体"/>
                <w:szCs w:val="21"/>
                <w:highlight w:val="none"/>
                <w:lang w:eastAsia="zh-CN"/>
              </w:rPr>
            </w:pPr>
            <w:r>
              <w:rPr>
                <w:rFonts w:hint="eastAsia" w:ascii="宋体" w:hAnsi="宋体" w:cs="宋体"/>
                <w:szCs w:val="21"/>
                <w:highlight w:val="none"/>
              </w:rPr>
              <w:t>联系人：</w:t>
            </w:r>
            <w:r>
              <w:rPr>
                <w:rFonts w:hint="eastAsia" w:ascii="宋体" w:hAnsi="宋体" w:cs="宋体"/>
                <w:szCs w:val="21"/>
                <w:highlight w:val="none"/>
                <w:lang w:eastAsia="zh-CN"/>
              </w:rPr>
              <w:t>谢吕坚</w:t>
            </w:r>
          </w:p>
          <w:p w14:paraId="0E7A9861">
            <w:pPr>
              <w:adjustRightInd w:val="0"/>
              <w:snapToGrid w:val="0"/>
              <w:spacing w:line="360" w:lineRule="exact"/>
              <w:rPr>
                <w:rFonts w:hint="eastAsia" w:ascii="宋体" w:hAnsi="宋体" w:eastAsia="宋体" w:cs="宋体"/>
                <w:szCs w:val="21"/>
                <w:highlight w:val="none"/>
                <w:lang w:eastAsia="zh-CN"/>
              </w:rPr>
            </w:pPr>
            <w:r>
              <w:rPr>
                <w:rFonts w:hint="eastAsia" w:ascii="宋体" w:hAnsi="宋体" w:cs="宋体"/>
                <w:szCs w:val="21"/>
                <w:highlight w:val="none"/>
              </w:rPr>
              <w:t>电话：</w:t>
            </w:r>
            <w:r>
              <w:rPr>
                <w:rFonts w:hint="eastAsia" w:ascii="宋体" w:hAnsi="宋体" w:cs="宋体"/>
                <w:szCs w:val="21"/>
                <w:highlight w:val="none"/>
                <w:lang w:eastAsia="zh-CN"/>
              </w:rPr>
              <w:t>18573946172</w:t>
            </w:r>
          </w:p>
          <w:p w14:paraId="34FB9E74">
            <w:pPr>
              <w:adjustRightInd w:val="0"/>
              <w:snapToGrid w:val="0"/>
              <w:rPr>
                <w:rFonts w:hint="eastAsia" w:hAnsi="宋体" w:eastAsia="宋体"/>
                <w:szCs w:val="21"/>
                <w:highlight w:val="none"/>
                <w:lang w:eastAsia="zh-CN"/>
              </w:rPr>
            </w:pPr>
            <w:r>
              <w:rPr>
                <w:rFonts w:hint="eastAsia" w:ascii="宋体" w:hAnsi="宋体" w:cs="宋体"/>
                <w:szCs w:val="21"/>
                <w:highlight w:val="none"/>
              </w:rPr>
              <w:t>地址：</w:t>
            </w:r>
            <w:r>
              <w:rPr>
                <w:rFonts w:hint="eastAsia" w:ascii="宋体" w:hAnsi="宋体" w:cs="宋体"/>
                <w:szCs w:val="21"/>
                <w:highlight w:val="none"/>
                <w:lang w:eastAsia="zh-CN"/>
              </w:rPr>
              <w:t>邵阳市宝庆中路第437号4栋</w:t>
            </w:r>
          </w:p>
        </w:tc>
      </w:tr>
      <w:tr w14:paraId="7D778BA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560" w:type="dxa"/>
            <w:vAlign w:val="center"/>
          </w:tcPr>
          <w:p w14:paraId="63474380">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第2.5</w:t>
            </w:r>
            <w:r>
              <w:rPr>
                <w:rFonts w:hint="eastAsia" w:cs="宋体" w:asciiTheme="minorEastAsia" w:hAnsiTheme="minorEastAsia" w:eastAsiaTheme="minorEastAsia"/>
                <w:kern w:val="0"/>
                <w:szCs w:val="21"/>
                <w:highlight w:val="none"/>
                <w:lang w:val="zh-CN"/>
              </w:rPr>
              <w:t>款</w:t>
            </w:r>
          </w:p>
        </w:tc>
        <w:tc>
          <w:tcPr>
            <w:tcW w:w="2003" w:type="dxa"/>
            <w:vAlign w:val="center"/>
          </w:tcPr>
          <w:p w14:paraId="2113E1B7">
            <w:pPr>
              <w:adjustRightInd w:val="0"/>
              <w:snapToGrid w:val="0"/>
              <w:spacing w:line="360" w:lineRule="auto"/>
              <w:jc w:val="left"/>
              <w:rPr>
                <w:rFonts w:hAnsi="宋体"/>
                <w:szCs w:val="21"/>
                <w:highlight w:val="none"/>
              </w:rPr>
            </w:pPr>
            <w:r>
              <w:rPr>
                <w:rFonts w:hint="eastAsia" w:hAnsi="宋体"/>
                <w:szCs w:val="21"/>
                <w:highlight w:val="none"/>
              </w:rPr>
              <w:t>采购进口产品</w:t>
            </w:r>
          </w:p>
        </w:tc>
        <w:tc>
          <w:tcPr>
            <w:tcW w:w="5368" w:type="dxa"/>
            <w:vAlign w:val="center"/>
          </w:tcPr>
          <w:p w14:paraId="40AD67B4">
            <w:pPr>
              <w:pStyle w:val="4"/>
              <w:rPr>
                <w:highlight w:val="none"/>
              </w:rPr>
            </w:pPr>
            <w:r>
              <w:rPr>
                <w:rFonts w:hint="eastAsia"/>
                <w:highlight w:val="none"/>
              </w:rPr>
              <w:t>不接受</w:t>
            </w:r>
          </w:p>
        </w:tc>
      </w:tr>
      <w:tr w14:paraId="639FFA1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228" w:hRule="atLeast"/>
        </w:trPr>
        <w:tc>
          <w:tcPr>
            <w:tcW w:w="1560" w:type="dxa"/>
            <w:vAlign w:val="center"/>
          </w:tcPr>
          <w:p w14:paraId="15D096E3">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第3.1</w:t>
            </w:r>
            <w:r>
              <w:rPr>
                <w:rFonts w:hint="eastAsia" w:cs="宋体" w:asciiTheme="minorEastAsia" w:hAnsiTheme="minorEastAsia" w:eastAsiaTheme="minorEastAsia"/>
                <w:kern w:val="0"/>
                <w:szCs w:val="21"/>
                <w:highlight w:val="none"/>
                <w:lang w:val="zh-CN"/>
              </w:rPr>
              <w:t>款</w:t>
            </w:r>
          </w:p>
        </w:tc>
        <w:tc>
          <w:tcPr>
            <w:tcW w:w="2003" w:type="dxa"/>
            <w:vAlign w:val="center"/>
          </w:tcPr>
          <w:p w14:paraId="4E5A9988">
            <w:pPr>
              <w:adjustRightInd w:val="0"/>
              <w:snapToGrid w:val="0"/>
              <w:spacing w:line="360" w:lineRule="auto"/>
              <w:jc w:val="left"/>
              <w:rPr>
                <w:rFonts w:hAnsi="宋体"/>
                <w:szCs w:val="21"/>
                <w:highlight w:val="none"/>
              </w:rPr>
            </w:pPr>
            <w:r>
              <w:rPr>
                <w:rFonts w:hint="eastAsia" w:asciiTheme="minorEastAsia" w:hAnsiTheme="minorEastAsia" w:eastAsiaTheme="minorEastAsia"/>
                <w:szCs w:val="21"/>
                <w:highlight w:val="none"/>
              </w:rPr>
              <w:t>投标人资格条件</w:t>
            </w:r>
          </w:p>
        </w:tc>
        <w:tc>
          <w:tcPr>
            <w:tcW w:w="5368" w:type="dxa"/>
            <w:vAlign w:val="center"/>
          </w:tcPr>
          <w:p w14:paraId="434BCD29">
            <w:pPr>
              <w:adjustRightInd w:val="0"/>
              <w:snapToGrid w:val="0"/>
              <w:spacing w:line="360" w:lineRule="auto"/>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详见第一章</w:t>
            </w:r>
          </w:p>
          <w:p w14:paraId="7FC043F5">
            <w:pPr>
              <w:pStyle w:val="68"/>
              <w:rPr>
                <w:highlight w:val="none"/>
              </w:rPr>
            </w:pPr>
            <w:r>
              <w:rPr>
                <w:rFonts w:hint="eastAsia" w:asciiTheme="minorEastAsia" w:hAnsiTheme="minorEastAsia" w:eastAsiaTheme="minorEastAsia"/>
                <w:b/>
                <w:spacing w:val="0"/>
                <w:kern w:val="2"/>
                <w:sz w:val="21"/>
                <w:szCs w:val="21"/>
                <w:highlight w:val="none"/>
              </w:rPr>
              <w:t>注：</w:t>
            </w:r>
            <w:r>
              <w:rPr>
                <w:rFonts w:hint="eastAsia" w:asciiTheme="minorEastAsia" w:hAnsiTheme="minorEastAsia" w:eastAsiaTheme="minorEastAsia"/>
                <w:bCs w:val="0"/>
                <w:spacing w:val="0"/>
                <w:kern w:val="2"/>
                <w:sz w:val="21"/>
                <w:szCs w:val="21"/>
                <w:highlight w:val="none"/>
              </w:rPr>
              <w:t>根</w:t>
            </w:r>
            <w:bookmarkStart w:id="14" w:name="OLE_LINK2"/>
            <w:r>
              <w:rPr>
                <w:rFonts w:hint="eastAsia" w:asciiTheme="minorEastAsia" w:hAnsiTheme="minorEastAsia" w:eastAsiaTheme="minorEastAsia"/>
                <w:bCs w:val="0"/>
                <w:spacing w:val="0"/>
                <w:kern w:val="2"/>
                <w:sz w:val="21"/>
                <w:szCs w:val="21"/>
                <w:highlight w:val="none"/>
              </w:rPr>
              <w:t>据《〈政府采购法实施条例〉释义》，银行、保险、石油石化、电力、电信等有行业特殊情况的，取得营业执照的分支机构可以分公司名义参与投标，招标文件中涉及的“法定代表人”在前述特殊</w:t>
            </w:r>
            <w:bookmarkEnd w:id="14"/>
            <w:r>
              <w:rPr>
                <w:rFonts w:hint="eastAsia" w:asciiTheme="minorEastAsia" w:hAnsiTheme="minorEastAsia" w:eastAsiaTheme="minorEastAsia"/>
                <w:bCs w:val="0"/>
                <w:spacing w:val="0"/>
                <w:kern w:val="2"/>
                <w:sz w:val="21"/>
                <w:szCs w:val="21"/>
                <w:highlight w:val="none"/>
              </w:rPr>
              <w:t>行业中即对应为“分支机构负责人”。</w:t>
            </w:r>
          </w:p>
        </w:tc>
      </w:tr>
      <w:tr w14:paraId="277752E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1560" w:type="dxa"/>
            <w:vAlign w:val="center"/>
          </w:tcPr>
          <w:p w14:paraId="5FCB48EE">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第3.2</w:t>
            </w:r>
            <w:r>
              <w:rPr>
                <w:rFonts w:hint="eastAsia" w:cs="宋体" w:asciiTheme="minorEastAsia" w:hAnsiTheme="minorEastAsia" w:eastAsiaTheme="minorEastAsia"/>
                <w:kern w:val="0"/>
                <w:szCs w:val="21"/>
                <w:highlight w:val="none"/>
                <w:lang w:val="zh-CN"/>
              </w:rPr>
              <w:t>款</w:t>
            </w:r>
          </w:p>
        </w:tc>
        <w:tc>
          <w:tcPr>
            <w:tcW w:w="2003" w:type="dxa"/>
            <w:vAlign w:val="center"/>
          </w:tcPr>
          <w:p w14:paraId="56CCB6B8">
            <w:pPr>
              <w:adjustRightInd w:val="0"/>
              <w:snapToGrid w:val="0"/>
              <w:spacing w:line="360" w:lineRule="auto"/>
              <w:jc w:val="left"/>
              <w:rPr>
                <w:rFonts w:hAnsi="宋体"/>
                <w:szCs w:val="21"/>
                <w:highlight w:val="none"/>
              </w:rPr>
            </w:pPr>
            <w:r>
              <w:rPr>
                <w:rFonts w:hint="eastAsia" w:hAnsi="宋体"/>
                <w:szCs w:val="21"/>
                <w:highlight w:val="none"/>
              </w:rPr>
              <w:t>接受联合体形式投标</w:t>
            </w:r>
          </w:p>
        </w:tc>
        <w:tc>
          <w:tcPr>
            <w:tcW w:w="5368" w:type="dxa"/>
            <w:vAlign w:val="center"/>
          </w:tcPr>
          <w:p w14:paraId="7C7DF872">
            <w:pPr>
              <w:rPr>
                <w:rFonts w:ascii="宋体" w:hAnsi="宋体"/>
                <w:szCs w:val="21"/>
                <w:highlight w:val="none"/>
              </w:rPr>
            </w:pPr>
            <w:r>
              <w:rPr>
                <w:rFonts w:hint="eastAsia" w:ascii="宋体" w:hAnsi="宋体"/>
                <w:szCs w:val="21"/>
                <w:highlight w:val="none"/>
              </w:rPr>
              <w:t>□ 接受</w:t>
            </w:r>
          </w:p>
          <w:p w14:paraId="6D29DB19">
            <w:pPr>
              <w:adjustRightInd w:val="0"/>
              <w:snapToGrid w:val="0"/>
              <w:spacing w:line="420" w:lineRule="exact"/>
              <w:rPr>
                <w:rFonts w:hAnsi="宋体"/>
                <w:szCs w:val="21"/>
                <w:highlight w:val="none"/>
              </w:rPr>
            </w:pPr>
            <w:r>
              <w:rPr>
                <w:rFonts w:hint="eastAsia" w:ascii="宋体" w:hAnsi="宋体"/>
                <w:szCs w:val="21"/>
                <w:highlight w:val="none"/>
              </w:rPr>
              <w:t>■ 不接受联合体</w:t>
            </w:r>
          </w:p>
        </w:tc>
      </w:tr>
      <w:tr w14:paraId="15D9C9F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0" w:hRule="atLeast"/>
        </w:trPr>
        <w:tc>
          <w:tcPr>
            <w:tcW w:w="1560" w:type="dxa"/>
            <w:vAlign w:val="center"/>
          </w:tcPr>
          <w:p w14:paraId="273EF750">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第5.1</w:t>
            </w:r>
            <w:r>
              <w:rPr>
                <w:rFonts w:hint="eastAsia" w:cs="宋体" w:asciiTheme="minorEastAsia" w:hAnsiTheme="minorEastAsia" w:eastAsiaTheme="minorEastAsia"/>
                <w:kern w:val="0"/>
                <w:szCs w:val="21"/>
                <w:highlight w:val="none"/>
                <w:lang w:val="zh-CN"/>
              </w:rPr>
              <w:t>款</w:t>
            </w:r>
          </w:p>
        </w:tc>
        <w:tc>
          <w:tcPr>
            <w:tcW w:w="2003" w:type="dxa"/>
            <w:vAlign w:val="center"/>
          </w:tcPr>
          <w:p w14:paraId="1DF25224">
            <w:pPr>
              <w:adjustRightInd w:val="0"/>
              <w:snapToGrid w:val="0"/>
              <w:spacing w:line="360" w:lineRule="auto"/>
              <w:jc w:val="left"/>
              <w:rPr>
                <w:rFonts w:hAnsi="宋体"/>
                <w:szCs w:val="21"/>
                <w:highlight w:val="none"/>
              </w:rPr>
            </w:pPr>
            <w:r>
              <w:rPr>
                <w:rFonts w:hint="eastAsia" w:asciiTheme="minorEastAsia" w:hAnsiTheme="minorEastAsia" w:eastAsiaTheme="minorEastAsia"/>
                <w:szCs w:val="21"/>
                <w:highlight w:val="none"/>
              </w:rPr>
              <w:t>招标文件提供期限</w:t>
            </w:r>
          </w:p>
        </w:tc>
        <w:tc>
          <w:tcPr>
            <w:tcW w:w="5368" w:type="dxa"/>
            <w:vAlign w:val="center"/>
          </w:tcPr>
          <w:p w14:paraId="7795CE8D">
            <w:pPr>
              <w:adjustRightInd w:val="0"/>
              <w:snapToGrid w:val="0"/>
              <w:spacing w:line="420" w:lineRule="exact"/>
              <w:rPr>
                <w:rFonts w:hAnsi="宋体"/>
                <w:szCs w:val="21"/>
                <w:highlight w:val="none"/>
              </w:rPr>
            </w:pPr>
            <w:r>
              <w:rPr>
                <w:rFonts w:hint="eastAsia" w:hAnsi="宋体"/>
                <w:szCs w:val="21"/>
                <w:highlight w:val="none"/>
              </w:rPr>
              <w:t>详见第一章</w:t>
            </w:r>
          </w:p>
        </w:tc>
      </w:tr>
      <w:tr w14:paraId="0CFA8AF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560" w:type="dxa"/>
            <w:vAlign w:val="center"/>
          </w:tcPr>
          <w:p w14:paraId="142C078C">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第5.2</w:t>
            </w:r>
            <w:r>
              <w:rPr>
                <w:rFonts w:hint="eastAsia" w:cs="宋体" w:asciiTheme="minorEastAsia" w:hAnsiTheme="minorEastAsia" w:eastAsiaTheme="minorEastAsia"/>
                <w:kern w:val="0"/>
                <w:szCs w:val="21"/>
                <w:highlight w:val="none"/>
                <w:lang w:val="zh-CN"/>
              </w:rPr>
              <w:t>款</w:t>
            </w:r>
          </w:p>
        </w:tc>
        <w:tc>
          <w:tcPr>
            <w:tcW w:w="2003" w:type="dxa"/>
            <w:vAlign w:val="center"/>
          </w:tcPr>
          <w:p w14:paraId="2F5D246A">
            <w:pPr>
              <w:adjustRightInd w:val="0"/>
              <w:snapToGrid w:val="0"/>
              <w:spacing w:line="360" w:lineRule="auto"/>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组织现场考察或者召开答疑会</w:t>
            </w:r>
          </w:p>
        </w:tc>
        <w:tc>
          <w:tcPr>
            <w:tcW w:w="5368" w:type="dxa"/>
            <w:vAlign w:val="center"/>
          </w:tcPr>
          <w:p w14:paraId="274E264F">
            <w:pPr>
              <w:rPr>
                <w:rFonts w:ascii="宋体" w:hAnsi="宋体"/>
                <w:szCs w:val="21"/>
                <w:highlight w:val="none"/>
              </w:rPr>
            </w:pPr>
            <w:r>
              <w:rPr>
                <w:rFonts w:hint="eastAsia" w:ascii="宋体" w:hAnsi="宋体"/>
                <w:szCs w:val="21"/>
                <w:highlight w:val="none"/>
              </w:rPr>
              <w:t>■ 采购人不组织，潜在供应商可自行前往。</w:t>
            </w:r>
          </w:p>
          <w:p w14:paraId="15654F71">
            <w:pPr>
              <w:adjustRightInd w:val="0"/>
              <w:snapToGrid w:val="0"/>
              <w:spacing w:line="360" w:lineRule="auto"/>
              <w:rPr>
                <w:rFonts w:asciiTheme="minorEastAsia" w:hAnsiTheme="minorEastAsia" w:eastAsiaTheme="minorEastAsia"/>
                <w:szCs w:val="21"/>
                <w:highlight w:val="none"/>
              </w:rPr>
            </w:pPr>
            <w:r>
              <w:rPr>
                <w:rFonts w:hint="eastAsia" w:ascii="宋体" w:hAnsi="宋体"/>
                <w:szCs w:val="21"/>
                <w:highlight w:val="none"/>
              </w:rPr>
              <w:t>□ 采购人组织，时间：投标截止时间前， 地点：/。</w:t>
            </w:r>
          </w:p>
        </w:tc>
      </w:tr>
      <w:tr w14:paraId="4729F29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8931" w:type="dxa"/>
            <w:gridSpan w:val="3"/>
            <w:vAlign w:val="center"/>
          </w:tcPr>
          <w:p w14:paraId="152F658E">
            <w:pPr>
              <w:adjustRightInd w:val="0"/>
              <w:snapToGrid w:val="0"/>
              <w:spacing w:line="280" w:lineRule="exact"/>
              <w:rPr>
                <w:rFonts w:asciiTheme="minorEastAsia" w:hAnsiTheme="minorEastAsia" w:eastAsiaTheme="minorEastAsia"/>
                <w:b/>
                <w:szCs w:val="21"/>
                <w:highlight w:val="none"/>
              </w:rPr>
            </w:pPr>
            <w:r>
              <w:rPr>
                <w:rFonts w:hint="eastAsia" w:asciiTheme="minorEastAsia" w:hAnsiTheme="minorEastAsia" w:eastAsiaTheme="minorEastAsia"/>
                <w:b/>
                <w:szCs w:val="21"/>
                <w:highlight w:val="none"/>
              </w:rPr>
              <w:t>二、招标文件</w:t>
            </w:r>
          </w:p>
        </w:tc>
      </w:tr>
      <w:tr w14:paraId="576B368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11" w:hRule="atLeast"/>
        </w:trPr>
        <w:tc>
          <w:tcPr>
            <w:tcW w:w="1560" w:type="dxa"/>
            <w:vAlign w:val="center"/>
          </w:tcPr>
          <w:p w14:paraId="2ABDDEA9">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第7.4</w:t>
            </w:r>
            <w:r>
              <w:rPr>
                <w:rFonts w:hint="eastAsia" w:cs="宋体" w:asciiTheme="minorEastAsia" w:hAnsiTheme="minorEastAsia" w:eastAsiaTheme="minorEastAsia"/>
                <w:kern w:val="0"/>
                <w:szCs w:val="21"/>
                <w:highlight w:val="none"/>
                <w:lang w:val="zh-CN"/>
              </w:rPr>
              <w:t>款</w:t>
            </w:r>
          </w:p>
        </w:tc>
        <w:tc>
          <w:tcPr>
            <w:tcW w:w="2003" w:type="dxa"/>
            <w:vAlign w:val="center"/>
          </w:tcPr>
          <w:p w14:paraId="4585A887">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非实质性偏离的范围和幅度</w:t>
            </w:r>
          </w:p>
        </w:tc>
        <w:tc>
          <w:tcPr>
            <w:tcW w:w="5368" w:type="dxa"/>
            <w:vAlign w:val="center"/>
          </w:tcPr>
          <w:p w14:paraId="30FA68AD">
            <w:pPr>
              <w:adjustRightInd w:val="0"/>
              <w:snapToGrid w:val="0"/>
              <w:spacing w:line="280" w:lineRule="exact"/>
              <w:ind w:left="105" w:hanging="105" w:hangingChars="50"/>
              <w:jc w:val="left"/>
              <w:rPr>
                <w:rFonts w:ascii="宋体" w:hAnsi="宋体" w:cs="宋体"/>
                <w:szCs w:val="21"/>
                <w:highlight w:val="none"/>
              </w:rPr>
            </w:pPr>
            <w:r>
              <w:rPr>
                <w:rFonts w:hint="eastAsia" w:ascii="宋体" w:hAnsi="宋体" w:cs="宋体"/>
                <w:szCs w:val="21"/>
                <w:highlight w:val="none"/>
              </w:rPr>
              <w:t>招标文件第五章《采购需求》中非实质性要求条款</w:t>
            </w:r>
            <w:r>
              <w:rPr>
                <w:rFonts w:hint="eastAsia" w:ascii="宋体" w:hAnsi="宋体" w:cs="宋体"/>
                <w:szCs w:val="21"/>
                <w:highlight w:val="none"/>
                <w:lang w:val="en-US" w:eastAsia="zh-CN"/>
              </w:rPr>
              <w:t>和非“</w:t>
            </w:r>
            <w:r>
              <w:rPr>
                <w:rFonts w:hint="eastAsia" w:ascii="宋体" w:hAnsi="宋体" w:eastAsia="宋体" w:cs="宋体"/>
                <w:color w:val="auto"/>
                <w:sz w:val="20"/>
                <w:szCs w:val="20"/>
                <w:highlight w:val="none"/>
                <w:lang w:val="en-US" w:eastAsia="zh-CN"/>
              </w:rPr>
              <w:t>▲</w:t>
            </w:r>
            <w:r>
              <w:rPr>
                <w:rFonts w:hint="eastAsia" w:ascii="宋体" w:hAnsi="宋体" w:cs="宋体"/>
                <w:szCs w:val="21"/>
                <w:highlight w:val="none"/>
                <w:lang w:val="en-US" w:eastAsia="zh-CN"/>
              </w:rPr>
              <w:t>”条款</w:t>
            </w:r>
            <w:r>
              <w:rPr>
                <w:rFonts w:hint="eastAsia" w:ascii="宋体" w:hAnsi="宋体" w:cs="宋体"/>
                <w:szCs w:val="21"/>
                <w:highlight w:val="none"/>
              </w:rPr>
              <w:t>允许负偏离的项数</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cs="宋体"/>
                <w:color w:val="FF0000"/>
                <w:szCs w:val="21"/>
                <w:highlight w:val="none"/>
                <w:lang w:val="en-US" w:eastAsia="zh-CN"/>
              </w:rPr>
              <w:t>10</w:t>
            </w:r>
            <w:r>
              <w:rPr>
                <w:rFonts w:hint="eastAsia" w:ascii="宋体" w:hAnsi="宋体" w:cs="宋体"/>
                <w:szCs w:val="21"/>
                <w:highlight w:val="none"/>
              </w:rPr>
              <w:t>项将导致投标无效。</w:t>
            </w:r>
          </w:p>
          <w:p w14:paraId="63A3CAF8">
            <w:pPr>
              <w:adjustRightInd w:val="0"/>
              <w:snapToGrid w:val="0"/>
              <w:spacing w:line="280" w:lineRule="exact"/>
              <w:ind w:left="105" w:hanging="105" w:hangingChars="50"/>
              <w:jc w:val="left"/>
              <w:rPr>
                <w:rFonts w:asciiTheme="minorEastAsia" w:hAnsiTheme="minorEastAsia" w:eastAsiaTheme="minorEastAsia"/>
                <w:szCs w:val="21"/>
                <w:highlight w:val="none"/>
                <w:u w:val="single"/>
              </w:rPr>
            </w:pPr>
            <w:r>
              <w:rPr>
                <w:rFonts w:hint="eastAsia" w:ascii="宋体" w:hAnsi="宋体"/>
                <w:szCs w:val="21"/>
                <w:highlight w:val="none"/>
              </w:rPr>
              <w:t>注：带“★”条款为必须满足的商务或技术服务要求（参数），不满足视为投标无效。</w:t>
            </w:r>
          </w:p>
        </w:tc>
      </w:tr>
      <w:tr w14:paraId="40D54C2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trPr>
        <w:tc>
          <w:tcPr>
            <w:tcW w:w="1560" w:type="dxa"/>
            <w:vAlign w:val="center"/>
          </w:tcPr>
          <w:p w14:paraId="16BF9A6C">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第9.1</w:t>
            </w:r>
            <w:r>
              <w:rPr>
                <w:rFonts w:hint="eastAsia" w:cs="宋体" w:asciiTheme="minorEastAsia" w:hAnsiTheme="minorEastAsia" w:eastAsiaTheme="minorEastAsia"/>
                <w:kern w:val="0"/>
                <w:szCs w:val="21"/>
                <w:highlight w:val="none"/>
                <w:lang w:val="zh-CN"/>
              </w:rPr>
              <w:t>款</w:t>
            </w:r>
          </w:p>
        </w:tc>
        <w:tc>
          <w:tcPr>
            <w:tcW w:w="2003" w:type="dxa"/>
            <w:vAlign w:val="center"/>
          </w:tcPr>
          <w:p w14:paraId="71AAFA78">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招标公告指定媒体</w:t>
            </w:r>
          </w:p>
        </w:tc>
        <w:tc>
          <w:tcPr>
            <w:tcW w:w="5368" w:type="dxa"/>
            <w:vAlign w:val="center"/>
          </w:tcPr>
          <w:p w14:paraId="6C6C9A91">
            <w:pPr>
              <w:adjustRightInd w:val="0"/>
              <w:snapToGrid w:val="0"/>
              <w:spacing w:line="280" w:lineRule="exact"/>
              <w:ind w:left="105" w:hanging="105" w:hangingChars="50"/>
              <w:rPr>
                <w:highlight w:val="none"/>
              </w:rPr>
            </w:pPr>
            <w:r>
              <w:rPr>
                <w:rFonts w:hint="eastAsia"/>
                <w:highlight w:val="none"/>
              </w:rPr>
              <w:t>中国湖南政府采购网(www.ccgp-hunan.gov.cn)</w:t>
            </w:r>
          </w:p>
          <w:p w14:paraId="25C92ECA">
            <w:pPr>
              <w:adjustRightInd w:val="0"/>
              <w:snapToGrid w:val="0"/>
              <w:spacing w:line="280" w:lineRule="exact"/>
              <w:ind w:left="105" w:hanging="105" w:hangingChars="50"/>
              <w:rPr>
                <w:highlight w:val="none"/>
              </w:rPr>
            </w:pPr>
            <w:r>
              <w:rPr>
                <w:rFonts w:hint="eastAsia"/>
                <w:highlight w:val="none"/>
              </w:rPr>
              <w:t>邵阳市公共资源交易中心</w:t>
            </w:r>
          </w:p>
        </w:tc>
      </w:tr>
      <w:tr w14:paraId="26F5860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8931" w:type="dxa"/>
            <w:gridSpan w:val="3"/>
            <w:vAlign w:val="center"/>
          </w:tcPr>
          <w:p w14:paraId="7C0FD186">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b/>
                <w:szCs w:val="21"/>
                <w:highlight w:val="none"/>
              </w:rPr>
              <w:t>三、投标文件</w:t>
            </w:r>
          </w:p>
        </w:tc>
      </w:tr>
      <w:tr w14:paraId="5A7CC64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157ACF3F">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第13.2</w:t>
            </w:r>
            <w:r>
              <w:rPr>
                <w:rFonts w:hint="eastAsia" w:cs="宋体" w:asciiTheme="minorEastAsia" w:hAnsiTheme="minorEastAsia" w:eastAsiaTheme="minorEastAsia"/>
                <w:kern w:val="0"/>
                <w:szCs w:val="21"/>
                <w:highlight w:val="none"/>
                <w:lang w:val="zh-CN"/>
              </w:rPr>
              <w:t>款</w:t>
            </w:r>
          </w:p>
        </w:tc>
        <w:tc>
          <w:tcPr>
            <w:tcW w:w="2003" w:type="dxa"/>
            <w:vAlign w:val="center"/>
          </w:tcPr>
          <w:p w14:paraId="401519F4">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采购预算、最高限价</w:t>
            </w:r>
          </w:p>
        </w:tc>
        <w:tc>
          <w:tcPr>
            <w:tcW w:w="5368" w:type="dxa"/>
            <w:vAlign w:val="center"/>
          </w:tcPr>
          <w:p w14:paraId="089B5C14">
            <w:pPr>
              <w:adjustRightInd w:val="0"/>
              <w:snapToGrid w:val="0"/>
              <w:spacing w:line="280" w:lineRule="exact"/>
              <w:rPr>
                <w:rFonts w:hint="eastAsia" w:asciiTheme="minorEastAsia" w:hAnsiTheme="minorEastAsia" w:eastAsiaTheme="minorEastAsia"/>
                <w:szCs w:val="21"/>
                <w:highlight w:val="none"/>
                <w:lang w:eastAsia="zh-CN"/>
              </w:rPr>
            </w:pPr>
            <w:r>
              <w:rPr>
                <w:rFonts w:hint="eastAsia" w:asciiTheme="minorEastAsia" w:hAnsiTheme="minorEastAsia" w:eastAsiaTheme="minorEastAsia"/>
                <w:szCs w:val="21"/>
                <w:highlight w:val="none"/>
                <w:lang w:val="en-US" w:eastAsia="zh-CN"/>
              </w:rPr>
              <w:t>1、</w:t>
            </w:r>
            <w:r>
              <w:rPr>
                <w:rFonts w:hint="eastAsia" w:asciiTheme="minorEastAsia" w:hAnsiTheme="minorEastAsia" w:eastAsiaTheme="minorEastAsia"/>
                <w:szCs w:val="21"/>
                <w:highlight w:val="none"/>
              </w:rPr>
              <w:t>采购项目预算：小写：</w:t>
            </w:r>
            <w:r>
              <w:rPr>
                <w:rFonts w:hint="eastAsia" w:asciiTheme="minorEastAsia" w:hAnsiTheme="minorEastAsia" w:eastAsiaTheme="minorEastAsia"/>
                <w:szCs w:val="21"/>
                <w:highlight w:val="none"/>
                <w:lang w:eastAsia="zh-CN"/>
              </w:rPr>
              <w:t>6200740.41</w:t>
            </w:r>
            <w:r>
              <w:rPr>
                <w:rFonts w:hint="eastAsia" w:asciiTheme="minorEastAsia" w:hAnsiTheme="minorEastAsia" w:eastAsiaTheme="minorEastAsia"/>
                <w:szCs w:val="21"/>
                <w:highlight w:val="none"/>
              </w:rPr>
              <w:t>元人民币，大写：</w:t>
            </w:r>
            <w:r>
              <w:rPr>
                <w:rFonts w:hint="eastAsia" w:asciiTheme="minorEastAsia" w:hAnsiTheme="minorEastAsia" w:eastAsiaTheme="minorEastAsia"/>
                <w:szCs w:val="21"/>
                <w:highlight w:val="none"/>
                <w:lang w:eastAsia="zh-CN"/>
              </w:rPr>
              <w:t>陆佰贰拾万零柒佰肆拾圆肆角壹分人民币</w:t>
            </w:r>
          </w:p>
          <w:p w14:paraId="3E96B798">
            <w:pPr>
              <w:adjustRightInd w:val="0"/>
              <w:snapToGrid w:val="0"/>
              <w:spacing w:line="280" w:lineRule="exact"/>
              <w:rPr>
                <w:rFonts w:hint="eastAsia" w:asciiTheme="minorEastAsia" w:hAnsiTheme="minorEastAsia" w:eastAsiaTheme="minorEastAsia"/>
                <w:b/>
                <w:bCs/>
                <w:szCs w:val="21"/>
                <w:highlight w:val="none"/>
                <w:lang w:eastAsia="zh-CN"/>
              </w:rPr>
            </w:pPr>
            <w:r>
              <w:rPr>
                <w:rFonts w:hint="eastAsia" w:asciiTheme="minorEastAsia" w:hAnsiTheme="minorEastAsia" w:eastAsiaTheme="minorEastAsia"/>
                <w:szCs w:val="21"/>
                <w:highlight w:val="none"/>
                <w:lang w:val="en-US" w:eastAsia="zh-CN"/>
              </w:rPr>
              <w:t>2</w:t>
            </w:r>
            <w:r>
              <w:rPr>
                <w:rFonts w:hint="eastAsia" w:asciiTheme="minorEastAsia" w:hAnsiTheme="minorEastAsia" w:eastAsiaTheme="minorEastAsia"/>
                <w:szCs w:val="21"/>
                <w:highlight w:val="none"/>
              </w:rPr>
              <w:t>、项目最高限价：小写：</w:t>
            </w:r>
            <w:r>
              <w:rPr>
                <w:rFonts w:hint="eastAsia" w:ascii="宋体" w:hAnsi="宋体" w:cs="宋体"/>
                <w:szCs w:val="21"/>
                <w:highlight w:val="none"/>
                <w:u w:val="none"/>
                <w:lang w:val="en-US" w:eastAsia="zh-CN"/>
              </w:rPr>
              <w:t>6185273.16</w:t>
            </w:r>
            <w:r>
              <w:rPr>
                <w:rFonts w:hint="eastAsia" w:asciiTheme="minorEastAsia" w:hAnsiTheme="minorEastAsia" w:eastAsiaTheme="minorEastAsia"/>
                <w:szCs w:val="21"/>
                <w:highlight w:val="none"/>
              </w:rPr>
              <w:t>元人民币，大写：</w:t>
            </w:r>
            <w:r>
              <w:rPr>
                <w:rFonts w:hint="eastAsia" w:asciiTheme="minorEastAsia" w:hAnsiTheme="minorEastAsia" w:eastAsiaTheme="minorEastAsia"/>
                <w:szCs w:val="21"/>
                <w:highlight w:val="none"/>
                <w:lang w:eastAsia="zh-CN"/>
              </w:rPr>
              <w:t>陆佰壹拾捌万伍仟贰佰柒拾叁元壹角陆分人民币</w:t>
            </w:r>
          </w:p>
        </w:tc>
      </w:tr>
      <w:tr w14:paraId="027DB7E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22804D50">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第13.8款</w:t>
            </w:r>
          </w:p>
        </w:tc>
        <w:tc>
          <w:tcPr>
            <w:tcW w:w="2003" w:type="dxa"/>
            <w:vAlign w:val="center"/>
          </w:tcPr>
          <w:p w14:paraId="6494FD61">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投标报价的其他要求</w:t>
            </w:r>
          </w:p>
        </w:tc>
        <w:tc>
          <w:tcPr>
            <w:tcW w:w="5368" w:type="dxa"/>
            <w:vAlign w:val="center"/>
          </w:tcPr>
          <w:p w14:paraId="1FF47579">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1、本项目的“开标一览表”所填报价应与交易平台上所填电子“开标一览表”报价一致，否则，以交易平台上所填电子“开标一览表”报价为准。</w:t>
            </w:r>
          </w:p>
          <w:p w14:paraId="7E1B214B">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2、要求提供分项报价，按招标文件要求进行报价。投标报价超过采购预算、最高限价的按无效投标处理；</w:t>
            </w:r>
          </w:p>
          <w:p w14:paraId="5CF7DFC8">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3、不得填写“免费”或“赠与”，也不得进行“零”报价，否则投标无效。</w:t>
            </w:r>
          </w:p>
          <w:p w14:paraId="1348565E">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投标无效处理。</w:t>
            </w:r>
          </w:p>
        </w:tc>
      </w:tr>
      <w:tr w14:paraId="363A617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5F2BE777">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第14.1款</w:t>
            </w:r>
          </w:p>
        </w:tc>
        <w:tc>
          <w:tcPr>
            <w:tcW w:w="2003" w:type="dxa"/>
            <w:vAlign w:val="center"/>
          </w:tcPr>
          <w:p w14:paraId="3C6C110F">
            <w:pPr>
              <w:adjustRightInd w:val="0"/>
              <w:snapToGrid w:val="0"/>
              <w:spacing w:line="280" w:lineRule="exact"/>
              <w:rPr>
                <w:rFonts w:asciiTheme="minorEastAsia" w:hAnsiTheme="minorEastAsia" w:eastAsiaTheme="minorEastAsia"/>
                <w:bCs/>
                <w:szCs w:val="21"/>
                <w:highlight w:val="none"/>
              </w:rPr>
            </w:pPr>
            <w:r>
              <w:rPr>
                <w:rFonts w:hint="eastAsia" w:asciiTheme="minorEastAsia" w:hAnsiTheme="minorEastAsia" w:eastAsiaTheme="minorEastAsia"/>
                <w:szCs w:val="21"/>
                <w:highlight w:val="none"/>
              </w:rPr>
              <w:t>投标人应提供资格审查资料</w:t>
            </w:r>
          </w:p>
        </w:tc>
        <w:tc>
          <w:tcPr>
            <w:tcW w:w="5368" w:type="dxa"/>
            <w:vAlign w:val="center"/>
          </w:tcPr>
          <w:p w14:paraId="7FC4AC6B">
            <w:pPr>
              <w:widowControl/>
              <w:jc w:val="left"/>
              <w:rPr>
                <w:highlight w:val="none"/>
              </w:rPr>
            </w:pPr>
            <w:r>
              <w:rPr>
                <w:rFonts w:hint="eastAsia"/>
                <w:highlight w:val="none"/>
              </w:rPr>
              <w:t>详见《资格审查表》</w:t>
            </w:r>
          </w:p>
        </w:tc>
      </w:tr>
      <w:tr w14:paraId="3A064F2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0BEA0792">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第14.1(3)项</w:t>
            </w:r>
          </w:p>
        </w:tc>
        <w:tc>
          <w:tcPr>
            <w:tcW w:w="2003" w:type="dxa"/>
            <w:vAlign w:val="center"/>
          </w:tcPr>
          <w:p w14:paraId="62453A0E">
            <w:pPr>
              <w:adjustRightInd w:val="0"/>
              <w:snapToGrid w:val="0"/>
              <w:spacing w:line="360" w:lineRule="auto"/>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特定资格条件应提供的资格审查资料</w:t>
            </w:r>
          </w:p>
        </w:tc>
        <w:tc>
          <w:tcPr>
            <w:tcW w:w="5368" w:type="dxa"/>
            <w:vAlign w:val="center"/>
          </w:tcPr>
          <w:p w14:paraId="7855EDC5">
            <w:pPr>
              <w:adjustRightInd w:val="0"/>
              <w:snapToGrid w:val="0"/>
              <w:spacing w:line="360" w:lineRule="auto"/>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w:t>
            </w:r>
          </w:p>
        </w:tc>
      </w:tr>
      <w:tr w14:paraId="62D7D43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603332A4">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第16.1</w:t>
            </w:r>
            <w:r>
              <w:rPr>
                <w:rFonts w:hint="eastAsia" w:cs="宋体" w:asciiTheme="minorEastAsia" w:hAnsiTheme="minorEastAsia" w:eastAsiaTheme="minorEastAsia"/>
                <w:kern w:val="0"/>
                <w:szCs w:val="21"/>
                <w:highlight w:val="none"/>
                <w:lang w:val="zh-CN"/>
              </w:rPr>
              <w:t>款</w:t>
            </w:r>
          </w:p>
        </w:tc>
        <w:tc>
          <w:tcPr>
            <w:tcW w:w="2003" w:type="dxa"/>
            <w:vAlign w:val="center"/>
          </w:tcPr>
          <w:p w14:paraId="5F907FC2">
            <w:pPr>
              <w:adjustRightInd w:val="0"/>
              <w:snapToGrid w:val="0"/>
              <w:spacing w:line="280" w:lineRule="exact"/>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投标有效期</w:t>
            </w:r>
          </w:p>
        </w:tc>
        <w:tc>
          <w:tcPr>
            <w:tcW w:w="5368" w:type="dxa"/>
            <w:vAlign w:val="center"/>
          </w:tcPr>
          <w:p w14:paraId="69783E5E">
            <w:pPr>
              <w:adjustRightInd w:val="0"/>
              <w:snapToGrid w:val="0"/>
              <w:spacing w:line="280" w:lineRule="exac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9</w:t>
            </w:r>
            <w:r>
              <w:rPr>
                <w:rFonts w:asciiTheme="minorEastAsia" w:hAnsiTheme="minorEastAsia" w:eastAsiaTheme="minorEastAsia"/>
                <w:bCs/>
                <w:szCs w:val="21"/>
                <w:highlight w:val="none"/>
              </w:rPr>
              <w:t>0</w:t>
            </w:r>
            <w:r>
              <w:rPr>
                <w:rFonts w:hint="eastAsia" w:asciiTheme="minorEastAsia" w:hAnsiTheme="minorEastAsia" w:eastAsiaTheme="minorEastAsia"/>
                <w:bCs/>
                <w:szCs w:val="21"/>
                <w:highlight w:val="none"/>
              </w:rPr>
              <w:t>日历日</w:t>
            </w:r>
          </w:p>
        </w:tc>
      </w:tr>
      <w:tr w14:paraId="719E6D0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31F61A2C">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第17.1</w:t>
            </w:r>
            <w:r>
              <w:rPr>
                <w:rFonts w:hint="eastAsia" w:cs="宋体" w:asciiTheme="minorEastAsia" w:hAnsiTheme="minorEastAsia" w:eastAsiaTheme="minorEastAsia"/>
                <w:kern w:val="0"/>
                <w:szCs w:val="21"/>
                <w:highlight w:val="none"/>
                <w:lang w:val="zh-CN"/>
              </w:rPr>
              <w:t>款</w:t>
            </w:r>
          </w:p>
        </w:tc>
        <w:tc>
          <w:tcPr>
            <w:tcW w:w="2003" w:type="dxa"/>
            <w:vAlign w:val="center"/>
          </w:tcPr>
          <w:p w14:paraId="6FC18408">
            <w:pPr>
              <w:adjustRightInd w:val="0"/>
              <w:snapToGrid w:val="0"/>
              <w:spacing w:line="280" w:lineRule="exact"/>
              <w:ind w:left="-533" w:leftChars="-254" w:firstLine="533" w:firstLineChars="254"/>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投标保证金</w:t>
            </w:r>
          </w:p>
        </w:tc>
        <w:tc>
          <w:tcPr>
            <w:tcW w:w="5368" w:type="dxa"/>
            <w:vAlign w:val="center"/>
          </w:tcPr>
          <w:p w14:paraId="416E25C8">
            <w:pPr>
              <w:pStyle w:val="69"/>
              <w:ind w:firstLine="0" w:firstLineChars="0"/>
              <w:rPr>
                <w:highlight w:val="none"/>
              </w:rPr>
            </w:pPr>
            <w:r>
              <w:rPr>
                <w:rFonts w:hint="eastAsia"/>
                <w:highlight w:val="none"/>
              </w:rPr>
              <w:t>本项目不要求提交保证金，供应商须提交</w:t>
            </w:r>
            <w:r>
              <w:rPr>
                <w:rFonts w:hint="eastAsia" w:eastAsia="宋体"/>
                <w:szCs w:val="21"/>
                <w:highlight w:val="none"/>
              </w:rPr>
              <w:t>《项目免交投标保证金承诺书》（格式）</w:t>
            </w:r>
            <w:r>
              <w:rPr>
                <w:rFonts w:hint="eastAsia"/>
                <w:highlight w:val="none"/>
              </w:rPr>
              <w:t>。</w:t>
            </w:r>
          </w:p>
        </w:tc>
      </w:tr>
      <w:tr w14:paraId="108E0BD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2FEF250B">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第18.1</w:t>
            </w:r>
            <w:r>
              <w:rPr>
                <w:rFonts w:hint="eastAsia" w:cs="宋体" w:asciiTheme="minorEastAsia" w:hAnsiTheme="minorEastAsia" w:eastAsiaTheme="minorEastAsia"/>
                <w:kern w:val="0"/>
                <w:szCs w:val="21"/>
                <w:highlight w:val="none"/>
                <w:lang w:val="zh-CN"/>
              </w:rPr>
              <w:t>款</w:t>
            </w:r>
          </w:p>
        </w:tc>
        <w:tc>
          <w:tcPr>
            <w:tcW w:w="2003" w:type="dxa"/>
            <w:vAlign w:val="center"/>
          </w:tcPr>
          <w:p w14:paraId="7977583D">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bCs/>
                <w:szCs w:val="21"/>
                <w:highlight w:val="none"/>
              </w:rPr>
              <w:t>分包</w:t>
            </w:r>
          </w:p>
        </w:tc>
        <w:tc>
          <w:tcPr>
            <w:tcW w:w="5368" w:type="dxa"/>
            <w:vAlign w:val="center"/>
          </w:tcPr>
          <w:p w14:paraId="3C9129EF">
            <w:pPr>
              <w:adjustRightInd w:val="0"/>
              <w:snapToGrid w:val="0"/>
              <w:spacing w:line="280" w:lineRule="exact"/>
              <w:rPr>
                <w:rFonts w:eastAsiaTheme="minorEastAsia"/>
                <w:highlight w:val="none"/>
              </w:rPr>
            </w:pPr>
            <w:r>
              <w:rPr>
                <w:rFonts w:hint="eastAsia"/>
                <w:highlight w:val="none"/>
              </w:rPr>
              <w:t>本项目</w:t>
            </w:r>
            <w:r>
              <w:rPr>
                <w:rFonts w:hint="eastAsia"/>
                <w:highlight w:val="none"/>
                <w:u w:val="single"/>
              </w:rPr>
              <w:t>不允许</w:t>
            </w:r>
            <w:r>
              <w:rPr>
                <w:rFonts w:hint="eastAsia"/>
                <w:highlight w:val="none"/>
              </w:rPr>
              <w:t>分包。</w:t>
            </w:r>
          </w:p>
        </w:tc>
      </w:tr>
      <w:tr w14:paraId="44B36DC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1D569D00">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第19.1款</w:t>
            </w:r>
          </w:p>
        </w:tc>
        <w:tc>
          <w:tcPr>
            <w:tcW w:w="2003" w:type="dxa"/>
            <w:vAlign w:val="center"/>
          </w:tcPr>
          <w:p w14:paraId="4C07EE26">
            <w:pPr>
              <w:spacing w:line="360" w:lineRule="atLeast"/>
              <w:jc w:val="center"/>
              <w:rPr>
                <w:rFonts w:ascii="宋体" w:hAnsi="宋体"/>
                <w:szCs w:val="21"/>
                <w:highlight w:val="none"/>
              </w:rPr>
            </w:pPr>
            <w:r>
              <w:rPr>
                <w:rFonts w:hint="eastAsia" w:ascii="宋体" w:hAnsi="宋体"/>
                <w:szCs w:val="21"/>
                <w:highlight w:val="none"/>
              </w:rPr>
              <w:t>电子投标文件的提交</w:t>
            </w:r>
          </w:p>
        </w:tc>
        <w:tc>
          <w:tcPr>
            <w:tcW w:w="5368" w:type="dxa"/>
            <w:vAlign w:val="center"/>
          </w:tcPr>
          <w:p w14:paraId="662AAF43">
            <w:pPr>
              <w:spacing w:line="360" w:lineRule="atLeast"/>
              <w:jc w:val="left"/>
              <w:rPr>
                <w:rFonts w:ascii="宋体" w:hAnsi="宋体"/>
                <w:szCs w:val="21"/>
                <w:highlight w:val="none"/>
              </w:rPr>
            </w:pPr>
            <w:r>
              <w:rPr>
                <w:rFonts w:hint="eastAsia" w:ascii="宋体" w:hAnsi="宋体"/>
                <w:color w:val="FF0000"/>
                <w:szCs w:val="21"/>
                <w:highlight w:val="none"/>
              </w:rPr>
              <w:t>网络传输递交：投标人应在递交投标文件截止时间前将电子投标文件网络传输递交至“邵阳市公共资源交易中心全流程电子交易平台响应文件上传模块（https://ggzy.shaoyang.gov.cn/</w:t>
            </w:r>
            <w:r>
              <w:rPr>
                <w:rFonts w:hint="eastAsia" w:ascii="宋体" w:hAnsi="宋体" w:cs="宋体"/>
                <w:color w:val="FF0000"/>
                <w:szCs w:val="21"/>
                <w:highlight w:val="none"/>
              </w:rPr>
              <w:t>）</w:t>
            </w:r>
            <w:r>
              <w:rPr>
                <w:rFonts w:hint="eastAsia" w:ascii="宋体" w:hAnsi="宋体"/>
                <w:color w:val="FF0000"/>
                <w:szCs w:val="21"/>
                <w:highlight w:val="none"/>
              </w:rPr>
              <w:t>”，逾期递交上传的投标文件，系统将自动拒收,视为放弃投标。</w:t>
            </w:r>
          </w:p>
        </w:tc>
      </w:tr>
      <w:tr w14:paraId="33A18AD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8931" w:type="dxa"/>
            <w:gridSpan w:val="3"/>
            <w:vAlign w:val="center"/>
          </w:tcPr>
          <w:p w14:paraId="5181B3B9">
            <w:pPr>
              <w:adjustRightInd w:val="0"/>
              <w:snapToGrid w:val="0"/>
              <w:spacing w:line="280" w:lineRule="exact"/>
              <w:rPr>
                <w:rFonts w:asciiTheme="minorEastAsia" w:hAnsiTheme="minorEastAsia" w:eastAsiaTheme="minorEastAsia"/>
                <w:b/>
                <w:bCs/>
                <w:szCs w:val="21"/>
                <w:highlight w:val="none"/>
              </w:rPr>
            </w:pPr>
            <w:r>
              <w:rPr>
                <w:rFonts w:hint="eastAsia" w:asciiTheme="minorEastAsia" w:hAnsiTheme="minorEastAsia" w:eastAsiaTheme="minorEastAsia"/>
                <w:b/>
                <w:szCs w:val="21"/>
                <w:highlight w:val="none"/>
              </w:rPr>
              <w:t>四、投标</w:t>
            </w:r>
          </w:p>
        </w:tc>
      </w:tr>
      <w:tr w14:paraId="6EAF926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3ECEF8ED">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第21.1</w:t>
            </w:r>
            <w:r>
              <w:rPr>
                <w:rFonts w:hint="eastAsia" w:cs="宋体" w:asciiTheme="minorEastAsia" w:hAnsiTheme="minorEastAsia" w:eastAsiaTheme="minorEastAsia"/>
                <w:kern w:val="0"/>
                <w:szCs w:val="21"/>
                <w:highlight w:val="none"/>
                <w:lang w:val="zh-CN"/>
              </w:rPr>
              <w:t>款</w:t>
            </w:r>
          </w:p>
        </w:tc>
        <w:tc>
          <w:tcPr>
            <w:tcW w:w="2003" w:type="dxa"/>
            <w:vAlign w:val="center"/>
          </w:tcPr>
          <w:p w14:paraId="196F4B42">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投标截止时间及投标地点</w:t>
            </w:r>
          </w:p>
        </w:tc>
        <w:tc>
          <w:tcPr>
            <w:tcW w:w="5368" w:type="dxa"/>
            <w:vAlign w:val="center"/>
          </w:tcPr>
          <w:p w14:paraId="2A5356AD">
            <w:pPr>
              <w:adjustRightInd w:val="0"/>
              <w:snapToGrid w:val="0"/>
              <w:spacing w:line="280" w:lineRule="exact"/>
              <w:rPr>
                <w:rFonts w:asciiTheme="minorEastAsia" w:hAnsiTheme="minorEastAsia" w:eastAsiaTheme="minorEastAsia"/>
                <w:bCs/>
                <w:szCs w:val="21"/>
                <w:highlight w:val="none"/>
              </w:rPr>
            </w:pPr>
            <w:r>
              <w:rPr>
                <w:rFonts w:hint="eastAsia" w:ascii="宋体" w:hAnsi="宋体"/>
                <w:szCs w:val="21"/>
                <w:highlight w:val="none"/>
              </w:rPr>
              <w:t>详见第一章；</w:t>
            </w:r>
          </w:p>
        </w:tc>
      </w:tr>
      <w:tr w14:paraId="5020E98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8931" w:type="dxa"/>
            <w:gridSpan w:val="3"/>
            <w:vAlign w:val="center"/>
          </w:tcPr>
          <w:p w14:paraId="65562B80">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b/>
                <w:bCs/>
                <w:szCs w:val="21"/>
                <w:highlight w:val="none"/>
              </w:rPr>
              <w:t>五、开标、资格审查和评标</w:t>
            </w:r>
          </w:p>
        </w:tc>
      </w:tr>
      <w:tr w14:paraId="7696594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56355C2E">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第24.1</w:t>
            </w:r>
            <w:r>
              <w:rPr>
                <w:rFonts w:hint="eastAsia" w:cs="宋体" w:asciiTheme="minorEastAsia" w:hAnsiTheme="minorEastAsia" w:eastAsiaTheme="minorEastAsia"/>
                <w:kern w:val="0"/>
                <w:szCs w:val="21"/>
                <w:highlight w:val="none"/>
                <w:lang w:val="zh-CN"/>
              </w:rPr>
              <w:t>款</w:t>
            </w:r>
          </w:p>
        </w:tc>
        <w:tc>
          <w:tcPr>
            <w:tcW w:w="2003" w:type="dxa"/>
            <w:vAlign w:val="center"/>
          </w:tcPr>
          <w:p w14:paraId="056CAEED">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bCs/>
                <w:szCs w:val="21"/>
                <w:highlight w:val="none"/>
              </w:rPr>
              <w:t>开标地点</w:t>
            </w:r>
          </w:p>
        </w:tc>
        <w:tc>
          <w:tcPr>
            <w:tcW w:w="5368" w:type="dxa"/>
            <w:vAlign w:val="center"/>
          </w:tcPr>
          <w:p w14:paraId="2B04FFED">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邵阳市公共资源交易中心（邵阳市双清区邵阳大道邵阳市公共资源交易中心，详见当天电子显示屏）</w:t>
            </w:r>
          </w:p>
        </w:tc>
      </w:tr>
      <w:tr w14:paraId="36DF0F8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646FE84C">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第24.2</w:t>
            </w:r>
            <w:r>
              <w:rPr>
                <w:rFonts w:hint="eastAsia" w:cs="宋体" w:asciiTheme="minorEastAsia" w:hAnsiTheme="minorEastAsia" w:eastAsiaTheme="minorEastAsia"/>
                <w:kern w:val="0"/>
                <w:szCs w:val="21"/>
                <w:highlight w:val="none"/>
                <w:lang w:val="zh-CN"/>
              </w:rPr>
              <w:t>款</w:t>
            </w:r>
          </w:p>
        </w:tc>
        <w:tc>
          <w:tcPr>
            <w:tcW w:w="2003" w:type="dxa"/>
            <w:vAlign w:val="center"/>
          </w:tcPr>
          <w:p w14:paraId="69A44FD9">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需要宣布的其他内容</w:t>
            </w:r>
          </w:p>
        </w:tc>
        <w:tc>
          <w:tcPr>
            <w:tcW w:w="5368" w:type="dxa"/>
            <w:vAlign w:val="center"/>
          </w:tcPr>
          <w:p w14:paraId="3D8F2006">
            <w:pPr>
              <w:adjustRightInd w:val="0"/>
              <w:snapToGrid w:val="0"/>
              <w:spacing w:line="280" w:lineRule="exact"/>
              <w:rPr>
                <w:rFonts w:asciiTheme="minorEastAsia" w:hAnsiTheme="minorEastAsia" w:eastAsiaTheme="minorEastAsia"/>
                <w:szCs w:val="21"/>
                <w:highlight w:val="none"/>
              </w:rPr>
            </w:pPr>
            <w:r>
              <w:rPr>
                <w:rFonts w:hint="eastAsia" w:ascii="宋体" w:hAnsi="宋体" w:cs="宋体"/>
                <w:szCs w:val="21"/>
                <w:highlight w:val="none"/>
              </w:rPr>
              <w:t>见“</w:t>
            </w:r>
            <w:r>
              <w:rPr>
                <w:rFonts w:ascii="宋体" w:hAnsi="宋体" w:cs="宋体"/>
                <w:szCs w:val="21"/>
                <w:highlight w:val="none"/>
              </w:rPr>
              <w:t>开标一览表”</w:t>
            </w:r>
            <w:r>
              <w:rPr>
                <w:rFonts w:hint="eastAsia" w:ascii="宋体" w:hAnsi="宋体" w:cs="宋体"/>
                <w:szCs w:val="21"/>
                <w:highlight w:val="none"/>
              </w:rPr>
              <w:t>。</w:t>
            </w:r>
          </w:p>
        </w:tc>
      </w:tr>
      <w:tr w14:paraId="7B08E4D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8931" w:type="dxa"/>
            <w:gridSpan w:val="3"/>
            <w:vAlign w:val="center"/>
          </w:tcPr>
          <w:p w14:paraId="0A2ECE87">
            <w:pPr>
              <w:adjustRightInd w:val="0"/>
              <w:snapToGrid w:val="0"/>
              <w:spacing w:line="280" w:lineRule="exact"/>
              <w:rPr>
                <w:rFonts w:asciiTheme="minorEastAsia" w:hAnsiTheme="minorEastAsia" w:eastAsiaTheme="minorEastAsia"/>
                <w:b/>
                <w:szCs w:val="21"/>
                <w:highlight w:val="none"/>
              </w:rPr>
            </w:pPr>
            <w:r>
              <w:rPr>
                <w:rFonts w:hint="eastAsia" w:asciiTheme="minorEastAsia" w:hAnsiTheme="minorEastAsia" w:eastAsiaTheme="minorEastAsia"/>
                <w:b/>
                <w:szCs w:val="21"/>
                <w:highlight w:val="none"/>
              </w:rPr>
              <w:t>六、中标信息公布</w:t>
            </w:r>
          </w:p>
        </w:tc>
      </w:tr>
      <w:tr w14:paraId="4241162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2C4EEF22">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第28.2</w:t>
            </w:r>
            <w:r>
              <w:rPr>
                <w:rFonts w:hint="eastAsia" w:cs="宋体" w:asciiTheme="minorEastAsia" w:hAnsiTheme="minorEastAsia" w:eastAsiaTheme="minorEastAsia"/>
                <w:kern w:val="0"/>
                <w:szCs w:val="21"/>
                <w:highlight w:val="none"/>
                <w:lang w:val="zh-CN"/>
              </w:rPr>
              <w:t>款</w:t>
            </w:r>
          </w:p>
        </w:tc>
        <w:tc>
          <w:tcPr>
            <w:tcW w:w="2003" w:type="dxa"/>
            <w:vAlign w:val="center"/>
          </w:tcPr>
          <w:p w14:paraId="03A135FE">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中标候选人并列的确定中标人的方式</w:t>
            </w:r>
          </w:p>
        </w:tc>
        <w:tc>
          <w:tcPr>
            <w:tcW w:w="5368" w:type="dxa"/>
            <w:vAlign w:val="center"/>
          </w:tcPr>
          <w:p w14:paraId="3A99619D">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由评标委员会推荐前三名排序中标候选人</w:t>
            </w:r>
          </w:p>
          <w:p w14:paraId="5E03DC30">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 得分相同的，按投标报价由低到高顺序排列。得分且投标报价相同的，由评标委员会随机抽取方式确定。</w:t>
            </w:r>
          </w:p>
        </w:tc>
      </w:tr>
      <w:tr w14:paraId="635A883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8931" w:type="dxa"/>
            <w:gridSpan w:val="3"/>
            <w:vAlign w:val="center"/>
          </w:tcPr>
          <w:p w14:paraId="004BBD02">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b/>
                <w:szCs w:val="21"/>
                <w:highlight w:val="none"/>
              </w:rPr>
              <w:t>七、合同签订</w:t>
            </w:r>
          </w:p>
        </w:tc>
      </w:tr>
      <w:tr w14:paraId="0375050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855" w:hRule="atLeast"/>
        </w:trPr>
        <w:tc>
          <w:tcPr>
            <w:tcW w:w="1560" w:type="dxa"/>
            <w:vAlign w:val="center"/>
          </w:tcPr>
          <w:p w14:paraId="456B3FD6">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第31.1</w:t>
            </w:r>
            <w:r>
              <w:rPr>
                <w:rFonts w:hint="eastAsia" w:cs="宋体" w:asciiTheme="minorEastAsia" w:hAnsiTheme="minorEastAsia" w:eastAsiaTheme="minorEastAsia"/>
                <w:kern w:val="0"/>
                <w:szCs w:val="21"/>
                <w:highlight w:val="none"/>
                <w:lang w:val="zh-CN"/>
              </w:rPr>
              <w:t>款</w:t>
            </w:r>
          </w:p>
        </w:tc>
        <w:tc>
          <w:tcPr>
            <w:tcW w:w="2003" w:type="dxa"/>
            <w:vAlign w:val="center"/>
          </w:tcPr>
          <w:p w14:paraId="07BA5693">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履约担保</w:t>
            </w:r>
          </w:p>
        </w:tc>
        <w:tc>
          <w:tcPr>
            <w:tcW w:w="5368" w:type="dxa"/>
            <w:vAlign w:val="center"/>
          </w:tcPr>
          <w:p w14:paraId="1A684E47">
            <w:pPr>
              <w:adjustRightInd w:val="0"/>
              <w:snapToGrid w:val="0"/>
              <w:spacing w:line="280" w:lineRule="exact"/>
              <w:rPr>
                <w:rFonts w:hint="eastAsia" w:ascii="宋体" w:hAnsi="宋体" w:eastAsia="宋体" w:cs="宋体"/>
                <w:szCs w:val="21"/>
                <w:highlight w:val="none"/>
                <w:lang w:eastAsia="zh-CN"/>
              </w:rPr>
            </w:pPr>
            <w:r>
              <w:rPr>
                <w:rFonts w:hint="eastAsia" w:ascii="宋体" w:hAnsi="宋体" w:cs="宋体"/>
                <w:szCs w:val="21"/>
                <w:highlight w:val="none"/>
                <w:lang w:eastAsia="zh-CN"/>
              </w:rPr>
              <w:t>不</w:t>
            </w:r>
            <w:r>
              <w:rPr>
                <w:rFonts w:hint="eastAsia" w:ascii="宋体" w:hAnsi="宋体" w:cs="宋体"/>
                <w:szCs w:val="21"/>
                <w:highlight w:val="none"/>
              </w:rPr>
              <w:t>收取履约保证金</w:t>
            </w:r>
            <w:r>
              <w:rPr>
                <w:rFonts w:hint="eastAsia" w:ascii="宋体" w:hAnsi="宋体" w:cs="宋体"/>
                <w:szCs w:val="21"/>
                <w:highlight w:val="none"/>
                <w:lang w:eastAsia="zh-CN"/>
              </w:rPr>
              <w:t>。</w:t>
            </w:r>
          </w:p>
        </w:tc>
      </w:tr>
      <w:tr w14:paraId="478362F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8931" w:type="dxa"/>
            <w:gridSpan w:val="3"/>
            <w:vAlign w:val="center"/>
          </w:tcPr>
          <w:p w14:paraId="5D78AD85">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b/>
                <w:szCs w:val="21"/>
                <w:highlight w:val="none"/>
              </w:rPr>
              <w:t>九、其他规定</w:t>
            </w:r>
          </w:p>
        </w:tc>
      </w:tr>
      <w:tr w14:paraId="63B14BD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59D15A4A">
            <w:pPr>
              <w:adjustRightInd w:val="0"/>
              <w:snapToGrid w:val="0"/>
              <w:spacing w:line="280" w:lineRule="exact"/>
              <w:jc w:val="center"/>
              <w:rPr>
                <w:rFonts w:hint="eastAsia" w:asciiTheme="minorEastAsia" w:hAnsiTheme="minorEastAsia" w:eastAsiaTheme="minorEastAsia"/>
                <w:szCs w:val="21"/>
                <w:highlight w:val="none"/>
                <w:lang w:eastAsia="zh-CN"/>
              </w:rPr>
            </w:pPr>
            <w:r>
              <w:rPr>
                <w:rFonts w:hint="eastAsia" w:asciiTheme="minorEastAsia" w:hAnsiTheme="minorEastAsia" w:eastAsiaTheme="minorEastAsia"/>
                <w:szCs w:val="21"/>
                <w:highlight w:val="none"/>
              </w:rPr>
              <w:t>第33.</w:t>
            </w:r>
            <w:r>
              <w:rPr>
                <w:rFonts w:hint="eastAsia" w:asciiTheme="minorEastAsia" w:hAnsiTheme="minorEastAsia" w:eastAsiaTheme="minorEastAsia"/>
                <w:szCs w:val="21"/>
                <w:highlight w:val="none"/>
                <w:lang w:val="en-US" w:eastAsia="zh-CN"/>
              </w:rPr>
              <w:t>1</w:t>
            </w:r>
            <w:r>
              <w:rPr>
                <w:rFonts w:hint="eastAsia" w:asciiTheme="minorEastAsia" w:hAnsiTheme="minorEastAsia" w:eastAsiaTheme="minorEastAsia"/>
                <w:szCs w:val="21"/>
                <w:highlight w:val="none"/>
              </w:rPr>
              <w:t>款</w:t>
            </w:r>
            <w:r>
              <w:rPr>
                <w:rFonts w:hint="eastAsia" w:asciiTheme="minorEastAsia" w:hAnsiTheme="minorEastAsia" w:eastAsiaTheme="minorEastAsia"/>
                <w:szCs w:val="21"/>
                <w:highlight w:val="none"/>
                <w:lang w:eastAsia="zh-CN"/>
              </w:rPr>
              <w:t>（</w:t>
            </w:r>
            <w:r>
              <w:rPr>
                <w:rFonts w:hint="eastAsia" w:asciiTheme="minorEastAsia" w:hAnsiTheme="minorEastAsia" w:eastAsiaTheme="minorEastAsia"/>
                <w:szCs w:val="21"/>
                <w:highlight w:val="none"/>
                <w:lang w:val="en-US" w:eastAsia="zh-CN"/>
              </w:rPr>
              <w:t>2</w:t>
            </w:r>
            <w:r>
              <w:rPr>
                <w:rFonts w:hint="eastAsia" w:asciiTheme="minorEastAsia" w:hAnsiTheme="minorEastAsia" w:eastAsiaTheme="minorEastAsia"/>
                <w:szCs w:val="21"/>
                <w:highlight w:val="none"/>
                <w:lang w:eastAsia="zh-CN"/>
              </w:rPr>
              <w:t>）</w:t>
            </w:r>
          </w:p>
        </w:tc>
        <w:tc>
          <w:tcPr>
            <w:tcW w:w="2003" w:type="dxa"/>
            <w:vAlign w:val="center"/>
          </w:tcPr>
          <w:p w14:paraId="48BD3F2F">
            <w:pPr>
              <w:adjustRightInd w:val="0"/>
              <w:snapToGrid w:val="0"/>
              <w:spacing w:line="280" w:lineRule="exact"/>
              <w:jc w:val="left"/>
              <w:rPr>
                <w:rFonts w:hint="eastAsia" w:asciiTheme="minorEastAsia" w:hAnsiTheme="minorEastAsia" w:eastAsiaTheme="minorEastAsia"/>
                <w:szCs w:val="21"/>
                <w:highlight w:val="none"/>
              </w:rPr>
            </w:pPr>
            <w:r>
              <w:rPr>
                <w:rFonts w:hint="eastAsia" w:asciiTheme="minorEastAsia" w:hAnsiTheme="minorEastAsia" w:eastAsiaTheme="minorEastAsia"/>
                <w:szCs w:val="21"/>
                <w:highlight w:val="none"/>
              </w:rPr>
              <w:t>本国产品</w:t>
            </w:r>
          </w:p>
        </w:tc>
        <w:tc>
          <w:tcPr>
            <w:tcW w:w="5368" w:type="dxa"/>
            <w:vAlign w:val="center"/>
          </w:tcPr>
          <w:p w14:paraId="31DE9188">
            <w:pPr>
              <w:adjustRightInd w:val="0"/>
              <w:snapToGrid w:val="0"/>
              <w:spacing w:line="280" w:lineRule="exact"/>
              <w:rPr>
                <w:rFonts w:hint="eastAsia" w:ascii="宋体" w:hAnsi="宋体"/>
                <w:szCs w:val="21"/>
                <w:highlight w:val="none"/>
              </w:rPr>
            </w:pPr>
            <w:r>
              <w:rPr>
                <w:rFonts w:hint="eastAsia" w:ascii="宋体" w:hAnsi="宋体"/>
                <w:szCs w:val="21"/>
                <w:highlight w:val="none"/>
              </w:rPr>
              <w:t>根据《国务院办公厅关于在政府采购中实施本国产品标准及相关政策的通知》（国办发〔2025〕34号）规定，政府采购活动中既有本国产品又有非本国产品参与竞争的，依法对本国产品给予价格评审优惠，对本国产品的报价给予20%的价格扣除，用扣除后的价格参与评审。供应商为本采购项目本采购包提供的符合本国产品标准的产品成本之和占该供应商提供的全部产品成本之和的比例达到80%以上，并提供《关于符合本国产品标准的声明函》，依法对该供应商提供的全部产品给予20%的价格扣除，用扣除后的价格参与评审。</w:t>
            </w:r>
          </w:p>
        </w:tc>
      </w:tr>
      <w:tr w14:paraId="3F4965E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32A8491D">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第33.2款</w:t>
            </w:r>
          </w:p>
        </w:tc>
        <w:tc>
          <w:tcPr>
            <w:tcW w:w="2003" w:type="dxa"/>
            <w:vAlign w:val="center"/>
          </w:tcPr>
          <w:p w14:paraId="611FF1D5">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政府采购强制采购节能产品</w:t>
            </w:r>
          </w:p>
        </w:tc>
        <w:tc>
          <w:tcPr>
            <w:tcW w:w="5368" w:type="dxa"/>
            <w:vAlign w:val="center"/>
          </w:tcPr>
          <w:p w14:paraId="3FE26BE2">
            <w:pPr>
              <w:adjustRightInd w:val="0"/>
              <w:snapToGrid w:val="0"/>
              <w:spacing w:line="280" w:lineRule="exact"/>
              <w:rPr>
                <w:rFonts w:asciiTheme="minorEastAsia" w:hAnsiTheme="minorEastAsia" w:eastAsiaTheme="minorEastAsia"/>
                <w:szCs w:val="21"/>
                <w:highlight w:val="none"/>
              </w:rPr>
            </w:pPr>
            <w:bookmarkStart w:id="15" w:name="OLE_LINK3"/>
            <w:r>
              <w:rPr>
                <w:rFonts w:hint="eastAsia" w:ascii="宋体" w:hAnsi="宋体"/>
                <w:szCs w:val="21"/>
                <w:highlight w:val="none"/>
              </w:rPr>
              <w:t>货物采购清单中要求“强制采购节能产品”的，为《节能产品政府采购品目清单》内标记★符号的强制采购节能产品的品目，供应商须提供所投产品有效期内的节能产品认证证书，否则其投标无效。</w:t>
            </w:r>
            <w:bookmarkEnd w:id="15"/>
          </w:p>
        </w:tc>
      </w:tr>
      <w:tr w14:paraId="25D875C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313" w:hRule="atLeast"/>
        </w:trPr>
        <w:tc>
          <w:tcPr>
            <w:tcW w:w="1560" w:type="dxa"/>
            <w:vAlign w:val="center"/>
          </w:tcPr>
          <w:p w14:paraId="65D43625">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第33.3款</w:t>
            </w:r>
          </w:p>
        </w:tc>
        <w:tc>
          <w:tcPr>
            <w:tcW w:w="2003" w:type="dxa"/>
            <w:vAlign w:val="center"/>
          </w:tcPr>
          <w:p w14:paraId="53FD89DD">
            <w:pPr>
              <w:adjustRightInd w:val="0"/>
              <w:snapToGrid w:val="0"/>
              <w:spacing w:before="50"/>
              <w:rPr>
                <w:rFonts w:ascii="宋体" w:hAnsi="宋体"/>
                <w:szCs w:val="21"/>
                <w:highlight w:val="none"/>
              </w:rPr>
            </w:pPr>
            <w:r>
              <w:rPr>
                <w:rFonts w:hint="eastAsia" w:asciiTheme="minorEastAsia" w:hAnsiTheme="minorEastAsia" w:eastAsiaTheme="minorEastAsia"/>
                <w:highlight w:val="none"/>
              </w:rPr>
              <w:t>促进中小企业发展</w:t>
            </w:r>
          </w:p>
        </w:tc>
        <w:tc>
          <w:tcPr>
            <w:tcW w:w="5368" w:type="dxa"/>
            <w:vAlign w:val="center"/>
          </w:tcPr>
          <w:p w14:paraId="34B09988">
            <w:pPr>
              <w:adjustRightInd w:val="0"/>
              <w:snapToGrid w:val="0"/>
              <w:spacing w:before="50"/>
              <w:rPr>
                <w:highlight w:val="none"/>
              </w:rPr>
            </w:pPr>
            <w:r>
              <w:rPr>
                <w:rFonts w:hint="eastAsia"/>
                <w:highlight w:val="none"/>
              </w:rPr>
              <w:t>扶持政策：</w:t>
            </w:r>
          </w:p>
          <w:p w14:paraId="10A4A6FE">
            <w:pPr>
              <w:pStyle w:val="69"/>
              <w:ind w:firstLine="0" w:firstLineChars="0"/>
              <w:rPr>
                <w:highlight w:val="none"/>
              </w:rPr>
            </w:pPr>
            <w:r>
              <w:rPr>
                <w:rFonts w:hint="eastAsia"/>
                <w:highlight w:val="none"/>
              </w:rPr>
              <w:t>本项目未预留份额专门面向中小企业采购，给与小微企业10%的价格折扣。（在货物采购项目中，供应商提供的货物既有中小企业制造货物，也有大型企业制造货物的，不享受本办法规定的中小企业扶持政策）</w:t>
            </w:r>
          </w:p>
        </w:tc>
      </w:tr>
      <w:tr w14:paraId="2C9497F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16" w:hRule="atLeast"/>
        </w:trPr>
        <w:tc>
          <w:tcPr>
            <w:tcW w:w="1560" w:type="dxa"/>
            <w:vAlign w:val="center"/>
          </w:tcPr>
          <w:p w14:paraId="4406CBA9">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第35.1</w:t>
            </w:r>
            <w:r>
              <w:rPr>
                <w:rFonts w:hint="eastAsia" w:cs="宋体" w:asciiTheme="minorEastAsia" w:hAnsiTheme="minorEastAsia" w:eastAsiaTheme="minorEastAsia"/>
                <w:kern w:val="0"/>
                <w:szCs w:val="21"/>
                <w:highlight w:val="none"/>
                <w:lang w:val="zh-CN"/>
              </w:rPr>
              <w:t>款</w:t>
            </w:r>
          </w:p>
        </w:tc>
        <w:tc>
          <w:tcPr>
            <w:tcW w:w="2003" w:type="dxa"/>
            <w:vAlign w:val="center"/>
          </w:tcPr>
          <w:p w14:paraId="6FFBAE2A">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招标代理服务费</w:t>
            </w:r>
          </w:p>
        </w:tc>
        <w:tc>
          <w:tcPr>
            <w:tcW w:w="5368" w:type="dxa"/>
            <w:vAlign w:val="center"/>
          </w:tcPr>
          <w:p w14:paraId="6B77FE41">
            <w:pPr>
              <w:adjustRightInd w:val="0"/>
              <w:snapToGrid w:val="0"/>
              <w:spacing w:line="28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本项目委托集中采购机构代理采购，不收取代理服务费。</w:t>
            </w:r>
          </w:p>
        </w:tc>
      </w:tr>
      <w:tr w14:paraId="39C37EE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7715E10D">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第36.1</w:t>
            </w:r>
            <w:r>
              <w:rPr>
                <w:rFonts w:hint="eastAsia" w:cs="宋体" w:asciiTheme="minorEastAsia" w:hAnsiTheme="minorEastAsia" w:eastAsiaTheme="minorEastAsia"/>
                <w:kern w:val="0"/>
                <w:szCs w:val="21"/>
                <w:highlight w:val="none"/>
                <w:lang w:val="zh-CN"/>
              </w:rPr>
              <w:t>款</w:t>
            </w:r>
          </w:p>
        </w:tc>
        <w:tc>
          <w:tcPr>
            <w:tcW w:w="2003" w:type="dxa"/>
            <w:vAlign w:val="center"/>
          </w:tcPr>
          <w:p w14:paraId="2C2DF3AA">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其他规定</w:t>
            </w:r>
          </w:p>
        </w:tc>
        <w:tc>
          <w:tcPr>
            <w:tcW w:w="5368" w:type="dxa"/>
            <w:vAlign w:val="center"/>
          </w:tcPr>
          <w:p w14:paraId="36EBF1E1">
            <w:pPr>
              <w:adjustRightInd w:val="0"/>
              <w:snapToGrid w:val="0"/>
              <w:spacing w:line="360" w:lineRule="auto"/>
              <w:rPr>
                <w:highlight w:val="none"/>
              </w:rPr>
            </w:pPr>
            <w:r>
              <w:rPr>
                <w:rFonts w:hint="eastAsia"/>
                <w:highlight w:val="none"/>
              </w:rPr>
              <w:t>1、核心产品：</w:t>
            </w:r>
            <w:r>
              <w:rPr>
                <w:rFonts w:hint="eastAsia"/>
                <w:highlight w:val="none"/>
                <w:lang w:val="en-US" w:eastAsia="zh-CN"/>
              </w:rPr>
              <w:t>智慧黑板</w:t>
            </w:r>
            <w:r>
              <w:rPr>
                <w:rFonts w:hint="eastAsia"/>
                <w:highlight w:val="none"/>
              </w:rPr>
              <w:t>。</w:t>
            </w:r>
          </w:p>
          <w:p w14:paraId="23BF8D4D">
            <w:pPr>
              <w:adjustRightInd w:val="0"/>
              <w:snapToGrid w:val="0"/>
              <w:spacing w:line="360" w:lineRule="auto"/>
              <w:rPr>
                <w:highlight w:val="none"/>
              </w:rPr>
            </w:pPr>
            <w:r>
              <w:rPr>
                <w:rFonts w:hint="eastAsia"/>
                <w:highlight w:val="none"/>
              </w:rPr>
              <w:t>2、本项目为全流程电子交易，澄清、修改或者终止等所有公告信息书面通知方式为公告通知，因此请获取招标文件的潜在投标人及时关注招标公告指定媒体（《湖南省政府采购网》（http://www.ccgp-hunan.gov.cn））和邵阳市公共资源交易平台发布的相关公告信息。</w:t>
            </w:r>
          </w:p>
          <w:p w14:paraId="7BDA5336">
            <w:pPr>
              <w:pStyle w:val="19"/>
              <w:spacing w:line="360" w:lineRule="auto"/>
              <w:ind w:left="0" w:leftChars="0" w:firstLine="0" w:firstLineChars="0"/>
              <w:rPr>
                <w:highlight w:val="none"/>
              </w:rPr>
            </w:pPr>
            <w:r>
              <w:rPr>
                <w:rFonts w:hint="eastAsia"/>
                <w:highlight w:val="none"/>
              </w:rPr>
              <w:t>3、对列入失信被执行人、重大税收违法案件当事人名单、政府采购严重违法失信行为记录名单的供应商，应当拒绝其参与政府采购活动。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5DCC9670">
            <w:pPr>
              <w:adjustRightInd w:val="0"/>
              <w:snapToGrid w:val="0"/>
              <w:spacing w:line="360" w:lineRule="auto"/>
              <w:rPr>
                <w:highlight w:val="none"/>
              </w:rPr>
            </w:pPr>
            <w:r>
              <w:rPr>
                <w:rFonts w:hint="eastAsia"/>
                <w:highlight w:val="none"/>
              </w:rPr>
              <w:t>投标供应商可在响应文件中资格证明文件中提交信用信息查询结果，并盖单位公章，最终结果以开标当日采购人和代理机构查询甄别结果为准。</w:t>
            </w:r>
          </w:p>
          <w:p w14:paraId="7E5E41F9">
            <w:pPr>
              <w:adjustRightInd w:val="0"/>
              <w:snapToGrid w:val="0"/>
              <w:spacing w:line="360" w:lineRule="auto"/>
              <w:rPr>
                <w:rFonts w:ascii="宋体" w:hAnsi="宋体" w:cs="宋体"/>
                <w:szCs w:val="21"/>
                <w:highlight w:val="none"/>
              </w:rPr>
            </w:pPr>
            <w:r>
              <w:rPr>
                <w:rFonts w:hint="eastAsia" w:ascii="宋体" w:hAnsi="宋体" w:cs="宋体"/>
                <w:szCs w:val="21"/>
                <w:highlight w:val="none"/>
              </w:rPr>
              <w:t>（1）信用信息查询的查询渠道：“信用中国”网站（www.creditchina.gov.cn）、中国政府采购网（www.ccgp.gov.cn）。</w:t>
            </w:r>
          </w:p>
          <w:p w14:paraId="1FA1B19D">
            <w:pPr>
              <w:adjustRightInd w:val="0"/>
              <w:snapToGrid w:val="0"/>
              <w:spacing w:line="360" w:lineRule="auto"/>
              <w:rPr>
                <w:rFonts w:ascii="宋体" w:hAnsi="宋体" w:cs="宋体"/>
                <w:szCs w:val="21"/>
                <w:highlight w:val="none"/>
              </w:rPr>
            </w:pPr>
            <w:r>
              <w:rPr>
                <w:rFonts w:hint="eastAsia" w:ascii="宋体" w:hAnsi="宋体" w:cs="宋体"/>
                <w:szCs w:val="21"/>
                <w:highlight w:val="none"/>
              </w:rPr>
              <w:t>（2）信用信息查询的截止时点：至本项目采购文件发出之日止（可往后延，不得提前）。</w:t>
            </w:r>
          </w:p>
          <w:p w14:paraId="1BE25AF5">
            <w:pPr>
              <w:adjustRightInd w:val="0"/>
              <w:snapToGrid w:val="0"/>
              <w:spacing w:line="360" w:lineRule="auto"/>
              <w:rPr>
                <w:rFonts w:asciiTheme="minorEastAsia" w:hAnsiTheme="minorEastAsia" w:eastAsiaTheme="minorEastAsia"/>
                <w:szCs w:val="21"/>
                <w:highlight w:val="none"/>
              </w:rPr>
            </w:pPr>
            <w:r>
              <w:rPr>
                <w:rFonts w:hint="eastAsia" w:ascii="宋体" w:hAnsi="宋体" w:cs="宋体"/>
                <w:szCs w:val="21"/>
                <w:highlight w:val="none"/>
              </w:rPr>
              <w:t>（3）信用信息查询记录证据留存的具体方式：查询记录的网上打印件或截屏。</w:t>
            </w:r>
          </w:p>
        </w:tc>
      </w:tr>
      <w:tr w14:paraId="416D36A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1560" w:type="dxa"/>
            <w:vAlign w:val="center"/>
          </w:tcPr>
          <w:p w14:paraId="693DD27C">
            <w:pPr>
              <w:adjustRightInd w:val="0"/>
              <w:snapToGrid w:val="0"/>
              <w:spacing w:line="280" w:lineRule="exact"/>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第36</w:t>
            </w:r>
            <w:r>
              <w:rPr>
                <w:rFonts w:hint="eastAsia" w:cs="宋体" w:asciiTheme="minorEastAsia" w:hAnsiTheme="minorEastAsia" w:eastAsiaTheme="minorEastAsia"/>
                <w:kern w:val="0"/>
                <w:szCs w:val="21"/>
                <w:highlight w:val="none"/>
                <w:lang w:val="zh-CN"/>
              </w:rPr>
              <w:t>款</w:t>
            </w:r>
          </w:p>
        </w:tc>
        <w:tc>
          <w:tcPr>
            <w:tcW w:w="2003" w:type="dxa"/>
            <w:vAlign w:val="center"/>
          </w:tcPr>
          <w:p w14:paraId="0C50A2D2">
            <w:pPr>
              <w:adjustRightInd w:val="0"/>
              <w:snapToGrid w:val="0"/>
              <w:spacing w:line="280" w:lineRule="exact"/>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全流程电子化交易说明</w:t>
            </w:r>
          </w:p>
        </w:tc>
        <w:tc>
          <w:tcPr>
            <w:tcW w:w="5368" w:type="dxa"/>
            <w:vAlign w:val="center"/>
          </w:tcPr>
          <w:p w14:paraId="3C12D969">
            <w:pPr>
              <w:spacing w:line="360" w:lineRule="auto"/>
              <w:rPr>
                <w:highlight w:val="none"/>
              </w:rPr>
            </w:pPr>
            <w:r>
              <w:rPr>
                <w:highlight w:val="none"/>
              </w:rPr>
              <w:t>1、</w:t>
            </w:r>
            <w:r>
              <w:rPr>
                <w:color w:val="FF0000"/>
                <w:highlight w:val="none"/>
              </w:rPr>
              <w:t>本项目采用</w:t>
            </w:r>
            <w:r>
              <w:rPr>
                <w:rFonts w:hint="eastAsia"/>
                <w:color w:val="FF0000"/>
                <w:highlight w:val="none"/>
              </w:rPr>
              <w:t>电子交易</w:t>
            </w:r>
            <w:r>
              <w:rPr>
                <w:color w:val="FF0000"/>
                <w:highlight w:val="none"/>
              </w:rPr>
              <w:t>，远程开标项目的时间以国家授时中心发布的时间为准。开标当日，请投标人</w:t>
            </w:r>
            <w:r>
              <w:rPr>
                <w:rFonts w:hint="eastAsia"/>
                <w:color w:val="FF0000"/>
                <w:highlight w:val="none"/>
              </w:rPr>
              <w:t>可</w:t>
            </w:r>
            <w:r>
              <w:rPr>
                <w:color w:val="FF0000"/>
                <w:highlight w:val="none"/>
              </w:rPr>
              <w:t>自带电脑</w:t>
            </w:r>
            <w:r>
              <w:rPr>
                <w:rFonts w:hint="eastAsia"/>
                <w:color w:val="FF0000"/>
                <w:highlight w:val="none"/>
              </w:rPr>
              <w:t>和数字证书等相关工具</w:t>
            </w:r>
            <w:r>
              <w:rPr>
                <w:color w:val="FF0000"/>
                <w:highlight w:val="none"/>
              </w:rPr>
              <w:t>至中心开标室</w:t>
            </w:r>
            <w:r>
              <w:rPr>
                <w:rFonts w:hint="eastAsia"/>
                <w:color w:val="FF0000"/>
                <w:highlight w:val="none"/>
              </w:rPr>
              <w:t>进行文件解密，也可自行选择地方进行文件解密</w:t>
            </w:r>
            <w:r>
              <w:rPr>
                <w:color w:val="FF0000"/>
                <w:highlight w:val="none"/>
              </w:rPr>
              <w:t>）。</w:t>
            </w:r>
            <w:r>
              <w:rPr>
                <w:highlight w:val="none"/>
              </w:rPr>
              <w:t>开评标全过程中，各投标人参与远程交互的授权委托人或法人代表应始终为同一个人，中途不得更换，在废标、澄清、提疑、传送文件等特殊情况下需要交互时，投标人一端参与交互的人员将均被视为是投标人的授权委托人或法人代表，投标人不得以不承认交互人员的资格或身份等为借口抵赖推脱，投标人自行承担随意更换人员所导致的一切后果。</w:t>
            </w:r>
            <w:r>
              <w:rPr>
                <w:rFonts w:hint="eastAsia"/>
                <w:color w:val="FF0000"/>
                <w:highlight w:val="none"/>
              </w:rPr>
              <w:t>响应文件提交和解密所用数字证书（CA）应为同一数字证书（CA），否则可能导致操作失败</w:t>
            </w:r>
            <w:r>
              <w:rPr>
                <w:highlight w:val="none"/>
              </w:rPr>
              <w:t>。</w:t>
            </w:r>
          </w:p>
          <w:p w14:paraId="5A99E1AF">
            <w:pPr>
              <w:spacing w:line="360" w:lineRule="auto"/>
              <w:rPr>
                <w:highlight w:val="none"/>
              </w:rPr>
            </w:pPr>
            <w:r>
              <w:rPr>
                <w:highlight w:val="none"/>
              </w:rPr>
              <w:t>2、本项目报名、下载、上传均通过互联网操作，请投标人充分考虑网络拥堵及平台操作所需时间等因素。</w:t>
            </w:r>
          </w:p>
          <w:p w14:paraId="2535DC6C">
            <w:pPr>
              <w:spacing w:line="360" w:lineRule="auto"/>
              <w:rPr>
                <w:highlight w:val="none"/>
              </w:rPr>
            </w:pPr>
            <w:r>
              <w:rPr>
                <w:highlight w:val="none"/>
              </w:rPr>
              <w:t>3、参与网上开标的投标人</w:t>
            </w:r>
            <w:r>
              <w:rPr>
                <w:rFonts w:hint="eastAsia"/>
                <w:highlight w:val="none"/>
              </w:rPr>
              <w:t>，</w:t>
            </w:r>
            <w:r>
              <w:rPr>
                <w:highlight w:val="none"/>
              </w:rPr>
              <w:t>请在</w:t>
            </w:r>
            <w:r>
              <w:rPr>
                <w:rFonts w:hint="eastAsia"/>
                <w:highlight w:val="none"/>
              </w:rPr>
              <w:t>“邵阳市公共资源交易中心主页的下载中心模块”</w:t>
            </w:r>
            <w:r>
              <w:rPr>
                <w:highlight w:val="none"/>
              </w:rPr>
              <w:t>下载操作手册</w:t>
            </w:r>
            <w:r>
              <w:rPr>
                <w:rFonts w:hint="eastAsia"/>
                <w:highlight w:val="none"/>
              </w:rPr>
              <w:t>（</w:t>
            </w:r>
            <w:r>
              <w:rPr>
                <w:highlight w:val="none"/>
              </w:rPr>
              <w:t>投标人</w:t>
            </w:r>
            <w:r>
              <w:rPr>
                <w:rFonts w:hint="eastAsia"/>
                <w:highlight w:val="none"/>
              </w:rPr>
              <w:t>）</w:t>
            </w:r>
            <w:r>
              <w:rPr>
                <w:highlight w:val="none"/>
              </w:rPr>
              <w:t>，投标人应仔细阅读。开标、投标文件解密均在“网上开标系统”进行。投标人使用网上开标系统遇到问题时，请及时向软件公司咨询</w:t>
            </w:r>
            <w:r>
              <w:rPr>
                <w:rFonts w:hint="eastAsia"/>
                <w:highlight w:val="none"/>
              </w:rPr>
              <w:t xml:space="preserve">。 </w:t>
            </w:r>
          </w:p>
          <w:p w14:paraId="4AC6A3CA">
            <w:pPr>
              <w:adjustRightInd w:val="0"/>
              <w:snapToGrid w:val="0"/>
              <w:spacing w:line="360" w:lineRule="auto"/>
              <w:rPr>
                <w:highlight w:val="none"/>
              </w:rPr>
            </w:pPr>
            <w:r>
              <w:rPr>
                <w:rFonts w:hint="eastAsia"/>
                <w:highlight w:val="none"/>
              </w:rPr>
              <w:t>4</w:t>
            </w:r>
            <w:r>
              <w:rPr>
                <w:highlight w:val="none"/>
              </w:rPr>
              <w:t>、投标文件递交截止时间前，招标人提前进入网上开标系统，播放测试音频，各投标人的授权委托人或法人代表提前进入网上开标系统，根据操作手册（进入相应项目的开标会议区）收听观看实时音视频交互效果并及时在讨论组中反馈，未按时加入开标会议区并完成</w:t>
            </w:r>
            <w:r>
              <w:rPr>
                <w:rFonts w:hint="eastAsia"/>
                <w:highlight w:val="none"/>
              </w:rPr>
              <w:t>CA或账号密码</w:t>
            </w:r>
            <w:r>
              <w:rPr>
                <w:highlight w:val="none"/>
              </w:rPr>
              <w:t>登录操作的或未能在开标会议区内全程参与交互的，视为放弃交互和放弃对开评标全过程提疑的权利，投标人将无法看到解密指令、</w:t>
            </w:r>
            <w:r>
              <w:rPr>
                <w:rFonts w:hint="eastAsia"/>
                <w:highlight w:val="none"/>
              </w:rPr>
              <w:t>开标</w:t>
            </w:r>
            <w:r>
              <w:rPr>
                <w:highlight w:val="none"/>
              </w:rPr>
              <w:t>、唱标等实时情况，并承担由此导致的一切后果。</w:t>
            </w:r>
          </w:p>
        </w:tc>
      </w:tr>
    </w:tbl>
    <w:p w14:paraId="7029E662">
      <w:pPr>
        <w:adjustRightInd w:val="0"/>
        <w:snapToGrid w:val="0"/>
        <w:spacing w:line="360" w:lineRule="auto"/>
        <w:ind w:firstLine="422" w:firstLineChars="200"/>
        <w:jc w:val="center"/>
        <w:rPr>
          <w:rFonts w:ascii="宋体" w:hAnsi="宋体" w:cs="宋体"/>
          <w:b/>
          <w:sz w:val="32"/>
          <w:szCs w:val="32"/>
          <w:highlight w:val="none"/>
        </w:rPr>
      </w:pPr>
      <w:r>
        <w:rPr>
          <w:rFonts w:ascii="宋体" w:hAnsi="宋体"/>
          <w:b/>
          <w:szCs w:val="21"/>
          <w:highlight w:val="none"/>
        </w:rPr>
        <w:br w:type="page"/>
      </w:r>
      <w:r>
        <w:rPr>
          <w:rFonts w:hint="eastAsia" w:ascii="宋体" w:hAnsi="宋体" w:cs="宋体"/>
          <w:b/>
          <w:sz w:val="32"/>
          <w:szCs w:val="32"/>
          <w:highlight w:val="none"/>
        </w:rPr>
        <w:t>邵阳市政府采购合同融资政策告知函</w:t>
      </w:r>
    </w:p>
    <w:p w14:paraId="5FFA5F65">
      <w:pPr>
        <w:rPr>
          <w:rFonts w:ascii="方正仿宋_GBK" w:hAnsi="方正仿宋_GBK" w:eastAsia="方正仿宋_GBK" w:cs="方正仿宋_GBK"/>
          <w:b/>
          <w:bCs/>
          <w:sz w:val="28"/>
          <w:szCs w:val="28"/>
          <w:highlight w:val="none"/>
        </w:rPr>
      </w:pPr>
    </w:p>
    <w:p w14:paraId="6D669F57">
      <w:pPr>
        <w:adjustRightInd w:val="0"/>
        <w:snapToGrid w:val="0"/>
        <w:spacing w:line="360" w:lineRule="auto"/>
        <w:ind w:firstLine="420" w:firstLineChars="200"/>
        <w:rPr>
          <w:rFonts w:ascii="宋体" w:hAnsi="宋体" w:cs="宋体"/>
          <w:szCs w:val="21"/>
          <w:highlight w:val="none"/>
        </w:rPr>
      </w:pPr>
      <w:r>
        <w:rPr>
          <w:rFonts w:hint="eastAsia" w:ascii="宋体" w:hAnsi="宋体" w:cs="宋体"/>
          <w:szCs w:val="21"/>
          <w:highlight w:val="none"/>
        </w:rPr>
        <w:t>各供应商:</w:t>
      </w:r>
    </w:p>
    <w:p w14:paraId="4F07DBF5">
      <w:pPr>
        <w:adjustRightInd w:val="0"/>
        <w:snapToGrid w:val="0"/>
        <w:spacing w:line="360" w:lineRule="auto"/>
        <w:ind w:firstLine="420" w:firstLineChars="200"/>
        <w:rPr>
          <w:rFonts w:ascii="宋体" w:hAnsi="宋体" w:cs="宋体"/>
          <w:szCs w:val="21"/>
          <w:highlight w:val="none"/>
        </w:rPr>
      </w:pPr>
      <w:r>
        <w:rPr>
          <w:rFonts w:hint="eastAsia" w:ascii="宋体" w:hAnsi="宋体" w:cs="宋体"/>
          <w:szCs w:val="21"/>
          <w:highlight w:val="none"/>
        </w:rPr>
        <w:t>欢迎贵公司参与邵阳市政府采购活动!</w:t>
      </w:r>
    </w:p>
    <w:p w14:paraId="5E4D7EF0">
      <w:pPr>
        <w:adjustRightInd w:val="0"/>
        <w:snapToGrid w:val="0"/>
        <w:spacing w:line="360" w:lineRule="auto"/>
        <w:ind w:firstLine="420" w:firstLineChars="200"/>
        <w:rPr>
          <w:rFonts w:ascii="宋体" w:hAnsi="宋体" w:cs="宋体"/>
          <w:szCs w:val="21"/>
          <w:highlight w:val="none"/>
        </w:rPr>
      </w:pPr>
      <w:r>
        <w:rPr>
          <w:rFonts w:hint="eastAsia" w:ascii="宋体" w:hAnsi="宋体" w:cs="宋体"/>
          <w:szCs w:val="21"/>
          <w:highlight w:val="none"/>
        </w:rPr>
        <w:t>政府采购合同融资是邵阳市财政局支持中小微企业发展，针对参与政府采购活动的供应商融资难、融资贵问题推出的一项融资政策。贵公司若成为本次政府采购项目的中标成交供应商，可持政府采购合同向金融机构申请贷款，无需抵押、担保，融资机构将根据《邵阳市财政局关于支持中小企业发展加快推进政府采购合同融资工作的通知》(邵财购〔2022〕13 号)，按照双方自愿的原则提供便捷、优惠的贷款服务。</w:t>
      </w:r>
    </w:p>
    <w:p w14:paraId="1BF1ADD6">
      <w:pPr>
        <w:adjustRightInd w:val="0"/>
        <w:snapToGrid w:val="0"/>
        <w:spacing w:line="360" w:lineRule="auto"/>
        <w:ind w:firstLine="420" w:firstLineChars="200"/>
        <w:jc w:val="left"/>
        <w:rPr>
          <w:rFonts w:ascii="宋体" w:hAnsi="宋体" w:cs="宋体"/>
          <w:szCs w:val="21"/>
          <w:highlight w:val="none"/>
        </w:rPr>
      </w:pPr>
      <w:r>
        <w:rPr>
          <w:rFonts w:hint="eastAsia" w:ascii="宋体" w:hAnsi="宋体" w:cs="宋体"/>
          <w:szCs w:val="21"/>
          <w:highlight w:val="none"/>
        </w:rPr>
        <w:t>贷款渠道和提供贷款的金融机构，可在邵阳市政府采购网“政府采购合同融资平台”查询联系。</w:t>
      </w:r>
    </w:p>
    <w:p w14:paraId="14A15877">
      <w:pPr>
        <w:adjustRightInd w:val="0"/>
        <w:snapToGrid w:val="0"/>
        <w:spacing w:before="120" w:beforeLines="50" w:line="360" w:lineRule="auto"/>
        <w:ind w:firstLine="562" w:firstLineChars="200"/>
        <w:jc w:val="left"/>
        <w:rPr>
          <w:rFonts w:ascii="黑体" w:hAnsi="华文中宋" w:eastAsia="黑体"/>
          <w:b/>
          <w:sz w:val="28"/>
          <w:szCs w:val="28"/>
          <w:highlight w:val="none"/>
        </w:rPr>
      </w:pPr>
    </w:p>
    <w:p w14:paraId="5DCE7D40">
      <w:pPr>
        <w:adjustRightInd w:val="0"/>
        <w:snapToGrid w:val="0"/>
        <w:spacing w:line="360" w:lineRule="auto"/>
        <w:rPr>
          <w:rFonts w:ascii="宋体" w:hAnsi="宋体"/>
          <w:b/>
          <w:szCs w:val="21"/>
          <w:highlight w:val="none"/>
        </w:rPr>
      </w:pPr>
    </w:p>
    <w:p w14:paraId="43EDEA0F">
      <w:pPr>
        <w:pStyle w:val="68"/>
        <w:rPr>
          <w:rFonts w:ascii="宋体" w:hAnsi="宋体"/>
          <w:b/>
          <w:szCs w:val="21"/>
          <w:highlight w:val="none"/>
        </w:rPr>
      </w:pPr>
    </w:p>
    <w:p w14:paraId="5B273FF1">
      <w:pPr>
        <w:pStyle w:val="68"/>
        <w:rPr>
          <w:rFonts w:ascii="宋体" w:hAnsi="宋体"/>
          <w:b/>
          <w:szCs w:val="21"/>
          <w:highlight w:val="none"/>
        </w:rPr>
      </w:pPr>
    </w:p>
    <w:p w14:paraId="669003AE">
      <w:pPr>
        <w:pStyle w:val="68"/>
        <w:rPr>
          <w:rFonts w:ascii="宋体" w:hAnsi="宋体"/>
          <w:b/>
          <w:szCs w:val="21"/>
          <w:highlight w:val="none"/>
        </w:rPr>
      </w:pPr>
    </w:p>
    <w:p w14:paraId="0FDDD684">
      <w:pPr>
        <w:pStyle w:val="68"/>
        <w:rPr>
          <w:rFonts w:ascii="宋体" w:hAnsi="宋体"/>
          <w:b/>
          <w:szCs w:val="21"/>
          <w:highlight w:val="none"/>
        </w:rPr>
      </w:pPr>
    </w:p>
    <w:p w14:paraId="7DCFF929">
      <w:pPr>
        <w:pStyle w:val="68"/>
        <w:rPr>
          <w:rFonts w:ascii="宋体" w:hAnsi="宋体"/>
          <w:b/>
          <w:szCs w:val="21"/>
          <w:highlight w:val="none"/>
        </w:rPr>
      </w:pPr>
    </w:p>
    <w:p w14:paraId="27047D10">
      <w:pPr>
        <w:pStyle w:val="68"/>
        <w:rPr>
          <w:rFonts w:ascii="宋体" w:hAnsi="宋体"/>
          <w:b/>
          <w:szCs w:val="21"/>
          <w:highlight w:val="none"/>
        </w:rPr>
      </w:pPr>
    </w:p>
    <w:p w14:paraId="6F587841">
      <w:pPr>
        <w:pStyle w:val="68"/>
        <w:rPr>
          <w:rFonts w:ascii="宋体" w:hAnsi="宋体"/>
          <w:b/>
          <w:szCs w:val="21"/>
          <w:highlight w:val="none"/>
        </w:rPr>
      </w:pPr>
    </w:p>
    <w:p w14:paraId="64F70D58">
      <w:pPr>
        <w:pStyle w:val="68"/>
        <w:rPr>
          <w:rFonts w:ascii="宋体" w:hAnsi="宋体"/>
          <w:b/>
          <w:szCs w:val="21"/>
          <w:highlight w:val="none"/>
        </w:rPr>
      </w:pPr>
    </w:p>
    <w:p w14:paraId="550ECF16">
      <w:pPr>
        <w:pStyle w:val="68"/>
        <w:rPr>
          <w:rFonts w:ascii="宋体" w:hAnsi="宋体"/>
          <w:b/>
          <w:szCs w:val="21"/>
          <w:highlight w:val="none"/>
        </w:rPr>
      </w:pPr>
    </w:p>
    <w:p w14:paraId="109E5428">
      <w:pPr>
        <w:pStyle w:val="68"/>
        <w:rPr>
          <w:rFonts w:ascii="宋体" w:hAnsi="宋体"/>
          <w:b/>
          <w:szCs w:val="21"/>
          <w:highlight w:val="none"/>
        </w:rPr>
      </w:pPr>
    </w:p>
    <w:p w14:paraId="3D56AA26">
      <w:pPr>
        <w:pStyle w:val="68"/>
        <w:rPr>
          <w:rFonts w:ascii="宋体" w:hAnsi="宋体"/>
          <w:b/>
          <w:szCs w:val="21"/>
          <w:highlight w:val="none"/>
        </w:rPr>
      </w:pPr>
    </w:p>
    <w:p w14:paraId="3457BA97">
      <w:pPr>
        <w:pStyle w:val="68"/>
        <w:rPr>
          <w:rFonts w:ascii="宋体" w:hAnsi="宋体"/>
          <w:b/>
          <w:szCs w:val="21"/>
          <w:highlight w:val="none"/>
        </w:rPr>
      </w:pPr>
    </w:p>
    <w:p w14:paraId="5E4AEAAE">
      <w:pPr>
        <w:pStyle w:val="68"/>
        <w:rPr>
          <w:rFonts w:ascii="宋体" w:hAnsi="宋体"/>
          <w:b/>
          <w:szCs w:val="21"/>
          <w:highlight w:val="none"/>
        </w:rPr>
      </w:pPr>
    </w:p>
    <w:p w14:paraId="46F94BC0">
      <w:pPr>
        <w:pStyle w:val="68"/>
        <w:rPr>
          <w:rFonts w:ascii="宋体" w:hAnsi="宋体"/>
          <w:b/>
          <w:szCs w:val="21"/>
          <w:highlight w:val="none"/>
        </w:rPr>
      </w:pPr>
    </w:p>
    <w:p w14:paraId="1AFDF9C8">
      <w:pPr>
        <w:pStyle w:val="68"/>
        <w:rPr>
          <w:rFonts w:ascii="宋体" w:hAnsi="宋体"/>
          <w:b/>
          <w:szCs w:val="21"/>
          <w:highlight w:val="none"/>
        </w:rPr>
      </w:pPr>
    </w:p>
    <w:p w14:paraId="759FAEC8">
      <w:pPr>
        <w:pStyle w:val="68"/>
        <w:rPr>
          <w:rFonts w:ascii="宋体" w:hAnsi="宋体"/>
          <w:b/>
          <w:szCs w:val="21"/>
          <w:highlight w:val="none"/>
        </w:rPr>
      </w:pPr>
    </w:p>
    <w:p w14:paraId="22F10A04">
      <w:pPr>
        <w:pStyle w:val="68"/>
        <w:rPr>
          <w:rFonts w:ascii="宋体" w:hAnsi="宋体"/>
          <w:b/>
          <w:szCs w:val="21"/>
          <w:highlight w:val="none"/>
        </w:rPr>
      </w:pPr>
    </w:p>
    <w:p w14:paraId="14F669B7">
      <w:pPr>
        <w:pStyle w:val="68"/>
        <w:rPr>
          <w:rFonts w:ascii="宋体" w:hAnsi="宋体"/>
          <w:b/>
          <w:szCs w:val="21"/>
          <w:highlight w:val="none"/>
        </w:rPr>
      </w:pPr>
    </w:p>
    <w:p w14:paraId="087A478A">
      <w:pPr>
        <w:pStyle w:val="68"/>
        <w:rPr>
          <w:rFonts w:ascii="宋体" w:hAnsi="宋体"/>
          <w:b/>
          <w:szCs w:val="21"/>
          <w:highlight w:val="none"/>
        </w:rPr>
      </w:pPr>
    </w:p>
    <w:p w14:paraId="3741D08F">
      <w:pPr>
        <w:pStyle w:val="68"/>
        <w:rPr>
          <w:rFonts w:ascii="宋体" w:hAnsi="宋体"/>
          <w:b/>
          <w:szCs w:val="21"/>
          <w:highlight w:val="none"/>
        </w:rPr>
      </w:pPr>
    </w:p>
    <w:p w14:paraId="5112C882">
      <w:pPr>
        <w:pStyle w:val="3"/>
        <w:adjustRightInd w:val="0"/>
        <w:snapToGrid w:val="0"/>
        <w:spacing w:before="120" w:beforeLines="50"/>
        <w:jc w:val="center"/>
        <w:rPr>
          <w:rFonts w:ascii="黑体" w:hAnsi="黑体" w:eastAsia="黑体"/>
          <w:sz w:val="28"/>
          <w:szCs w:val="28"/>
          <w:highlight w:val="none"/>
        </w:rPr>
      </w:pPr>
      <w:bookmarkStart w:id="16" w:name="_Toc17085"/>
      <w:bookmarkStart w:id="17" w:name="_Toc30785"/>
      <w:r>
        <w:rPr>
          <w:rFonts w:hint="eastAsia" w:ascii="黑体" w:hAnsi="黑体" w:eastAsia="黑体"/>
          <w:sz w:val="28"/>
          <w:szCs w:val="28"/>
          <w:highlight w:val="none"/>
        </w:rPr>
        <w:t>第二节  投标须知</w:t>
      </w:r>
      <w:bookmarkEnd w:id="16"/>
      <w:bookmarkEnd w:id="17"/>
    </w:p>
    <w:p w14:paraId="78AF30F1">
      <w:pPr>
        <w:pStyle w:val="5"/>
        <w:adjustRightInd w:val="0"/>
        <w:snapToGrid w:val="0"/>
        <w:spacing w:before="120" w:beforeLines="50" w:after="0" w:line="360" w:lineRule="auto"/>
        <w:jc w:val="center"/>
        <w:rPr>
          <w:rFonts w:ascii="黑体" w:hAnsi="黑体" w:eastAsia="黑体"/>
          <w:b w:val="0"/>
          <w:sz w:val="28"/>
          <w:szCs w:val="28"/>
          <w:highlight w:val="none"/>
        </w:rPr>
      </w:pPr>
      <w:bookmarkStart w:id="18" w:name="_Toc12758"/>
      <w:bookmarkStart w:id="19" w:name="_Toc19103"/>
      <w:r>
        <w:rPr>
          <w:rFonts w:hint="eastAsia" w:ascii="黑体" w:hAnsi="黑体" w:eastAsia="黑体"/>
          <w:sz w:val="28"/>
          <w:szCs w:val="28"/>
          <w:highlight w:val="none"/>
        </w:rPr>
        <w:t>一、总则</w:t>
      </w:r>
      <w:bookmarkEnd w:id="18"/>
      <w:bookmarkEnd w:id="19"/>
    </w:p>
    <w:p w14:paraId="2E3A8731">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1. 适用范围</w:t>
      </w:r>
    </w:p>
    <w:p w14:paraId="2D4137A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1.1本招标文件仅适用于本章第一节“投标须知前附表”（以下简称</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）中所叙述的采购项目。</w:t>
      </w:r>
    </w:p>
    <w:p w14:paraId="521C50B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1.2</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规定采购项目专门面向中小企业采购的，如投标人为非中小企业，其</w:t>
      </w:r>
      <w:r>
        <w:rPr>
          <w:rFonts w:hint="eastAsia" w:asciiTheme="minorEastAsia" w:hAnsiTheme="minorEastAsia" w:eastAsiaTheme="minorEastAsia"/>
          <w:b/>
          <w:szCs w:val="21"/>
          <w:highlight w:val="none"/>
        </w:rPr>
        <w:t>投标无效</w:t>
      </w:r>
      <w:r>
        <w:rPr>
          <w:rFonts w:hint="eastAsia" w:asciiTheme="minorEastAsia" w:hAnsiTheme="minorEastAsia" w:eastAsiaTheme="minorEastAsia"/>
          <w:szCs w:val="21"/>
          <w:highlight w:val="none"/>
        </w:rPr>
        <w:t>。</w:t>
      </w:r>
    </w:p>
    <w:p w14:paraId="58FFEA79">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2. 定义</w:t>
      </w:r>
    </w:p>
    <w:p w14:paraId="66C7860C">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2.1采购项目联系人姓名和电话见</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w:t>
      </w:r>
    </w:p>
    <w:p w14:paraId="7BC9143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2.2采购人名称、地址、电话、联系人见</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w:t>
      </w:r>
    </w:p>
    <w:p w14:paraId="18A222B3">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2.3采购代理机构名称、地址、电话、联系人见</w:t>
      </w:r>
      <w:r>
        <w:rPr>
          <w:rFonts w:hint="eastAsia" w:asciiTheme="minorEastAsia" w:hAnsiTheme="minorEastAsia" w:eastAsiaTheme="minorEastAsia"/>
          <w:b/>
          <w:szCs w:val="21"/>
          <w:highlight w:val="none"/>
        </w:rPr>
        <w:t>【投标须知前附表】。</w:t>
      </w:r>
    </w:p>
    <w:p w14:paraId="4F61FF87">
      <w:pPr>
        <w:adjustRightInd w:val="0"/>
        <w:snapToGrid w:val="0"/>
        <w:spacing w:before="120" w:beforeLines="50" w:line="360" w:lineRule="auto"/>
        <w:ind w:firstLine="420" w:firstLineChars="200"/>
        <w:jc w:val="left"/>
        <w:rPr>
          <w:rFonts w:asciiTheme="minorEastAsia" w:hAnsiTheme="minorEastAsia" w:eastAsiaTheme="minorEastAsia"/>
          <w:b/>
          <w:szCs w:val="21"/>
          <w:highlight w:val="none"/>
        </w:rPr>
      </w:pPr>
      <w:r>
        <w:rPr>
          <w:rFonts w:hint="eastAsia" w:asciiTheme="minorEastAsia" w:hAnsiTheme="minorEastAsia" w:eastAsiaTheme="minorEastAsia"/>
          <w:szCs w:val="21"/>
          <w:highlight w:val="none"/>
        </w:rPr>
        <w:t>2.4投标人系指响应招标、参加投标竞争的法人、其他组织或自然人。</w:t>
      </w:r>
    </w:p>
    <w:p w14:paraId="70112EB4">
      <w:pPr>
        <w:adjustRightInd w:val="0"/>
        <w:snapToGrid w:val="0"/>
        <w:spacing w:before="120" w:beforeLines="50" w:line="360" w:lineRule="auto"/>
        <w:ind w:firstLine="420" w:firstLineChars="200"/>
        <w:jc w:val="left"/>
        <w:rPr>
          <w:rFonts w:cs="宋体" w:asciiTheme="minorEastAsia" w:hAnsiTheme="minorEastAsia" w:eastAsiaTheme="minorEastAsia"/>
          <w:kern w:val="0"/>
          <w:szCs w:val="21"/>
          <w:highlight w:val="none"/>
        </w:rPr>
      </w:pPr>
      <w:r>
        <w:rPr>
          <w:rFonts w:asciiTheme="minorEastAsia" w:hAnsiTheme="minorEastAsia" w:eastAsiaTheme="minorEastAsia"/>
          <w:szCs w:val="21"/>
          <w:highlight w:val="none"/>
        </w:rPr>
        <w:t>2.</w:t>
      </w:r>
      <w:r>
        <w:rPr>
          <w:rFonts w:hint="eastAsia" w:asciiTheme="minorEastAsia" w:hAnsiTheme="minorEastAsia" w:eastAsiaTheme="minorEastAsia"/>
          <w:szCs w:val="21"/>
          <w:highlight w:val="none"/>
        </w:rPr>
        <w:t>5</w:t>
      </w:r>
      <w:r>
        <w:rPr>
          <w:rFonts w:hint="eastAsia" w:cs="宋体" w:asciiTheme="minorEastAsia" w:hAnsiTheme="minorEastAsia" w:eastAsiaTheme="minorEastAsia"/>
          <w:kern w:val="0"/>
          <w:szCs w:val="21"/>
          <w:highlight w:val="none"/>
        </w:rPr>
        <w:t>进口产品是指符合《政府采购进口产品管理办法》（财库〔2007〕119号）和《关于政府采购进口产品管理有关问题的通知》（财办库〔2008〕248号）文件规定的产品。除</w:t>
      </w:r>
      <w:r>
        <w:rPr>
          <w:rFonts w:hint="eastAsia" w:asciiTheme="minorEastAsia" w:hAnsiTheme="minorEastAsia" w:eastAsiaTheme="minorEastAsia"/>
          <w:b/>
          <w:szCs w:val="21"/>
          <w:highlight w:val="none"/>
        </w:rPr>
        <w:t>【投标须知前附表】</w:t>
      </w:r>
      <w:r>
        <w:rPr>
          <w:rFonts w:hint="eastAsia" w:cs="宋体" w:asciiTheme="minorEastAsia" w:hAnsiTheme="minorEastAsia" w:eastAsiaTheme="minorEastAsia"/>
          <w:kern w:val="0"/>
          <w:szCs w:val="21"/>
          <w:highlight w:val="none"/>
        </w:rPr>
        <w:t>另有规定外，采购项目</w:t>
      </w:r>
      <w:r>
        <w:rPr>
          <w:rFonts w:hint="eastAsia" w:cs="宋体" w:asciiTheme="minorEastAsia" w:hAnsiTheme="minorEastAsia" w:eastAsiaTheme="minorEastAsia"/>
          <w:b/>
          <w:kern w:val="0"/>
          <w:szCs w:val="21"/>
          <w:highlight w:val="none"/>
        </w:rPr>
        <w:t>拒绝进口产品参加投标</w:t>
      </w:r>
      <w:r>
        <w:rPr>
          <w:rFonts w:hint="eastAsia" w:cs="宋体" w:asciiTheme="minorEastAsia" w:hAnsiTheme="minorEastAsia" w:eastAsiaTheme="minorEastAsia"/>
          <w:kern w:val="0"/>
          <w:szCs w:val="21"/>
          <w:highlight w:val="none"/>
        </w:rPr>
        <w:t>。本款规定同意购买进口产品的，不限制满足招标文件要求的国内产品参与投标竞争。</w:t>
      </w:r>
    </w:p>
    <w:p w14:paraId="786413E4">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3. 投标人的资格要求</w:t>
      </w:r>
    </w:p>
    <w:p w14:paraId="67F042EA">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3.1投标人应当符合</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规定的投标人资格条件。</w:t>
      </w:r>
    </w:p>
    <w:p w14:paraId="70800A8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3.2</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规定接受联合体形式投标的，投标人除应符合本章第3.1</w:t>
      </w:r>
      <w:r>
        <w:rPr>
          <w:rFonts w:hint="eastAsia" w:cs="宋体" w:asciiTheme="minorEastAsia" w:hAnsiTheme="minorEastAsia" w:eastAsiaTheme="minorEastAsia"/>
          <w:kern w:val="0"/>
          <w:szCs w:val="21"/>
          <w:highlight w:val="none"/>
          <w:lang w:val="zh-CN"/>
        </w:rPr>
        <w:t>款</w:t>
      </w:r>
      <w:r>
        <w:rPr>
          <w:rFonts w:hint="eastAsia" w:asciiTheme="minorEastAsia" w:hAnsiTheme="minorEastAsia" w:eastAsiaTheme="minorEastAsia"/>
          <w:szCs w:val="21"/>
          <w:highlight w:val="none"/>
        </w:rPr>
        <w:t xml:space="preserve">规定外，还应遵守以下规定： </w:t>
      </w:r>
    </w:p>
    <w:p w14:paraId="6D15E8B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（l）联合体中有同类资质的供应商按照联合体分工承担相同工作的，应当按照资质等级较低的供应商确定资质等级。</w:t>
      </w:r>
    </w:p>
    <w:p w14:paraId="0604005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（2）联合体各方应按招标文件提供的格式签订联合体协议书，明确联合体牵头人和各方的权利义务、合同工作量比例；</w:t>
      </w:r>
    </w:p>
    <w:p w14:paraId="468D7A01">
      <w:pPr>
        <w:adjustRightInd w:val="0"/>
        <w:snapToGrid w:val="0"/>
        <w:spacing w:before="120" w:beforeLines="50" w:line="360" w:lineRule="auto"/>
        <w:ind w:firstLine="420" w:firstLineChars="200"/>
        <w:jc w:val="left"/>
        <w:rPr>
          <w:rFonts w:cs="宋体" w:asciiTheme="minorEastAsia" w:hAnsiTheme="minorEastAsia" w:eastAsiaTheme="minorEastAsia"/>
          <w:kern w:val="0"/>
          <w:szCs w:val="21"/>
          <w:highlight w:val="none"/>
          <w:lang w:val="zh-CN"/>
        </w:rPr>
      </w:pPr>
      <w:r>
        <w:rPr>
          <w:rFonts w:hint="eastAsia" w:asciiTheme="minorEastAsia" w:hAnsiTheme="minorEastAsia" w:eastAsiaTheme="minorEastAsia"/>
          <w:szCs w:val="21"/>
          <w:highlight w:val="none"/>
        </w:rPr>
        <w:t>（3）联合体各方签订联合体协议书后，</w:t>
      </w:r>
      <w:r>
        <w:rPr>
          <w:rFonts w:hint="eastAsia" w:cs="宋体" w:asciiTheme="minorEastAsia" w:hAnsiTheme="minorEastAsia" w:eastAsiaTheme="minorEastAsia"/>
          <w:kern w:val="0"/>
          <w:szCs w:val="21"/>
          <w:highlight w:val="none"/>
          <w:lang w:val="zh-CN"/>
        </w:rPr>
        <w:t>不得再单独参加或者与其他投标人组成新的联合体参加同一合同项下的采购活动。</w:t>
      </w:r>
    </w:p>
    <w:p w14:paraId="3C863A32">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 xml:space="preserve">4. 投标费用 </w:t>
      </w:r>
    </w:p>
    <w:p w14:paraId="6452780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4.1投标人应自行承担所有参与投标的相关费用，不论投标的结果如何，采购人、采购代理机构均无义务和责任承担这些费用。</w:t>
      </w:r>
    </w:p>
    <w:p w14:paraId="44E7EAB6">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sz w:val="24"/>
          <w:highlight w:val="none"/>
        </w:rPr>
        <w:t>5．组织现场考察或者召开答疑会</w:t>
      </w:r>
    </w:p>
    <w:p w14:paraId="2D1088E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highlight w:val="none"/>
        </w:rPr>
        <w:t>5.1采购人、采购代理机构可以在</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规定的招标文件提供期限截止后，组织已获取招标文件的潜在投标人现场考察或者召开开标前答疑会。</w:t>
      </w:r>
    </w:p>
    <w:p w14:paraId="366402F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5.2获取招标文件的潜在投标人应按</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规定参加现场考察或者答疑会；如不参加，其风险由其自行承担。</w:t>
      </w:r>
    </w:p>
    <w:p w14:paraId="7BD9E16B">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5.3潜在投标人现场考察或者参加答疑会的费用由自己承担，现场考察期间所发生的人身伤害及财产损失由自己负责。</w:t>
      </w:r>
    </w:p>
    <w:p w14:paraId="49C2E410">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5.4采购人、采购代理机构不对投标人据此而做出的推论、理解和结论负责。投标人一旦中标，不得以任何借口，提出额外补偿，或延长合同期限的要求。</w:t>
      </w:r>
    </w:p>
    <w:p w14:paraId="7D450AEE">
      <w:pPr>
        <w:pStyle w:val="5"/>
        <w:adjustRightInd w:val="0"/>
        <w:snapToGrid w:val="0"/>
        <w:spacing w:before="120" w:beforeLines="50" w:after="0" w:line="360" w:lineRule="auto"/>
        <w:jc w:val="center"/>
        <w:rPr>
          <w:rFonts w:ascii="黑体" w:hAnsi="黑体" w:eastAsia="黑体"/>
          <w:sz w:val="28"/>
          <w:szCs w:val="28"/>
          <w:highlight w:val="none"/>
        </w:rPr>
      </w:pPr>
      <w:bookmarkStart w:id="20" w:name="_Toc479"/>
      <w:bookmarkStart w:id="21" w:name="_Toc1397"/>
      <w:r>
        <w:rPr>
          <w:rFonts w:hint="eastAsia" w:ascii="黑体" w:hAnsi="黑体" w:eastAsia="黑体"/>
          <w:sz w:val="28"/>
          <w:szCs w:val="28"/>
          <w:highlight w:val="none"/>
        </w:rPr>
        <w:t>二、招标文件</w:t>
      </w:r>
      <w:bookmarkEnd w:id="20"/>
      <w:bookmarkEnd w:id="21"/>
    </w:p>
    <w:p w14:paraId="70B98C3E">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6. 招标文件的构成</w:t>
      </w:r>
    </w:p>
    <w:p w14:paraId="1DCA79D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6.1 招标文件共七章，各章内容如下：</w:t>
      </w:r>
    </w:p>
    <w:p w14:paraId="76A813E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第一章 投标邀请</w:t>
      </w:r>
    </w:p>
    <w:p w14:paraId="0FE463C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第二章 投标须知</w:t>
      </w:r>
    </w:p>
    <w:p w14:paraId="433F834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第三章 资格审查</w:t>
      </w:r>
    </w:p>
    <w:p w14:paraId="3BB73E3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第四章 评标方法及标准</w:t>
      </w:r>
    </w:p>
    <w:p w14:paraId="66886AB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第五章 采购需求</w:t>
      </w:r>
    </w:p>
    <w:p w14:paraId="021B24F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第六章 政府采购合同</w:t>
      </w:r>
    </w:p>
    <w:p w14:paraId="6E699A45">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第七章 投标文件的组成</w:t>
      </w:r>
    </w:p>
    <w:p w14:paraId="0978AECA">
      <w:pPr>
        <w:adjustRightInd w:val="0"/>
        <w:snapToGrid w:val="0"/>
        <w:spacing w:before="120" w:beforeLines="50" w:line="360" w:lineRule="auto"/>
        <w:ind w:firstLine="420" w:firstLineChars="200"/>
        <w:jc w:val="left"/>
        <w:rPr>
          <w:rFonts w:cs="宋体" w:asciiTheme="minorEastAsia" w:hAnsiTheme="minorEastAsia" w:eastAsiaTheme="minorEastAsia"/>
          <w:b/>
          <w:szCs w:val="21"/>
          <w:highlight w:val="none"/>
        </w:rPr>
      </w:pPr>
      <w:r>
        <w:rPr>
          <w:rFonts w:hint="eastAsia" w:asciiTheme="minorEastAsia" w:hAnsiTheme="minorEastAsia" w:eastAsiaTheme="minorEastAsia"/>
          <w:szCs w:val="21"/>
          <w:highlight w:val="none"/>
        </w:rPr>
        <w:t>6.2采购人、采购代理机构在提交投标文件截止时间前</w:t>
      </w:r>
      <w:r>
        <w:rPr>
          <w:rFonts w:hint="eastAsia" w:cs="宋体" w:asciiTheme="minorEastAsia" w:hAnsiTheme="minorEastAsia" w:eastAsiaTheme="minorEastAsia"/>
          <w:szCs w:val="21"/>
          <w:highlight w:val="none"/>
        </w:rPr>
        <w:t>对招标文件所作的澄清或者修改，构成招标文件的组成部分。</w:t>
      </w:r>
    </w:p>
    <w:p w14:paraId="7FCF3F2A">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sz w:val="24"/>
          <w:highlight w:val="none"/>
        </w:rPr>
        <w:t>7．偏离与实质性响应</w:t>
      </w:r>
    </w:p>
    <w:p w14:paraId="0B41F5F3">
      <w:pPr>
        <w:adjustRightInd w:val="0"/>
        <w:snapToGrid w:val="0"/>
        <w:spacing w:before="120" w:beforeLines="50" w:line="360" w:lineRule="auto"/>
        <w:ind w:firstLine="420" w:firstLineChars="200"/>
        <w:rPr>
          <w:rFonts w:asciiTheme="minorEastAsia" w:hAnsiTheme="minorEastAsia" w:eastAsiaTheme="minorEastAsia"/>
          <w:highlight w:val="none"/>
        </w:rPr>
      </w:pPr>
      <w:r>
        <w:rPr>
          <w:rFonts w:hint="eastAsia" w:asciiTheme="minorEastAsia" w:hAnsiTheme="minorEastAsia" w:eastAsiaTheme="minorEastAsia"/>
          <w:highlight w:val="none"/>
        </w:rPr>
        <w:t>7.1投标人应当按照招标文件的要求编制投标文件。投标文件应当对招标文件提出的要求和条件作出明确响应。</w:t>
      </w:r>
    </w:p>
    <w:p w14:paraId="3102C9F3">
      <w:pPr>
        <w:adjustRightInd w:val="0"/>
        <w:snapToGrid w:val="0"/>
        <w:spacing w:before="120" w:beforeLines="50" w:line="360" w:lineRule="auto"/>
        <w:ind w:firstLine="420" w:firstLineChars="200"/>
        <w:rPr>
          <w:rFonts w:asciiTheme="minorEastAsia" w:hAnsiTheme="minorEastAsia" w:eastAsiaTheme="minorEastAsia"/>
          <w:highlight w:val="none"/>
        </w:rPr>
      </w:pPr>
      <w:r>
        <w:rPr>
          <w:rFonts w:hint="eastAsia" w:asciiTheme="minorEastAsia" w:hAnsiTheme="minorEastAsia" w:eastAsiaTheme="minorEastAsia"/>
          <w:highlight w:val="none"/>
        </w:rPr>
        <w:t>7.2偏离是指投标文件不响应或者不满足招标文件提出的要求和条件，分为实质性偏离和非实质性偏离。</w:t>
      </w:r>
    </w:p>
    <w:p w14:paraId="35427F27">
      <w:pPr>
        <w:adjustRightInd w:val="0"/>
        <w:snapToGrid w:val="0"/>
        <w:spacing w:before="120" w:beforeLines="50" w:line="360" w:lineRule="auto"/>
        <w:ind w:firstLine="420" w:firstLineChars="200"/>
        <w:rPr>
          <w:rFonts w:asciiTheme="minorEastAsia" w:hAnsiTheme="minorEastAsia" w:eastAsiaTheme="minorEastAsia"/>
          <w:highlight w:val="none"/>
        </w:rPr>
      </w:pPr>
      <w:r>
        <w:rPr>
          <w:rFonts w:hint="eastAsia" w:asciiTheme="minorEastAsia" w:hAnsiTheme="minorEastAsia" w:eastAsiaTheme="minorEastAsia"/>
          <w:highlight w:val="none"/>
        </w:rPr>
        <w:t>7.3除法律、法规和招标文件规定的其他投标无效情形外，招标文件中用“★”符号标明的条款为实质性要求和条件，对其中任何一条的偏离，为实质性偏离，</w:t>
      </w:r>
      <w:r>
        <w:rPr>
          <w:rFonts w:hint="eastAsia" w:asciiTheme="minorEastAsia" w:hAnsiTheme="minorEastAsia" w:eastAsiaTheme="minorEastAsia"/>
          <w:b/>
          <w:highlight w:val="none"/>
        </w:rPr>
        <w:t>其投标无效</w:t>
      </w:r>
      <w:r>
        <w:rPr>
          <w:rFonts w:hint="eastAsia" w:asciiTheme="minorEastAsia" w:hAnsiTheme="minorEastAsia" w:eastAsiaTheme="minorEastAsia"/>
          <w:highlight w:val="none"/>
        </w:rPr>
        <w:t>。</w:t>
      </w:r>
    </w:p>
    <w:p w14:paraId="649546AF">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7.4投标</w:t>
      </w:r>
      <w:r>
        <w:rPr>
          <w:rFonts w:hint="eastAsia" w:asciiTheme="minorEastAsia" w:hAnsiTheme="minorEastAsia" w:eastAsiaTheme="minorEastAsia"/>
          <w:szCs w:val="21"/>
          <w:highlight w:val="none"/>
        </w:rPr>
        <w:t>文件偏离招标文件的非实质性要求和条件，为非实质性偏离。非实质性偏离的范围和幅度应当符合</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的规定，</w:t>
      </w:r>
      <w:r>
        <w:rPr>
          <w:rFonts w:hint="eastAsia" w:asciiTheme="minorEastAsia" w:hAnsiTheme="minorEastAsia" w:eastAsiaTheme="minorEastAsia"/>
          <w:b/>
          <w:szCs w:val="21"/>
          <w:highlight w:val="none"/>
        </w:rPr>
        <w:t>否</w:t>
      </w:r>
      <w:r>
        <w:rPr>
          <w:rFonts w:hint="eastAsia" w:asciiTheme="minorEastAsia" w:hAnsiTheme="minorEastAsia" w:eastAsiaTheme="minorEastAsia"/>
          <w:b/>
          <w:highlight w:val="none"/>
        </w:rPr>
        <w:t>则投标无效</w:t>
      </w:r>
      <w:r>
        <w:rPr>
          <w:rFonts w:hint="eastAsia" w:asciiTheme="minorEastAsia" w:hAnsiTheme="minorEastAsia" w:eastAsiaTheme="minorEastAsia"/>
          <w:highlight w:val="none"/>
        </w:rPr>
        <w:t>。</w:t>
      </w:r>
    </w:p>
    <w:p w14:paraId="0A9EC086">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sz w:val="24"/>
          <w:highlight w:val="none"/>
        </w:rPr>
        <w:t>8. 询问</w:t>
      </w:r>
    </w:p>
    <w:p w14:paraId="39B50108">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8.1潜在投标人应仔细阅读和检查招标文件的全部内容。如有疑问，可以向采购人或者采购代理机构提出询问。</w:t>
      </w:r>
    </w:p>
    <w:p w14:paraId="68695595">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9. 招标文件的澄清或者修改</w:t>
      </w:r>
    </w:p>
    <w:p w14:paraId="39C9FE6C">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9.1采购人、采购代理机构对已发出的招标文件进行必要澄清或者修改的，将在</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规定的</w:t>
      </w:r>
      <w:r>
        <w:rPr>
          <w:rFonts w:hint="eastAsia" w:asciiTheme="minorEastAsia" w:hAnsiTheme="minorEastAsia" w:eastAsiaTheme="minorEastAsia"/>
          <w:highlight w:val="none"/>
        </w:rPr>
        <w:t>招标公告指定媒体上发布澄清或者修改公告。</w:t>
      </w:r>
    </w:p>
    <w:p w14:paraId="425B411D">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cs="宋体" w:asciiTheme="minorEastAsia" w:hAnsiTheme="minorEastAsia" w:eastAsiaTheme="minorEastAsia"/>
          <w:kern w:val="0"/>
          <w:szCs w:val="21"/>
          <w:highlight w:val="none"/>
        </w:rPr>
        <w:t>9.2澄清或者修改</w:t>
      </w:r>
      <w:r>
        <w:rPr>
          <w:rFonts w:hint="eastAsia" w:asciiTheme="minorEastAsia" w:hAnsiTheme="minorEastAsia" w:eastAsiaTheme="minorEastAsia"/>
          <w:highlight w:val="none"/>
        </w:rPr>
        <w:t>的</w:t>
      </w:r>
      <w:r>
        <w:rPr>
          <w:rFonts w:hint="eastAsia" w:cs="宋体" w:asciiTheme="minorEastAsia" w:hAnsiTheme="minorEastAsia" w:eastAsiaTheme="minorEastAsia"/>
          <w:kern w:val="0"/>
          <w:szCs w:val="21"/>
          <w:highlight w:val="none"/>
        </w:rPr>
        <w:t>内容可能影响投标文件编制的，采购人、采购代理机构</w:t>
      </w:r>
      <w:r>
        <w:rPr>
          <w:rFonts w:hint="eastAsia" w:asciiTheme="minorEastAsia" w:hAnsiTheme="minorEastAsia" w:eastAsiaTheme="minorEastAsia"/>
          <w:highlight w:val="none"/>
        </w:rPr>
        <w:t>将</w:t>
      </w:r>
      <w:r>
        <w:rPr>
          <w:rFonts w:hint="eastAsia" w:cs="宋体" w:asciiTheme="minorEastAsia" w:hAnsiTheme="minorEastAsia" w:eastAsiaTheme="minorEastAsia"/>
          <w:kern w:val="0"/>
          <w:szCs w:val="21"/>
          <w:highlight w:val="none"/>
        </w:rPr>
        <w:t>在提交投标文件截止时间15日前，</w:t>
      </w:r>
      <w:r>
        <w:rPr>
          <w:rFonts w:hint="eastAsia" w:asciiTheme="minorEastAsia" w:hAnsiTheme="minorEastAsia" w:eastAsiaTheme="minorEastAsia"/>
          <w:highlight w:val="none"/>
        </w:rPr>
        <w:t>以书面形式通知所有获取招标文件的潜在投标人；不足15日的，将相应延长提交投标文件的截止时间。</w:t>
      </w:r>
    </w:p>
    <w:p w14:paraId="230FFC68">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9</w:t>
      </w:r>
      <w:r>
        <w:rPr>
          <w:rFonts w:asciiTheme="minorEastAsia" w:hAnsiTheme="minorEastAsia" w:eastAsiaTheme="minorEastAsia"/>
          <w:highlight w:val="none"/>
        </w:rPr>
        <w:t>.3</w:t>
      </w:r>
      <w:r>
        <w:rPr>
          <w:rFonts w:hint="eastAsia" w:asciiTheme="minorEastAsia" w:hAnsiTheme="minorEastAsia" w:eastAsiaTheme="minorEastAsia"/>
          <w:highlight w:val="none"/>
        </w:rPr>
        <w:t>招标文件的提供期限届满后，获取招标文件的潜在投标人不足3家的，可以顺延提供期限，并在指定媒体上发布修改公告。</w:t>
      </w:r>
    </w:p>
    <w:p w14:paraId="5AFB0979">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9.4 请获取招标文件的潜在投标人及时关注</w:t>
      </w:r>
      <w:r>
        <w:rPr>
          <w:rFonts w:hint="eastAsia" w:asciiTheme="minorEastAsia" w:hAnsiTheme="minorEastAsia" w:eastAsiaTheme="minorEastAsia"/>
          <w:szCs w:val="21"/>
          <w:highlight w:val="none"/>
        </w:rPr>
        <w:t>招标公告指定媒体</w:t>
      </w:r>
      <w:r>
        <w:rPr>
          <w:rFonts w:hint="eastAsia" w:asciiTheme="minorEastAsia" w:hAnsiTheme="minorEastAsia" w:eastAsiaTheme="minorEastAsia"/>
          <w:highlight w:val="none"/>
        </w:rPr>
        <w:t>发布的澄清或者修改公告，</w:t>
      </w:r>
      <w:r>
        <w:rPr>
          <w:rFonts w:hint="eastAsia" w:asciiTheme="minorEastAsia" w:hAnsiTheme="minorEastAsia" w:eastAsiaTheme="minorEastAsia"/>
          <w:color w:val="FF0000"/>
          <w:highlight w:val="none"/>
        </w:rPr>
        <w:t>采购人、采购代理机构不再书面通知。</w:t>
      </w:r>
    </w:p>
    <w:p w14:paraId="5EDBD9BC">
      <w:pPr>
        <w:pStyle w:val="5"/>
        <w:adjustRightInd w:val="0"/>
        <w:snapToGrid w:val="0"/>
        <w:spacing w:before="120" w:beforeLines="50" w:after="0" w:line="360" w:lineRule="auto"/>
        <w:jc w:val="center"/>
        <w:rPr>
          <w:rFonts w:ascii="黑体" w:hAnsi="黑体" w:eastAsia="黑体"/>
          <w:sz w:val="28"/>
          <w:szCs w:val="28"/>
          <w:highlight w:val="none"/>
        </w:rPr>
      </w:pPr>
      <w:bookmarkStart w:id="22" w:name="_Toc2546"/>
      <w:bookmarkStart w:id="23" w:name="_Toc26516"/>
      <w:r>
        <w:rPr>
          <w:rFonts w:hint="eastAsia" w:ascii="黑体" w:hAnsi="黑体" w:eastAsia="黑体"/>
          <w:sz w:val="28"/>
          <w:szCs w:val="28"/>
          <w:highlight w:val="none"/>
        </w:rPr>
        <w:t>三、投标文件</w:t>
      </w:r>
      <w:bookmarkEnd w:id="22"/>
      <w:bookmarkEnd w:id="23"/>
    </w:p>
    <w:p w14:paraId="2C416554">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10. 投标语言</w:t>
      </w:r>
    </w:p>
    <w:p w14:paraId="32CE2593">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10.1除专用术语外，投标人提交的投标文件及投标人与采购人、采购代理机构就有关投标的所有来往函电均使用中文。投标人可以提交其它语言的资料，但应附有中文注释，有差异时以中文为准。</w:t>
      </w:r>
    </w:p>
    <w:p w14:paraId="33D5F6A5">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bCs/>
          <w:sz w:val="24"/>
          <w:highlight w:val="none"/>
        </w:rPr>
        <w:t xml:space="preserve">11. </w:t>
      </w:r>
      <w:r>
        <w:rPr>
          <w:rFonts w:hint="eastAsia" w:asciiTheme="minorEastAsia" w:hAnsiTheme="minorEastAsia" w:eastAsiaTheme="minorEastAsia"/>
          <w:b/>
          <w:sz w:val="24"/>
          <w:highlight w:val="none"/>
        </w:rPr>
        <w:t>计量单位</w:t>
      </w:r>
    </w:p>
    <w:p w14:paraId="6E22C5F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11.1所有计量均采用中华人民共和国法定计量单位。</w:t>
      </w:r>
    </w:p>
    <w:p w14:paraId="3D22A53E">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sz w:val="24"/>
          <w:highlight w:val="none"/>
        </w:rPr>
        <w:t xml:space="preserve">12. </w:t>
      </w:r>
      <w:r>
        <w:rPr>
          <w:rFonts w:hint="eastAsia" w:asciiTheme="minorEastAsia" w:hAnsiTheme="minorEastAsia" w:eastAsiaTheme="minorEastAsia"/>
          <w:b/>
          <w:bCs/>
          <w:sz w:val="24"/>
          <w:highlight w:val="none"/>
        </w:rPr>
        <w:t>投标文件的组成</w:t>
      </w:r>
    </w:p>
    <w:p w14:paraId="2A424E89">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12.1投标文件由如下内容组成：</w:t>
      </w:r>
    </w:p>
    <w:p w14:paraId="74078DF5">
      <w:pPr>
        <w:adjustRightInd w:val="0"/>
        <w:snapToGrid w:val="0"/>
        <w:spacing w:before="120" w:beforeLines="50"/>
        <w:jc w:val="left"/>
        <w:rPr>
          <w:rFonts w:ascii="宋体" w:hAnsi="宋体"/>
          <w:b/>
          <w:szCs w:val="21"/>
          <w:highlight w:val="none"/>
        </w:rPr>
      </w:pPr>
      <w:r>
        <w:rPr>
          <w:rFonts w:hint="eastAsia" w:ascii="宋体" w:hAnsi="宋体"/>
          <w:b/>
          <w:szCs w:val="21"/>
          <w:highlight w:val="none"/>
        </w:rPr>
        <w:t>第一部分 资格证明文件</w:t>
      </w:r>
    </w:p>
    <w:p w14:paraId="2FDFB2D0">
      <w:pPr>
        <w:pStyle w:val="4"/>
        <w:ind w:firstLine="630" w:firstLineChars="300"/>
        <w:jc w:val="left"/>
        <w:rPr>
          <w:highlight w:val="none"/>
        </w:rPr>
      </w:pPr>
      <w:r>
        <w:rPr>
          <w:rFonts w:hint="eastAsia"/>
          <w:highlight w:val="none"/>
        </w:rPr>
        <w:t>封面</w:t>
      </w:r>
    </w:p>
    <w:p w14:paraId="39E14925">
      <w:pPr>
        <w:adjustRightInd w:val="0"/>
        <w:snapToGrid w:val="0"/>
        <w:spacing w:before="120" w:beforeLines="50"/>
        <w:ind w:firstLine="420" w:firstLineChars="200"/>
        <w:jc w:val="left"/>
        <w:rPr>
          <w:rFonts w:ascii="宋体" w:hAnsi="宋体"/>
          <w:szCs w:val="21"/>
          <w:highlight w:val="none"/>
        </w:rPr>
      </w:pPr>
      <w:r>
        <w:rPr>
          <w:rFonts w:hint="eastAsia" w:ascii="宋体" w:hAnsi="宋体"/>
          <w:szCs w:val="21"/>
          <w:highlight w:val="none"/>
        </w:rPr>
        <w:t>一、</w:t>
      </w:r>
      <w:r>
        <w:rPr>
          <w:rStyle w:val="167"/>
          <w:rFonts w:ascii="微软雅黑" w:hAnsi="微软雅黑" w:eastAsia="微软雅黑" w:cs="微软雅黑"/>
          <w:color w:val="000000"/>
          <w:sz w:val="19"/>
          <w:szCs w:val="19"/>
          <w:highlight w:val="none"/>
        </w:rPr>
        <w:t>投标人具备投标资格的证明文件</w:t>
      </w:r>
    </w:p>
    <w:p w14:paraId="40C3854A">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ascii="微软雅黑" w:hAnsi="微软雅黑" w:eastAsia="微软雅黑" w:cs="微软雅黑"/>
          <w:color w:val="000000"/>
          <w:sz w:val="19"/>
          <w:szCs w:val="19"/>
          <w:highlight w:val="none"/>
        </w:rPr>
        <w:t>附件1 授权委托书</w:t>
      </w:r>
    </w:p>
    <w:p w14:paraId="3DE8FEAF">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ascii="微软雅黑" w:hAnsi="微软雅黑" w:eastAsia="微软雅黑" w:cs="微软雅黑"/>
          <w:color w:val="000000"/>
          <w:sz w:val="19"/>
          <w:szCs w:val="19"/>
          <w:highlight w:val="none"/>
        </w:rPr>
        <w:t>附件1-1 法定代表人身份证明</w:t>
      </w:r>
    </w:p>
    <w:p w14:paraId="35242556">
      <w:pPr>
        <w:adjustRightInd w:val="0"/>
        <w:snapToGrid w:val="0"/>
        <w:spacing w:before="120" w:beforeLines="50"/>
        <w:ind w:firstLine="380" w:firstLineChars="200"/>
        <w:jc w:val="left"/>
        <w:rPr>
          <w:rStyle w:val="168"/>
          <w:rFonts w:ascii="微软雅黑" w:hAnsi="微软雅黑" w:eastAsia="微软雅黑" w:cs="微软雅黑"/>
          <w:color w:val="000000"/>
          <w:sz w:val="19"/>
          <w:szCs w:val="19"/>
          <w:highlight w:val="none"/>
        </w:rPr>
      </w:pPr>
      <w:r>
        <w:rPr>
          <w:rStyle w:val="168"/>
          <w:rFonts w:ascii="微软雅黑" w:hAnsi="微软雅黑" w:eastAsia="微软雅黑" w:cs="微软雅黑"/>
          <w:color w:val="000000"/>
          <w:sz w:val="19"/>
          <w:szCs w:val="19"/>
          <w:highlight w:val="none"/>
        </w:rPr>
        <w:t>附件2 投标人基本情况</w:t>
      </w:r>
    </w:p>
    <w:p w14:paraId="30BC3AFA">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附件3湖南省政府采购供应商资格承诺函</w:t>
      </w:r>
    </w:p>
    <w:p w14:paraId="10DB9715">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Style w:val="168"/>
          <w:rFonts w:hint="eastAsia" w:ascii="微软雅黑" w:hAnsi="微软雅黑" w:eastAsia="微软雅黑" w:cs="微软雅黑"/>
          <w:color w:val="000000"/>
          <w:sz w:val="19"/>
          <w:szCs w:val="19"/>
          <w:highlight w:val="none"/>
        </w:rPr>
        <w:t>附件</w:t>
      </w:r>
      <w:r>
        <w:rPr>
          <w:rFonts w:hint="eastAsia" w:ascii="微软雅黑" w:hAnsi="微软雅黑" w:eastAsia="微软雅黑" w:cs="微软雅黑"/>
          <w:color w:val="000000"/>
          <w:sz w:val="19"/>
          <w:szCs w:val="19"/>
          <w:highlight w:val="none"/>
        </w:rPr>
        <w:t>4 项目免交投标保证金承诺书</w:t>
      </w:r>
    </w:p>
    <w:p w14:paraId="4F8DECF3">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附件5 信用信息查询结果</w:t>
      </w:r>
    </w:p>
    <w:p w14:paraId="436F0778">
      <w:pPr>
        <w:pStyle w:val="73"/>
        <w:ind w:firstLine="380"/>
        <w:rPr>
          <w:highlight w:val="none"/>
        </w:rPr>
      </w:pPr>
      <w:r>
        <w:rPr>
          <w:rFonts w:hint="eastAsia" w:ascii="微软雅黑" w:hAnsi="微软雅黑" w:eastAsia="微软雅黑" w:cs="微软雅黑"/>
          <w:color w:val="000000"/>
          <w:sz w:val="19"/>
          <w:szCs w:val="19"/>
          <w:highlight w:val="none"/>
        </w:rPr>
        <w:t>附件6特定资格条件和其他资格条件证明材料</w:t>
      </w:r>
    </w:p>
    <w:p w14:paraId="4EFE04C9">
      <w:pPr>
        <w:adjustRightInd w:val="0"/>
        <w:snapToGrid w:val="0"/>
        <w:spacing w:before="120" w:beforeLines="50"/>
        <w:jc w:val="left"/>
        <w:rPr>
          <w:rFonts w:ascii="宋体" w:hAnsi="宋体"/>
          <w:b/>
          <w:szCs w:val="21"/>
          <w:highlight w:val="none"/>
        </w:rPr>
      </w:pPr>
      <w:r>
        <w:rPr>
          <w:rFonts w:hint="eastAsia" w:ascii="宋体" w:hAnsi="宋体"/>
          <w:b/>
          <w:szCs w:val="21"/>
          <w:highlight w:val="none"/>
        </w:rPr>
        <w:t>第二部分 商务文件</w:t>
      </w:r>
    </w:p>
    <w:p w14:paraId="0573EE46">
      <w:pPr>
        <w:pStyle w:val="4"/>
        <w:rPr>
          <w:highlight w:val="none"/>
        </w:rPr>
      </w:pPr>
      <w:r>
        <w:rPr>
          <w:rFonts w:hint="eastAsia" w:ascii="宋体" w:hAnsi="宋体"/>
          <w:b/>
          <w:szCs w:val="21"/>
          <w:highlight w:val="none"/>
        </w:rPr>
        <w:t xml:space="preserve">     </w:t>
      </w:r>
      <w:r>
        <w:rPr>
          <w:rFonts w:hint="eastAsia"/>
          <w:highlight w:val="none"/>
        </w:rPr>
        <w:t>封面</w:t>
      </w:r>
    </w:p>
    <w:p w14:paraId="6E401786">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二、投标函</w:t>
      </w:r>
    </w:p>
    <w:p w14:paraId="6B276DEF">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三、开标一览表</w:t>
      </w:r>
    </w:p>
    <w:p w14:paraId="5C54DC3E">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四、分项报价</w:t>
      </w:r>
    </w:p>
    <w:p w14:paraId="72AD7437">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五、商务条款响应、偏离表享受政府采购政策优惠的证明资料和清单表</w:t>
      </w:r>
    </w:p>
    <w:p w14:paraId="58C604F6">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六、投标保证金</w:t>
      </w:r>
    </w:p>
    <w:p w14:paraId="61BD27C9">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七、中小企业声明函</w:t>
      </w:r>
    </w:p>
    <w:p w14:paraId="3BB15043">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八、残疾人福利性单位声明函</w:t>
      </w:r>
    </w:p>
    <w:p w14:paraId="38B8CE95">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九、招标文件规定的其他与本项目相关的证明文件</w:t>
      </w:r>
    </w:p>
    <w:p w14:paraId="3D0EC225">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十、进口产品经销或代理投标货物或为投标货物提供售后服务的证明文件</w:t>
      </w:r>
    </w:p>
    <w:p w14:paraId="4D9526DB">
      <w:pPr>
        <w:pStyle w:val="4"/>
        <w:rPr>
          <w:rFonts w:ascii="宋体" w:hAnsi="宋体"/>
          <w:szCs w:val="21"/>
          <w:highlight w:val="none"/>
        </w:rPr>
      </w:pPr>
      <w:r>
        <w:rPr>
          <w:rFonts w:hint="eastAsia" w:ascii="宋体" w:hAnsi="宋体"/>
          <w:b/>
          <w:szCs w:val="21"/>
          <w:highlight w:val="none"/>
        </w:rPr>
        <w:t>第三部分 技术文件</w:t>
      </w:r>
    </w:p>
    <w:p w14:paraId="39E8D14B">
      <w:pPr>
        <w:pStyle w:val="4"/>
        <w:ind w:firstLine="420" w:firstLineChars="200"/>
        <w:rPr>
          <w:highlight w:val="none"/>
        </w:rPr>
      </w:pPr>
      <w:r>
        <w:rPr>
          <w:rFonts w:hint="eastAsia"/>
          <w:highlight w:val="none"/>
        </w:rPr>
        <w:t>封面</w:t>
      </w:r>
    </w:p>
    <w:p w14:paraId="6ACE79EC">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十一、货物说明一览表</w:t>
      </w:r>
    </w:p>
    <w:p w14:paraId="1E66E30D">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十二、技术规格、参数响应、偏离表</w:t>
      </w:r>
    </w:p>
    <w:p w14:paraId="7BD7B1D3">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十三、投标货物符合招标文件规定的证明文件</w:t>
      </w:r>
    </w:p>
    <w:p w14:paraId="49C1C0B6">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12.2根据《政府采购法》第四十二条的规定，投标人无论中标与否，其投标文件不予退还。</w:t>
      </w:r>
    </w:p>
    <w:p w14:paraId="3D07B527">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13. 投标报价</w:t>
      </w:r>
    </w:p>
    <w:p w14:paraId="6C9705AA">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13.1投标人应以招标文件规定的供货及服务要求、责任范围和合同条件为基础，按第七章“投标文件的组成”的有关规定进行报价。投标人的报价应包括为完成本项目所要求的全部内容可能发生的全部费用和税费、规费、保险费（如果有）等，采购人将不再支付报价以外的任何费用。</w:t>
      </w:r>
    </w:p>
    <w:p w14:paraId="70999E6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asciiTheme="minorEastAsia" w:hAnsiTheme="minorEastAsia" w:eastAsiaTheme="minorEastAsia"/>
          <w:szCs w:val="21"/>
          <w:highlight w:val="none"/>
        </w:rPr>
        <w:t>1</w:t>
      </w:r>
      <w:r>
        <w:rPr>
          <w:rFonts w:hint="eastAsia" w:asciiTheme="minorEastAsia" w:hAnsiTheme="minorEastAsia" w:eastAsiaTheme="minorEastAsia"/>
          <w:szCs w:val="21"/>
          <w:highlight w:val="none"/>
        </w:rPr>
        <w:t>3</w:t>
      </w:r>
      <w:r>
        <w:rPr>
          <w:rFonts w:asciiTheme="minorEastAsia" w:hAnsiTheme="minorEastAsia" w:eastAsiaTheme="minorEastAsia"/>
          <w:szCs w:val="21"/>
          <w:highlight w:val="none"/>
        </w:rPr>
        <w:t>.</w:t>
      </w:r>
      <w:r>
        <w:rPr>
          <w:rFonts w:hint="eastAsia" w:asciiTheme="minorEastAsia" w:hAnsiTheme="minorEastAsia" w:eastAsiaTheme="minorEastAsia"/>
          <w:szCs w:val="21"/>
          <w:highlight w:val="none"/>
        </w:rPr>
        <w:t>2投标人的投标报价不得超过采购预算，也不得超过最高限价(如果设定)，否则其</w:t>
      </w:r>
      <w:r>
        <w:rPr>
          <w:rFonts w:hint="eastAsia" w:asciiTheme="minorEastAsia" w:hAnsiTheme="minorEastAsia" w:eastAsiaTheme="minorEastAsia"/>
          <w:b/>
          <w:szCs w:val="21"/>
          <w:highlight w:val="none"/>
        </w:rPr>
        <w:t>投标无效</w:t>
      </w:r>
      <w:r>
        <w:rPr>
          <w:rFonts w:hint="eastAsia" w:asciiTheme="minorEastAsia" w:hAnsiTheme="minorEastAsia" w:eastAsiaTheme="minorEastAsia"/>
          <w:szCs w:val="21"/>
          <w:highlight w:val="none"/>
        </w:rPr>
        <w:t>。采购项目预算、最高限价见</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w:t>
      </w:r>
    </w:p>
    <w:p w14:paraId="338E10B5">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szCs w:val="21"/>
          <w:highlight w:val="none"/>
        </w:rPr>
        <w:t>13.3 投标人应在分项报价明细表中对每项内容给予详细分项</w:t>
      </w:r>
      <w:r>
        <w:rPr>
          <w:rFonts w:hint="eastAsia" w:asciiTheme="minorEastAsia" w:hAnsiTheme="minorEastAsia" w:eastAsiaTheme="minorEastAsia"/>
          <w:highlight w:val="none"/>
        </w:rPr>
        <w:t>报价。</w:t>
      </w:r>
    </w:p>
    <w:p w14:paraId="062128D1">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13.4投标人对采购项目内容只允许有一个投标报价，否则其</w:t>
      </w:r>
      <w:r>
        <w:rPr>
          <w:rFonts w:hint="eastAsia" w:asciiTheme="minorEastAsia" w:hAnsiTheme="minorEastAsia" w:eastAsiaTheme="minorEastAsia"/>
          <w:b/>
          <w:highlight w:val="none"/>
        </w:rPr>
        <w:t>投标无效</w:t>
      </w:r>
      <w:r>
        <w:rPr>
          <w:rFonts w:hint="eastAsia" w:asciiTheme="minorEastAsia" w:hAnsiTheme="minorEastAsia" w:eastAsiaTheme="minorEastAsia"/>
          <w:highlight w:val="none"/>
        </w:rPr>
        <w:t>。</w:t>
      </w:r>
    </w:p>
    <w:p w14:paraId="296D1E15">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13.5采购人不接受投标人给予的赠品、回扣或者与采购无关的其他商品、服务。如有赠与行为，其</w:t>
      </w:r>
      <w:r>
        <w:rPr>
          <w:rFonts w:hint="eastAsia" w:asciiTheme="minorEastAsia" w:hAnsiTheme="minorEastAsia" w:eastAsiaTheme="minorEastAsia"/>
          <w:b/>
          <w:highlight w:val="none"/>
        </w:rPr>
        <w:t>投标无效</w:t>
      </w:r>
      <w:r>
        <w:rPr>
          <w:rFonts w:hint="eastAsia" w:asciiTheme="minorEastAsia" w:hAnsiTheme="minorEastAsia" w:eastAsiaTheme="minorEastAsia"/>
          <w:highlight w:val="none"/>
        </w:rPr>
        <w:t>。</w:t>
      </w:r>
    </w:p>
    <w:p w14:paraId="4AFE6D63">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13.6</w:t>
      </w:r>
      <w:r>
        <w:rPr>
          <w:rFonts w:hint="eastAsia" w:asciiTheme="minorEastAsia" w:hAnsiTheme="minorEastAsia" w:eastAsiaTheme="minorEastAsia"/>
          <w:highlight w:val="none"/>
        </w:rPr>
        <w:t>投标文件中标明的价格在合同执行过程中是固定不变的，不得以任何理由予以变更。任何包含价格调整要求和条件的投标，其</w:t>
      </w:r>
      <w:r>
        <w:rPr>
          <w:rFonts w:hint="eastAsia" w:asciiTheme="minorEastAsia" w:hAnsiTheme="minorEastAsia" w:eastAsiaTheme="minorEastAsia"/>
          <w:b/>
          <w:highlight w:val="none"/>
        </w:rPr>
        <w:t>投标无效</w:t>
      </w:r>
      <w:r>
        <w:rPr>
          <w:rFonts w:hint="eastAsia" w:asciiTheme="minorEastAsia" w:hAnsiTheme="minorEastAsia" w:eastAsiaTheme="minorEastAsia"/>
          <w:highlight w:val="none"/>
        </w:rPr>
        <w:t>。</w:t>
      </w:r>
    </w:p>
    <w:p w14:paraId="455E0FCD">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13.7投标人在投标截止时间前修改“开标一览表”中的投标报价的，应同时修改投标文件“分项报价明细表”“享受政府采购政策优惠的证明资料”以及“联合体协议书”（如果影响）等相关内容。此修改须符合本章第22款的有关要求。</w:t>
      </w:r>
    </w:p>
    <w:p w14:paraId="6A56B51A">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13.8投标报价的其他要求见</w:t>
      </w:r>
      <w:r>
        <w:rPr>
          <w:rFonts w:hint="eastAsia" w:asciiTheme="minorEastAsia" w:hAnsiTheme="minorEastAsia"/>
          <w:b/>
          <w:szCs w:val="21"/>
          <w:highlight w:val="none"/>
        </w:rPr>
        <w:t>【投标须知前附表】</w:t>
      </w:r>
      <w:r>
        <w:rPr>
          <w:rFonts w:hint="eastAsia" w:asciiTheme="minorEastAsia" w:hAnsiTheme="minorEastAsia" w:eastAsiaTheme="minorEastAsia"/>
          <w:highlight w:val="none"/>
        </w:rPr>
        <w:t>。</w:t>
      </w:r>
    </w:p>
    <w:p w14:paraId="24413B89">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sz w:val="24"/>
          <w:highlight w:val="none"/>
        </w:rPr>
        <w:t xml:space="preserve">14. </w:t>
      </w:r>
      <w:r>
        <w:rPr>
          <w:rFonts w:hint="eastAsia" w:asciiTheme="minorEastAsia" w:hAnsiTheme="minorEastAsia" w:eastAsiaTheme="minorEastAsia"/>
          <w:b/>
          <w:bCs/>
          <w:sz w:val="24"/>
          <w:highlight w:val="none"/>
        </w:rPr>
        <w:t>投标人的资格证明文件</w:t>
      </w:r>
    </w:p>
    <w:p w14:paraId="44ACFAC8">
      <w:pPr>
        <w:adjustRightInd w:val="0"/>
        <w:snapToGrid w:val="0"/>
        <w:spacing w:before="120" w:beforeLines="50" w:line="360" w:lineRule="auto"/>
        <w:ind w:firstLine="420" w:firstLineChars="200"/>
        <w:rPr>
          <w:rFonts w:asciiTheme="minorEastAsia" w:hAnsiTheme="minorEastAsia" w:eastAsiaTheme="minorEastAsia"/>
          <w:highlight w:val="none"/>
        </w:rPr>
      </w:pPr>
      <w:r>
        <w:rPr>
          <w:rFonts w:hint="eastAsia" w:asciiTheme="minorEastAsia" w:hAnsiTheme="minorEastAsia"/>
          <w:highlight w:val="none"/>
        </w:rPr>
        <w:t>14.1</w:t>
      </w:r>
      <w:r>
        <w:rPr>
          <w:rFonts w:hint="eastAsia" w:asciiTheme="minorEastAsia" w:hAnsiTheme="minorEastAsia" w:eastAsiaTheme="minorEastAsia"/>
          <w:szCs w:val="21"/>
          <w:highlight w:val="none"/>
        </w:rPr>
        <w:t>除</w:t>
      </w:r>
      <w:r>
        <w:rPr>
          <w:rFonts w:hint="eastAsia" w:asciiTheme="minorEastAsia" w:hAnsiTheme="minorEastAsia"/>
          <w:b/>
          <w:szCs w:val="21"/>
          <w:highlight w:val="none"/>
        </w:rPr>
        <w:t>【投标须知前附表】</w:t>
      </w:r>
      <w:r>
        <w:rPr>
          <w:rFonts w:hint="eastAsia" w:asciiTheme="minorEastAsia" w:hAnsiTheme="minorEastAsia" w:eastAsiaTheme="minorEastAsia"/>
          <w:szCs w:val="21"/>
          <w:highlight w:val="none"/>
        </w:rPr>
        <w:t>另有规</w:t>
      </w:r>
      <w:r>
        <w:rPr>
          <w:rFonts w:hint="eastAsia" w:asciiTheme="minorEastAsia" w:hAnsiTheme="minorEastAsia" w:eastAsiaTheme="minorEastAsia"/>
          <w:highlight w:val="none"/>
        </w:rPr>
        <w:t>定外，投标人应按下列规定提供资格证明文件。</w:t>
      </w:r>
    </w:p>
    <w:p w14:paraId="2E2913AB">
      <w:pPr>
        <w:adjustRightInd w:val="0"/>
        <w:snapToGrid w:val="0"/>
        <w:spacing w:before="120" w:beforeLines="50" w:line="360" w:lineRule="auto"/>
        <w:ind w:firstLine="420" w:firstLineChars="200"/>
        <w:rPr>
          <w:rFonts w:asciiTheme="minorEastAsia" w:hAnsiTheme="minorEastAsia"/>
          <w:highlight w:val="none"/>
        </w:rPr>
      </w:pPr>
      <w:r>
        <w:rPr>
          <w:rFonts w:hint="eastAsia" w:asciiTheme="minorEastAsia" w:hAnsiTheme="minorEastAsia"/>
          <w:highlight w:val="none"/>
        </w:rPr>
        <w:t>（1）</w:t>
      </w:r>
      <w:r>
        <w:rPr>
          <w:rFonts w:hint="eastAsia" w:asciiTheme="minorEastAsia" w:hAnsiTheme="minorEastAsia"/>
          <w:b/>
          <w:highlight w:val="none"/>
        </w:rPr>
        <w:t>法人或者其他组织的营业执照等主体资格证明文件，自然人的身份证明</w:t>
      </w:r>
      <w:r>
        <w:rPr>
          <w:rFonts w:hint="eastAsia" w:asciiTheme="minorEastAsia" w:hAnsiTheme="minorEastAsia"/>
          <w:highlight w:val="none"/>
        </w:rPr>
        <w:t>：投标人为法人的，应提交营业执照或法人登记证书的复印件；投标人为非法人组织的，应提交依法登记证书复印件；投标人为个体工商户的，应提交个体工商户营业执照复印件；投标人为自然人的，应提交自然人的身份证明复印件。</w:t>
      </w:r>
    </w:p>
    <w:p w14:paraId="2E723F0F">
      <w:pPr>
        <w:adjustRightInd w:val="0"/>
        <w:snapToGrid w:val="0"/>
        <w:spacing w:before="120" w:beforeLines="50" w:line="360" w:lineRule="auto"/>
        <w:ind w:firstLine="420" w:firstLineChars="200"/>
        <w:rPr>
          <w:rFonts w:asciiTheme="minorEastAsia" w:hAnsiTheme="minorEastAsia"/>
          <w:highlight w:val="none"/>
        </w:rPr>
      </w:pPr>
      <w:r>
        <w:rPr>
          <w:rFonts w:hint="eastAsia" w:asciiTheme="minorEastAsia" w:hAnsiTheme="minorEastAsia"/>
          <w:highlight w:val="none"/>
        </w:rPr>
        <w:t>（2）</w:t>
      </w:r>
      <w:r>
        <w:rPr>
          <w:rFonts w:hint="eastAsia" w:asciiTheme="minorEastAsia" w:hAnsiTheme="minorEastAsia" w:eastAsiaTheme="minorEastAsia"/>
          <w:b/>
          <w:highlight w:val="none"/>
        </w:rPr>
        <w:t>湖南省政府采购供应商资格承诺函(格式)</w:t>
      </w:r>
    </w:p>
    <w:p w14:paraId="3E980A3B">
      <w:pPr>
        <w:adjustRightInd w:val="0"/>
        <w:snapToGrid w:val="0"/>
        <w:spacing w:before="120" w:beforeLines="50" w:line="360" w:lineRule="auto"/>
        <w:ind w:firstLine="420" w:firstLineChars="200"/>
        <w:rPr>
          <w:rFonts w:asciiTheme="minorEastAsia" w:hAnsiTheme="minorEastAsia"/>
          <w:szCs w:val="21"/>
          <w:highlight w:val="none"/>
        </w:rPr>
      </w:pPr>
      <w:r>
        <w:rPr>
          <w:rFonts w:hint="eastAsia" w:asciiTheme="minorEastAsia" w:hAnsiTheme="minorEastAsia"/>
          <w:highlight w:val="none"/>
        </w:rPr>
        <w:t>（3）</w:t>
      </w:r>
      <w:r>
        <w:rPr>
          <w:rFonts w:hint="eastAsia" w:asciiTheme="minorEastAsia" w:hAnsiTheme="minorEastAsia"/>
          <w:b/>
          <w:highlight w:val="none"/>
        </w:rPr>
        <w:t>符合特定资格条件证明材料复印件或者情况说明原件</w:t>
      </w:r>
      <w:r>
        <w:rPr>
          <w:rFonts w:hint="eastAsia" w:asciiTheme="minorEastAsia" w:hAnsiTheme="minorEastAsia"/>
          <w:highlight w:val="none"/>
        </w:rPr>
        <w:t>。</w:t>
      </w:r>
      <w:r>
        <w:rPr>
          <w:rFonts w:hint="eastAsia" w:asciiTheme="minorEastAsia" w:hAnsiTheme="minorEastAsia"/>
          <w:szCs w:val="21"/>
          <w:highlight w:val="none"/>
        </w:rPr>
        <w:t>具体要求见</w:t>
      </w:r>
      <w:r>
        <w:rPr>
          <w:rFonts w:hint="eastAsia" w:asciiTheme="minorEastAsia" w:hAnsiTheme="minorEastAsia"/>
          <w:b/>
          <w:szCs w:val="21"/>
          <w:highlight w:val="none"/>
        </w:rPr>
        <w:t>【投标须知前附表】</w:t>
      </w:r>
      <w:r>
        <w:rPr>
          <w:rFonts w:hint="eastAsia" w:asciiTheme="minorEastAsia" w:hAnsiTheme="minorEastAsia"/>
          <w:szCs w:val="21"/>
          <w:highlight w:val="none"/>
        </w:rPr>
        <w:t>。</w:t>
      </w:r>
    </w:p>
    <w:p w14:paraId="7AB418ED">
      <w:pPr>
        <w:adjustRightInd w:val="0"/>
        <w:snapToGrid w:val="0"/>
        <w:spacing w:before="120" w:beforeLines="50" w:line="360" w:lineRule="auto"/>
        <w:ind w:firstLine="420" w:firstLineChars="200"/>
        <w:rPr>
          <w:rFonts w:asciiTheme="minorEastAsia" w:hAnsiTheme="minorEastAsia"/>
          <w:highlight w:val="none"/>
        </w:rPr>
      </w:pPr>
      <w:r>
        <w:rPr>
          <w:rFonts w:hint="eastAsia" w:asciiTheme="minorEastAsia" w:hAnsiTheme="minorEastAsia"/>
          <w:highlight w:val="none"/>
        </w:rPr>
        <w:t>14.2投标人以联合体形式投标的，除应提交联合协议(格式)外，参加联合体的各方均应提交上款资格证明材料。</w:t>
      </w:r>
    </w:p>
    <w:p w14:paraId="3F0A7605">
      <w:pPr>
        <w:adjustRightInd w:val="0"/>
        <w:snapToGrid w:val="0"/>
        <w:spacing w:before="120" w:beforeLines="50" w:line="360" w:lineRule="auto"/>
        <w:ind w:firstLine="420" w:firstLineChars="200"/>
        <w:rPr>
          <w:rFonts w:asciiTheme="minorEastAsia" w:hAnsiTheme="minorEastAsia"/>
          <w:highlight w:val="none"/>
        </w:rPr>
      </w:pPr>
      <w:r>
        <w:rPr>
          <w:rFonts w:hint="eastAsia" w:asciiTheme="minorEastAsia" w:hAnsiTheme="minorEastAsia"/>
          <w:highlight w:val="none"/>
        </w:rPr>
        <w:t>14.3投标人的资格证明文件均应为有效文件并加盖投标人单位章，并按招标文件规定签署。</w:t>
      </w:r>
    </w:p>
    <w:p w14:paraId="68787399">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15. 投标货物及服务符合招标文件规定的证明文件</w:t>
      </w:r>
    </w:p>
    <w:p w14:paraId="1899598A">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15.1投标人应当提交其拟供的合同项下货物及其服务符合招标文件规定的证明文件,该证明文件作为投标文件的一部分。</w:t>
      </w:r>
    </w:p>
    <w:p w14:paraId="15E7E0D0">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15.2上述证明文件可以是文字资料、图表、数据、证书等资料，包括但不限于：</w:t>
      </w:r>
    </w:p>
    <w:p w14:paraId="54C08D20">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（1）货物主要技术指标和性能的详细说明。对有具体参数要求的指标，投标人应提供具体参数值；</w:t>
      </w:r>
    </w:p>
    <w:p w14:paraId="6165BD0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（2）货物的品牌型号、制造商及原产地等说明；</w:t>
      </w:r>
    </w:p>
    <w:p w14:paraId="51A06FE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（3）招标文件第五章“采购需求”要求的其它文件。</w:t>
      </w:r>
    </w:p>
    <w:p w14:paraId="622F8E96">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16. 投标有效期</w:t>
      </w:r>
    </w:p>
    <w:p w14:paraId="6915A935">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16.1投标有效期从提交投标文件的截止之日起算。投标文件中承诺的投标有效期应当不少于</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中载明的投标有效期。投标有效期不满足要求的，其</w:t>
      </w:r>
      <w:r>
        <w:rPr>
          <w:rFonts w:hint="eastAsia" w:asciiTheme="minorEastAsia" w:hAnsiTheme="minorEastAsia" w:eastAsiaTheme="minorEastAsia"/>
          <w:b/>
          <w:szCs w:val="21"/>
          <w:highlight w:val="none"/>
        </w:rPr>
        <w:t>投标无效</w:t>
      </w:r>
      <w:r>
        <w:rPr>
          <w:rFonts w:hint="eastAsia" w:asciiTheme="minorEastAsia" w:hAnsiTheme="minorEastAsia" w:eastAsiaTheme="minorEastAsia"/>
          <w:szCs w:val="21"/>
          <w:highlight w:val="none"/>
        </w:rPr>
        <w:t>。</w:t>
      </w:r>
    </w:p>
    <w:p w14:paraId="1976B11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16.2投标有效期内投标人撤销投标文件的，投标人应承担招标文件和法律规定的责任。</w:t>
      </w:r>
    </w:p>
    <w:p w14:paraId="7F835A66">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17. 投标保证金</w:t>
      </w:r>
    </w:p>
    <w:p w14:paraId="26F33F6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17.1</w:t>
      </w:r>
      <w:r>
        <w:rPr>
          <w:rFonts w:hint="eastAsia" w:asciiTheme="minorEastAsia" w:hAnsiTheme="minorEastAsia" w:eastAsiaTheme="minorEastAsia"/>
          <w:bCs/>
          <w:szCs w:val="21"/>
          <w:highlight w:val="none"/>
        </w:rPr>
        <w:t>投标人</w:t>
      </w:r>
      <w:r>
        <w:rPr>
          <w:rFonts w:hint="eastAsia" w:asciiTheme="minorEastAsia" w:hAnsiTheme="minorEastAsia" w:eastAsiaTheme="minorEastAsia"/>
          <w:szCs w:val="21"/>
          <w:highlight w:val="none"/>
        </w:rPr>
        <w:t>应按</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w:t>
      </w:r>
      <w:r>
        <w:rPr>
          <w:rFonts w:hint="eastAsia" w:asciiTheme="minorEastAsia" w:hAnsiTheme="minorEastAsia" w:eastAsiaTheme="minorEastAsia"/>
          <w:bCs/>
          <w:szCs w:val="21"/>
          <w:highlight w:val="none"/>
        </w:rPr>
        <w:t>提交相关资料</w:t>
      </w:r>
      <w:r>
        <w:rPr>
          <w:rFonts w:hint="eastAsia" w:asciiTheme="minorEastAsia" w:hAnsiTheme="minorEastAsia" w:eastAsiaTheme="minorEastAsia"/>
          <w:szCs w:val="21"/>
          <w:highlight w:val="none"/>
        </w:rPr>
        <w:t>。</w:t>
      </w:r>
    </w:p>
    <w:p w14:paraId="43FD0820">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17.2联合体投标的，可以由联合体中的一方或者共同提交相关资料，对联合体各方均具有约束力。</w:t>
      </w:r>
    </w:p>
    <w:p w14:paraId="1059EA45">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sz w:val="24"/>
          <w:highlight w:val="none"/>
        </w:rPr>
        <w:t>18.分包</w:t>
      </w:r>
    </w:p>
    <w:p w14:paraId="003B6E3B">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18.1投标人拟在中标后将中</w:t>
      </w:r>
      <w:r>
        <w:rPr>
          <w:rFonts w:hint="eastAsia" w:asciiTheme="minorEastAsia" w:hAnsiTheme="minorEastAsia" w:eastAsiaTheme="minorEastAsia"/>
          <w:szCs w:val="21"/>
          <w:highlight w:val="none"/>
        </w:rPr>
        <w:t>标项目的非主体、非关键性工作进行分包的，应符合</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规定的分包内容、分包金</w:t>
      </w:r>
      <w:r>
        <w:rPr>
          <w:rFonts w:hint="eastAsia" w:asciiTheme="minorEastAsia" w:hAnsiTheme="minorEastAsia" w:eastAsiaTheme="minorEastAsia"/>
          <w:highlight w:val="none"/>
        </w:rPr>
        <w:t>额和资质要求等限制性条件，并在投标文件中载明分包承担主体，且分包承担主体不得再次分包。</w:t>
      </w:r>
    </w:p>
    <w:p w14:paraId="3508D655">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18.2中标人应当就分包项目向采购人负责，分包承担主体就分包项目承担连带责任。</w:t>
      </w:r>
    </w:p>
    <w:p w14:paraId="4B9C96C6">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18.3不符合招标文件中有关分包规定的，其</w:t>
      </w:r>
      <w:r>
        <w:rPr>
          <w:rFonts w:hint="eastAsia" w:asciiTheme="minorEastAsia" w:hAnsiTheme="minorEastAsia" w:eastAsiaTheme="minorEastAsia"/>
          <w:b/>
          <w:highlight w:val="none"/>
        </w:rPr>
        <w:t>投标无效</w:t>
      </w:r>
      <w:r>
        <w:rPr>
          <w:rFonts w:hint="eastAsia" w:asciiTheme="minorEastAsia" w:hAnsiTheme="minorEastAsia" w:eastAsiaTheme="minorEastAsia"/>
          <w:highlight w:val="none"/>
        </w:rPr>
        <w:t>。</w:t>
      </w:r>
    </w:p>
    <w:p w14:paraId="7283B57F">
      <w:pPr>
        <w:numPr>
          <w:ilvl w:val="0"/>
          <w:numId w:val="3"/>
        </w:num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投标文件的组成</w:t>
      </w:r>
    </w:p>
    <w:p w14:paraId="67A904D3">
      <w:pPr>
        <w:pStyle w:val="69"/>
        <w:ind w:firstLine="0" w:firstLineChars="0"/>
        <w:rPr>
          <w:highlight w:val="none"/>
        </w:rPr>
      </w:pPr>
      <w:r>
        <w:rPr>
          <w:rFonts w:hint="eastAsia"/>
          <w:highlight w:val="none"/>
        </w:rPr>
        <w:t>19.1电子投标文件的编制</w:t>
      </w:r>
    </w:p>
    <w:p w14:paraId="039B3D89">
      <w:pPr>
        <w:spacing w:line="400" w:lineRule="atLeast"/>
        <w:ind w:firstLine="420"/>
        <w:rPr>
          <w:rFonts w:ascii="宋体" w:hAnsi="宋体"/>
          <w:szCs w:val="21"/>
          <w:highlight w:val="none"/>
        </w:rPr>
      </w:pPr>
      <w:r>
        <w:rPr>
          <w:rFonts w:hint="eastAsia" w:ascii="宋体" w:hAnsi="宋体"/>
          <w:szCs w:val="21"/>
          <w:highlight w:val="none"/>
        </w:rPr>
        <w:t>19.1.1电子投标文件制作时，应按照统一的“电子投标文件制作工具”和招标文件中明确的投标文件目录和投标技术要求及相关要求格式进行编制，保证目录清晰、内容完整。</w:t>
      </w:r>
    </w:p>
    <w:p w14:paraId="6ACC4DDA">
      <w:pPr>
        <w:spacing w:line="400" w:lineRule="atLeast"/>
        <w:ind w:firstLine="420"/>
        <w:rPr>
          <w:rFonts w:ascii="宋体" w:hAnsi="宋体"/>
          <w:szCs w:val="21"/>
          <w:highlight w:val="none"/>
        </w:rPr>
      </w:pPr>
      <w:r>
        <w:rPr>
          <w:rFonts w:hint="eastAsia" w:ascii="宋体" w:hAnsi="宋体"/>
          <w:szCs w:val="21"/>
          <w:highlight w:val="none"/>
        </w:rPr>
        <w:t>19.1.2</w:t>
      </w:r>
      <w:r>
        <w:rPr>
          <w:rFonts w:hint="eastAsia" w:ascii="宋体" w:hAnsi="宋体"/>
          <w:b/>
          <w:bCs/>
          <w:color w:val="FF0000"/>
          <w:szCs w:val="21"/>
          <w:highlight w:val="none"/>
        </w:rPr>
        <w:t>网上提交的电子投标文件须进行加密。</w:t>
      </w:r>
      <w:r>
        <w:rPr>
          <w:rFonts w:hint="eastAsia" w:ascii="宋体" w:hAnsi="宋体"/>
          <w:szCs w:val="21"/>
          <w:highlight w:val="none"/>
        </w:rPr>
        <w:t xml:space="preserve"> </w:t>
      </w:r>
    </w:p>
    <w:p w14:paraId="22EBE056">
      <w:pPr>
        <w:spacing w:line="400" w:lineRule="atLeast"/>
        <w:ind w:firstLine="420"/>
        <w:rPr>
          <w:rFonts w:ascii="宋体" w:hAnsi="宋体"/>
          <w:szCs w:val="21"/>
          <w:highlight w:val="none"/>
        </w:rPr>
      </w:pPr>
      <w:r>
        <w:rPr>
          <w:rFonts w:hint="eastAsia" w:ascii="宋体" w:hAnsi="宋体"/>
          <w:szCs w:val="21"/>
          <w:highlight w:val="none"/>
        </w:rPr>
        <w:t xml:space="preserve">19.1.3投标人因自身原因导致电子投标文件无法导入电子评标系统的，该投标文件视为无效投标文件。 </w:t>
      </w:r>
    </w:p>
    <w:p w14:paraId="4636EF82">
      <w:pPr>
        <w:spacing w:line="400" w:lineRule="atLeast"/>
        <w:ind w:firstLine="420"/>
        <w:rPr>
          <w:rFonts w:ascii="宋体" w:hAnsi="宋体"/>
          <w:szCs w:val="21"/>
          <w:highlight w:val="none"/>
        </w:rPr>
      </w:pPr>
      <w:r>
        <w:rPr>
          <w:rFonts w:hint="eastAsia" w:ascii="宋体" w:hAnsi="宋体"/>
          <w:szCs w:val="21"/>
          <w:highlight w:val="none"/>
        </w:rPr>
        <w:t xml:space="preserve">19.1.4电子招投标文件具有法律效力，若投标文件与招标文件要求不一致，其内容影响中标结果时，责任由投标人自行承担。 </w:t>
      </w:r>
    </w:p>
    <w:p w14:paraId="670F90AE">
      <w:pPr>
        <w:spacing w:line="400" w:lineRule="atLeast"/>
        <w:ind w:firstLine="420"/>
        <w:rPr>
          <w:rFonts w:ascii="宋体" w:hAnsi="宋体"/>
          <w:szCs w:val="21"/>
          <w:highlight w:val="none"/>
        </w:rPr>
      </w:pPr>
      <w:r>
        <w:rPr>
          <w:rFonts w:hint="eastAsia" w:ascii="宋体" w:hAnsi="宋体"/>
          <w:szCs w:val="21"/>
          <w:highlight w:val="none"/>
        </w:rPr>
        <w:t>19.1.5为了保证电子标书的合法性、安全性和完整性，电子标书转换完成后，</w:t>
      </w:r>
      <w:r>
        <w:rPr>
          <w:rFonts w:hint="eastAsia" w:ascii="宋体" w:hAnsi="宋体"/>
          <w:b/>
          <w:bCs/>
          <w:color w:val="FF0000"/>
          <w:szCs w:val="21"/>
          <w:highlight w:val="none"/>
        </w:rPr>
        <w:t>应在规定区域加盖单位和法定代表人或授权代表CA印章</w:t>
      </w:r>
      <w:r>
        <w:rPr>
          <w:rFonts w:hint="eastAsia" w:ascii="宋体" w:hAnsi="宋体"/>
          <w:szCs w:val="21"/>
          <w:highlight w:val="none"/>
        </w:rPr>
        <w:t>。电子投标文件若无 CA电子签章，则视为无效文件。</w:t>
      </w:r>
    </w:p>
    <w:p w14:paraId="0544E6A7">
      <w:pPr>
        <w:spacing w:line="400" w:lineRule="atLeast"/>
        <w:ind w:firstLine="420"/>
        <w:rPr>
          <w:rFonts w:ascii="宋体" w:hAnsi="宋体"/>
          <w:szCs w:val="21"/>
          <w:highlight w:val="none"/>
        </w:rPr>
      </w:pPr>
      <w:r>
        <w:rPr>
          <w:rFonts w:hint="eastAsia" w:ascii="宋体" w:hAnsi="宋体"/>
          <w:szCs w:val="21"/>
          <w:highlight w:val="none"/>
        </w:rPr>
        <w:t xml:space="preserve">19.1.6投标人应完整地填写招标文件中提供的《投标函》、《开标一览表》等招标文件中规定的所有内容。 </w:t>
      </w:r>
    </w:p>
    <w:p w14:paraId="73588E1C">
      <w:pPr>
        <w:spacing w:line="400" w:lineRule="atLeast"/>
        <w:ind w:firstLine="420"/>
        <w:rPr>
          <w:rFonts w:ascii="宋体" w:hAnsi="宋体"/>
          <w:szCs w:val="21"/>
          <w:highlight w:val="none"/>
        </w:rPr>
      </w:pPr>
      <w:r>
        <w:rPr>
          <w:rFonts w:hint="eastAsia" w:ascii="宋体" w:hAnsi="宋体"/>
          <w:szCs w:val="21"/>
          <w:highlight w:val="none"/>
        </w:rPr>
        <w:t>19.1.7投标人必须保证投标文件所提供的全部资料真实可靠，并接受招标采购单位对其中任何资料进一步核实的要求。</w:t>
      </w:r>
    </w:p>
    <w:p w14:paraId="33CF4C65">
      <w:pPr>
        <w:pStyle w:val="69"/>
        <w:ind w:firstLine="0" w:firstLineChars="0"/>
        <w:rPr>
          <w:highlight w:val="none"/>
        </w:rPr>
      </w:pPr>
    </w:p>
    <w:p w14:paraId="6BC2132F">
      <w:pPr>
        <w:pStyle w:val="69"/>
        <w:ind w:firstLine="0" w:firstLineChars="0"/>
        <w:rPr>
          <w:highlight w:val="none"/>
        </w:rPr>
      </w:pPr>
      <w:r>
        <w:rPr>
          <w:rFonts w:hint="eastAsia"/>
          <w:highlight w:val="none"/>
        </w:rPr>
        <w:t>19.2投标文件的组成</w:t>
      </w:r>
    </w:p>
    <w:p w14:paraId="306C9439">
      <w:pPr>
        <w:spacing w:line="400" w:lineRule="atLeast"/>
        <w:ind w:firstLine="420"/>
        <w:rPr>
          <w:rFonts w:ascii="宋体" w:hAnsi="宋体" w:cs="宋体"/>
          <w:szCs w:val="21"/>
          <w:highlight w:val="none"/>
        </w:rPr>
      </w:pPr>
      <w:r>
        <w:rPr>
          <w:rFonts w:hint="eastAsia" w:ascii="宋体" w:hAnsi="宋体" w:cs="宋体"/>
          <w:szCs w:val="21"/>
          <w:highlight w:val="none"/>
        </w:rPr>
        <w:t>投标文件由资格证明文件、商务文件、技术文件三部分组成，具体格式和内容见第七章。</w:t>
      </w:r>
    </w:p>
    <w:p w14:paraId="6CB1F8BB">
      <w:pPr>
        <w:pStyle w:val="4"/>
        <w:rPr>
          <w:highlight w:val="none"/>
        </w:rPr>
      </w:pPr>
    </w:p>
    <w:p w14:paraId="4424A971">
      <w:pPr>
        <w:pStyle w:val="69"/>
        <w:ind w:firstLine="0" w:firstLineChars="0"/>
        <w:rPr>
          <w:highlight w:val="none"/>
        </w:rPr>
      </w:pPr>
    </w:p>
    <w:p w14:paraId="0721EDDB">
      <w:pPr>
        <w:pStyle w:val="5"/>
        <w:keepNext w:val="0"/>
        <w:keepLines w:val="0"/>
        <w:adjustRightInd w:val="0"/>
        <w:snapToGrid w:val="0"/>
        <w:spacing w:before="120" w:beforeLines="50" w:after="0" w:line="360" w:lineRule="auto"/>
        <w:jc w:val="center"/>
        <w:rPr>
          <w:rFonts w:ascii="黑体" w:hAnsi="黑体" w:eastAsia="黑体"/>
          <w:sz w:val="28"/>
          <w:szCs w:val="28"/>
          <w:highlight w:val="none"/>
        </w:rPr>
      </w:pPr>
      <w:bookmarkStart w:id="24" w:name="_Toc22689"/>
      <w:bookmarkStart w:id="25" w:name="_Toc20483"/>
      <w:r>
        <w:rPr>
          <w:rFonts w:hint="eastAsia" w:ascii="黑体" w:hAnsi="黑体" w:eastAsia="黑体"/>
          <w:sz w:val="28"/>
          <w:szCs w:val="28"/>
          <w:highlight w:val="none"/>
        </w:rPr>
        <w:t>四、投标</w:t>
      </w:r>
      <w:bookmarkEnd w:id="24"/>
      <w:bookmarkEnd w:id="25"/>
    </w:p>
    <w:p w14:paraId="6F7CF52C">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sz w:val="24"/>
          <w:highlight w:val="none"/>
        </w:rPr>
        <w:t>20.</w:t>
      </w:r>
      <w:r>
        <w:rPr>
          <w:rFonts w:hint="eastAsia" w:asciiTheme="minorEastAsia" w:hAnsiTheme="minorEastAsia" w:eastAsiaTheme="minorEastAsia"/>
          <w:b/>
          <w:bCs/>
          <w:sz w:val="24"/>
          <w:highlight w:val="none"/>
        </w:rPr>
        <w:t xml:space="preserve"> 投标文件的加密和递交</w:t>
      </w:r>
    </w:p>
    <w:p w14:paraId="65C4B9A1">
      <w:pPr>
        <w:spacing w:line="400" w:lineRule="atLeast"/>
        <w:ind w:firstLine="413"/>
        <w:rPr>
          <w:rFonts w:asciiTheme="minorEastAsia" w:hAnsiTheme="minorEastAsia"/>
          <w:szCs w:val="21"/>
          <w:highlight w:val="none"/>
        </w:rPr>
      </w:pPr>
      <w:r>
        <w:rPr>
          <w:rFonts w:hint="eastAsia" w:asciiTheme="minorEastAsia" w:hAnsiTheme="minorEastAsia" w:eastAsiaTheme="minorEastAsia"/>
          <w:szCs w:val="21"/>
          <w:highlight w:val="none"/>
        </w:rPr>
        <w:t>20.1</w:t>
      </w:r>
      <w:r>
        <w:rPr>
          <w:rFonts w:hint="eastAsia" w:ascii="宋体" w:hAnsi="宋体"/>
          <w:szCs w:val="21"/>
          <w:highlight w:val="none"/>
        </w:rPr>
        <w:t>电子投标文件的内容通过数字证书进行加密并签章。未按要求加密和数字证书认证的投标文件，电子开标软件将无法接受, 招标采购单位不予受理。</w:t>
      </w:r>
    </w:p>
    <w:p w14:paraId="14C05C8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20</w:t>
      </w:r>
      <w:r>
        <w:rPr>
          <w:rFonts w:asciiTheme="minorEastAsia" w:hAnsiTheme="minorEastAsia" w:eastAsiaTheme="minorEastAsia"/>
          <w:szCs w:val="21"/>
          <w:highlight w:val="none"/>
        </w:rPr>
        <w:t>.2</w:t>
      </w:r>
      <w:r>
        <w:rPr>
          <w:rFonts w:hint="eastAsia" w:ascii="宋体" w:hAnsi="宋体"/>
          <w:szCs w:val="21"/>
          <w:highlight w:val="none"/>
        </w:rPr>
        <w:t>由于对网上招标操作不熟悉或自身电脑、网络的原因导致不能在投标截止时间之前上传投标文件，邵阳市市公共资源交易中心不负任何责任。建议于开标前1个工作日完成投标文件的制作与上传。</w:t>
      </w:r>
    </w:p>
    <w:p w14:paraId="1C772C44">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21. 投标截止期</w:t>
      </w:r>
    </w:p>
    <w:p w14:paraId="1E467EC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21.1投标人应在</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规定的投标截止时间前将投标文件</w:t>
      </w:r>
      <w:r>
        <w:rPr>
          <w:rFonts w:hint="eastAsia" w:asciiTheme="minorEastAsia" w:hAnsiTheme="minorEastAsia" w:eastAsiaTheme="minorEastAsia"/>
          <w:bCs/>
          <w:szCs w:val="21"/>
          <w:highlight w:val="none"/>
        </w:rPr>
        <w:t>加密上传</w:t>
      </w:r>
      <w:r>
        <w:rPr>
          <w:rFonts w:hint="eastAsia" w:asciiTheme="minorEastAsia" w:hAnsiTheme="minorEastAsia" w:eastAsiaTheme="minorEastAsia"/>
          <w:szCs w:val="21"/>
          <w:highlight w:val="none"/>
        </w:rPr>
        <w:t>。</w:t>
      </w:r>
    </w:p>
    <w:p w14:paraId="7F078836">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21.2</w:t>
      </w:r>
      <w:r>
        <w:rPr>
          <w:rFonts w:hint="eastAsia" w:ascii="宋体" w:hAnsi="宋体"/>
          <w:szCs w:val="21"/>
          <w:highlight w:val="none"/>
        </w:rPr>
        <w:t>投标人应在招标文件规定的投标截止时间前将电子投标文件上传到指定网站的指定栏目。未在投标截止时间前完成上传的电子投标文件视为逾期送达。逾期上传或未按规定方式上传的电子投标文件，采购单位不予受理。</w:t>
      </w:r>
    </w:p>
    <w:p w14:paraId="2EA71434">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22. 投标文件的修改和撤回</w:t>
      </w:r>
    </w:p>
    <w:p w14:paraId="66AC61BC">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宋体" w:hAnsi="宋体"/>
          <w:szCs w:val="21"/>
          <w:highlight w:val="none"/>
        </w:rPr>
        <w:t>投标人在招标文件规定的投标截止时间前，可以撤回已上传的投标文件。如要修改，必须在撤回并修改后在规定的投标截止时间之前将修改后的投标文件再重新上传。在投标截止时间之后，投标人不得对其投标文件撤销或修改</w:t>
      </w:r>
      <w:r>
        <w:rPr>
          <w:rFonts w:hint="eastAsia" w:asciiTheme="minorEastAsia" w:hAnsiTheme="minorEastAsia" w:eastAsiaTheme="minorEastAsia"/>
          <w:szCs w:val="21"/>
          <w:highlight w:val="none"/>
        </w:rPr>
        <w:t>。</w:t>
      </w:r>
    </w:p>
    <w:p w14:paraId="1CEF946C">
      <w:pPr>
        <w:adjustRightInd w:val="0"/>
        <w:snapToGrid w:val="0"/>
        <w:spacing w:before="120" w:beforeLines="50" w:line="360" w:lineRule="auto"/>
        <w:jc w:val="left"/>
        <w:rPr>
          <w:rFonts w:cs="Arial" w:asciiTheme="minorEastAsia" w:hAnsiTheme="minorEastAsia" w:eastAsiaTheme="minorEastAsia"/>
          <w:b/>
          <w:sz w:val="24"/>
          <w:highlight w:val="none"/>
        </w:rPr>
      </w:pPr>
      <w:r>
        <w:rPr>
          <w:rFonts w:hint="eastAsia" w:asciiTheme="minorEastAsia" w:hAnsiTheme="minorEastAsia" w:eastAsiaTheme="minorEastAsia"/>
          <w:b/>
          <w:bCs/>
          <w:sz w:val="24"/>
          <w:highlight w:val="none"/>
        </w:rPr>
        <w:t>23.</w:t>
      </w:r>
      <w:r>
        <w:rPr>
          <w:rFonts w:hint="eastAsia" w:cs="Arial" w:asciiTheme="minorEastAsia" w:hAnsiTheme="minorEastAsia" w:eastAsiaTheme="minorEastAsia"/>
          <w:b/>
          <w:sz w:val="24"/>
          <w:highlight w:val="none"/>
        </w:rPr>
        <w:t xml:space="preserve"> 串通</w:t>
      </w:r>
      <w:r>
        <w:rPr>
          <w:rFonts w:hint="eastAsia" w:asciiTheme="minorEastAsia" w:hAnsiTheme="minorEastAsia" w:eastAsiaTheme="minorEastAsia"/>
          <w:b/>
          <w:sz w:val="24"/>
          <w:highlight w:val="none"/>
        </w:rPr>
        <w:t>投标行为</w:t>
      </w:r>
    </w:p>
    <w:p w14:paraId="7C1E01BF">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23.1有下列情形之一的，属于恶意串通，对投标人依照政府采购法第七十七条第一款的规定追究法律责任：</w:t>
      </w:r>
    </w:p>
    <w:p w14:paraId="094ECEB0">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（1）投标人直接或者间接从采购人或者采购代理机构处获得其他投标人的相关情况并修改其投标文件；</w:t>
      </w:r>
    </w:p>
    <w:p w14:paraId="13DBA1F3">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（2）投标人按照采购人或者采购代理机构的授意撤换、修改投标文件；</w:t>
      </w:r>
    </w:p>
    <w:p w14:paraId="05C6F1E2">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（3）投标人之间协商报价、技术方案等投标文件的实质性内容；</w:t>
      </w:r>
    </w:p>
    <w:p w14:paraId="255E335A">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（4）属于同一集团、协会、商会等组织成员的投标人按照该组织要求协同参加政府采购活动；</w:t>
      </w:r>
    </w:p>
    <w:p w14:paraId="6CE55480">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（5）投标人之间事先约定由某一特定投标人中标；</w:t>
      </w:r>
    </w:p>
    <w:p w14:paraId="065EE140">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（6）投标人之间商定部分投标人放弃参加政府采购活动或者放弃中标；</w:t>
      </w:r>
    </w:p>
    <w:p w14:paraId="720CB2E5">
      <w:pPr>
        <w:adjustRightInd w:val="0"/>
        <w:snapToGrid w:val="0"/>
        <w:spacing w:before="120" w:beforeLines="50" w:line="360" w:lineRule="auto"/>
        <w:ind w:firstLine="396" w:firstLineChars="200"/>
        <w:jc w:val="left"/>
        <w:rPr>
          <w:rFonts w:asciiTheme="minorEastAsia" w:hAnsiTheme="minorEastAsia" w:eastAsiaTheme="minorEastAsia"/>
          <w:spacing w:val="-6"/>
          <w:szCs w:val="21"/>
          <w:highlight w:val="none"/>
        </w:rPr>
      </w:pPr>
      <w:r>
        <w:rPr>
          <w:rFonts w:hint="eastAsia" w:asciiTheme="minorEastAsia" w:hAnsiTheme="minorEastAsia" w:eastAsiaTheme="minorEastAsia"/>
          <w:spacing w:val="-6"/>
          <w:szCs w:val="21"/>
          <w:highlight w:val="none"/>
        </w:rPr>
        <w:t>（7）投标人与采购人或者采购代理机构之间、投标人相互之间，为谋求特定投标人中标或者排斥其他投标人的其他串通行为。</w:t>
      </w:r>
    </w:p>
    <w:p w14:paraId="522C7D0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23.2有下列情形之一的，视为投标人串通投标，其</w:t>
      </w:r>
      <w:r>
        <w:rPr>
          <w:rFonts w:hint="eastAsia" w:asciiTheme="minorEastAsia" w:hAnsiTheme="minorEastAsia" w:eastAsiaTheme="minorEastAsia"/>
          <w:b/>
          <w:szCs w:val="21"/>
          <w:highlight w:val="none"/>
        </w:rPr>
        <w:t>投标无效</w:t>
      </w:r>
      <w:r>
        <w:rPr>
          <w:rFonts w:hint="eastAsia" w:asciiTheme="minorEastAsia" w:hAnsiTheme="minorEastAsia" w:eastAsiaTheme="minorEastAsia"/>
          <w:szCs w:val="21"/>
          <w:highlight w:val="none"/>
        </w:rPr>
        <w:t>：</w:t>
      </w:r>
    </w:p>
    <w:p w14:paraId="23A0D8D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（1）不同投标人的投标文件由同一单位或者个人编制；</w:t>
      </w:r>
    </w:p>
    <w:p w14:paraId="0828908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（2）不同投标人委托同一单位或者个人办理投标事宜；</w:t>
      </w:r>
    </w:p>
    <w:p w14:paraId="3A318F19">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（3）不同投标人的投标文件载明的项目管理成员或者联系人员为同一人；</w:t>
      </w:r>
    </w:p>
    <w:p w14:paraId="4022722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（4）不同投标人的投标文件异常一致或者投标报价呈规律性差异；</w:t>
      </w:r>
    </w:p>
    <w:p w14:paraId="3505E2B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（5）不同投标人的投标文件相互混装；</w:t>
      </w:r>
    </w:p>
    <w:p w14:paraId="4BD9054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（6）不同投标人的投标保证金从同一单位或者个人的账户转出。</w:t>
      </w:r>
    </w:p>
    <w:p w14:paraId="6797DAAD">
      <w:pPr>
        <w:pStyle w:val="5"/>
        <w:adjustRightInd w:val="0"/>
        <w:snapToGrid w:val="0"/>
        <w:spacing w:before="120" w:beforeLines="50" w:after="0" w:line="360" w:lineRule="auto"/>
        <w:jc w:val="center"/>
        <w:rPr>
          <w:rFonts w:ascii="黑体" w:hAnsi="黑体" w:eastAsia="黑体"/>
          <w:sz w:val="28"/>
          <w:szCs w:val="28"/>
          <w:highlight w:val="none"/>
        </w:rPr>
      </w:pPr>
      <w:bookmarkStart w:id="26" w:name="_Toc2444"/>
      <w:bookmarkStart w:id="27" w:name="_Toc22086"/>
      <w:r>
        <w:rPr>
          <w:rFonts w:hint="eastAsia" w:ascii="黑体" w:hAnsi="黑体" w:eastAsia="黑体"/>
          <w:sz w:val="28"/>
          <w:szCs w:val="28"/>
          <w:highlight w:val="none"/>
        </w:rPr>
        <w:t>五、开标，资格审查和评标</w:t>
      </w:r>
      <w:bookmarkEnd w:id="26"/>
      <w:bookmarkEnd w:id="27"/>
    </w:p>
    <w:p w14:paraId="247A6D79">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24. 开标</w:t>
      </w:r>
    </w:p>
    <w:p w14:paraId="04BF9805">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27.1开标时，投标文件出现下列情形之一的，招标采购单位不予受理，不得进入评标： </w:t>
      </w:r>
    </w:p>
    <w:p w14:paraId="575D4BA0">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（1）经检查数字证书无效的电子投标文件；  </w:t>
      </w:r>
    </w:p>
    <w:p w14:paraId="48C2AA83">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（2）电子投标文件未按招标文件要求上传； </w:t>
      </w:r>
    </w:p>
    <w:p w14:paraId="49287C14">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（3）投标人未按照投标人须知前附表规定的时间解密电子投标文件的； </w:t>
      </w:r>
    </w:p>
    <w:p w14:paraId="115CC446">
      <w:pPr>
        <w:spacing w:line="400" w:lineRule="atLeast"/>
        <w:ind w:firstLine="413"/>
        <w:rPr>
          <w:rFonts w:ascii="宋体" w:hAnsi="宋体" w:cs="宋体"/>
          <w:bCs/>
          <w:szCs w:val="21"/>
          <w:highlight w:val="none"/>
        </w:rPr>
      </w:pPr>
      <w:r>
        <w:rPr>
          <w:rFonts w:hint="eastAsia" w:ascii="宋体" w:hAnsi="宋体" w:cs="宋体"/>
          <w:bCs/>
          <w:szCs w:val="21"/>
          <w:highlight w:val="none"/>
        </w:rPr>
        <w:t>（4）其它违反法律、法规的情形。</w:t>
      </w:r>
    </w:p>
    <w:p w14:paraId="5B7D7FCD">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27.2电子开标程序。采购人或采购代理机构在规定的时间内，通过网络视频，按下列程序进行开标： </w:t>
      </w:r>
    </w:p>
    <w:p w14:paraId="790CC095">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（1）宣布开标纪律； </w:t>
      </w:r>
    </w:p>
    <w:p w14:paraId="6313651A">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（2）宣布主持人、唱标人、记录人、监督方、采购人等有关人员姓名； </w:t>
      </w:r>
    </w:p>
    <w:p w14:paraId="0E9CCCB5">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（3）公布投标人名称并检查投标文件的数字证书有效性和加密状况；  </w:t>
      </w:r>
    </w:p>
    <w:p w14:paraId="68130C7E">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（4）投标人在规定的时间内解密投标文件。 </w:t>
      </w:r>
    </w:p>
    <w:p w14:paraId="78E6A7CC">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（5）采购代理机构对投标截止时间前递交的投标文件二次解密，当众开标。 </w:t>
      </w:r>
    </w:p>
    <w:p w14:paraId="1BA9473F">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（6）唱标。 </w:t>
      </w:r>
    </w:p>
    <w:p w14:paraId="16937B9C">
      <w:pPr>
        <w:spacing w:line="400" w:lineRule="atLeast"/>
        <w:ind w:firstLine="413"/>
        <w:rPr>
          <w:rFonts w:ascii="宋体" w:hAnsi="宋体" w:cs="宋体"/>
          <w:bCs/>
          <w:szCs w:val="21"/>
          <w:highlight w:val="none"/>
        </w:rPr>
      </w:pPr>
      <w:r>
        <w:rPr>
          <w:rFonts w:hint="eastAsia" w:ascii="宋体" w:hAnsi="宋体" w:cs="宋体"/>
          <w:bCs/>
          <w:szCs w:val="21"/>
          <w:highlight w:val="none"/>
        </w:rPr>
        <w:t>（7）投标人代表、记录人等有关人员通过电子开标软件在开标记录上签字确认；</w:t>
      </w:r>
    </w:p>
    <w:p w14:paraId="2EC7054A">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27.3电子招投标的应急措施电子开标、评标如出现下列原因，导致系统无法正常运行或无法正常评标时，应采取应急措施： </w:t>
      </w:r>
    </w:p>
    <w:p w14:paraId="1E8B4906">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（1）系统服务器发生故障，无法访问或无法使用系统； </w:t>
      </w:r>
    </w:p>
    <w:p w14:paraId="458DBEDC">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（2）系统的软件或数据库出现错误，不能进行正常操作； </w:t>
      </w:r>
    </w:p>
    <w:p w14:paraId="2F56A4DF">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（3）系统发现有安全漏洞，有潜在的泄密危险； </w:t>
      </w:r>
    </w:p>
    <w:p w14:paraId="66CED60F">
      <w:pPr>
        <w:spacing w:line="400" w:lineRule="atLeast"/>
        <w:ind w:firstLine="413"/>
        <w:rPr>
          <w:rFonts w:ascii="宋体" w:hAnsi="宋体" w:cs="宋体"/>
          <w:bCs/>
          <w:szCs w:val="21"/>
          <w:highlight w:val="none"/>
        </w:rPr>
      </w:pPr>
      <w:r>
        <w:rPr>
          <w:rFonts w:hint="eastAsia" w:ascii="宋体" w:hAnsi="宋体" w:cs="宋体"/>
          <w:bCs/>
          <w:szCs w:val="21"/>
          <w:highlight w:val="none"/>
        </w:rPr>
        <w:t xml:space="preserve">（4）病毒发作或受到外来病毒的攻击； </w:t>
      </w:r>
    </w:p>
    <w:p w14:paraId="4512F5E6">
      <w:pPr>
        <w:spacing w:line="400" w:lineRule="atLeast"/>
        <w:ind w:firstLine="413"/>
        <w:rPr>
          <w:rFonts w:ascii="宋体" w:hAnsi="宋体" w:cs="宋体"/>
          <w:bCs/>
          <w:szCs w:val="21"/>
          <w:highlight w:val="none"/>
        </w:rPr>
      </w:pPr>
      <w:r>
        <w:rPr>
          <w:rFonts w:hint="eastAsia" w:ascii="宋体" w:hAnsi="宋体" w:cs="宋体"/>
          <w:bCs/>
          <w:szCs w:val="21"/>
          <w:highlight w:val="none"/>
        </w:rPr>
        <w:t>出现上述情况时，应对未开标的暂停开标，已在系统内开标、评标的，立即停止。采取应急措施时，必须对原有资料及信息作出妥善保密处理。</w:t>
      </w:r>
    </w:p>
    <w:p w14:paraId="451C56A5">
      <w:pPr>
        <w:adjustRightInd w:val="0"/>
        <w:snapToGrid w:val="0"/>
        <w:spacing w:before="120" w:beforeLines="50" w:line="360" w:lineRule="auto"/>
        <w:jc w:val="left"/>
        <w:rPr>
          <w:rFonts w:asciiTheme="minorEastAsia" w:hAnsiTheme="minorEastAsia" w:eastAsiaTheme="minorEastAsia"/>
          <w:b/>
          <w:sz w:val="24"/>
          <w:highlight w:val="none"/>
        </w:rPr>
      </w:pPr>
      <w:r>
        <w:rPr>
          <w:rStyle w:val="46"/>
          <w:rFonts w:hint="eastAsia" w:cs="Arial" w:asciiTheme="minorEastAsia" w:hAnsiTheme="minorEastAsia" w:eastAsiaTheme="minorEastAsia"/>
          <w:sz w:val="24"/>
          <w:highlight w:val="none"/>
        </w:rPr>
        <w:t>25.</w:t>
      </w:r>
      <w:r>
        <w:rPr>
          <w:rFonts w:hint="eastAsia" w:asciiTheme="minorEastAsia" w:hAnsiTheme="minorEastAsia" w:eastAsiaTheme="minorEastAsia"/>
          <w:b/>
          <w:sz w:val="24"/>
          <w:highlight w:val="none"/>
        </w:rPr>
        <w:t xml:space="preserve"> 资格审查</w:t>
      </w:r>
    </w:p>
    <w:p w14:paraId="5128D33C">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25.1开标结束后，采购人、采购代理机构依法按照第三章</w:t>
      </w:r>
      <w:r>
        <w:rPr>
          <w:rFonts w:hint="eastAsia" w:ascii="华文宋体" w:hAnsi="华文宋体" w:eastAsia="华文宋体"/>
          <w:szCs w:val="21"/>
          <w:highlight w:val="none"/>
        </w:rPr>
        <w:t>“</w:t>
      </w:r>
      <w:r>
        <w:rPr>
          <w:rFonts w:hint="eastAsia" w:asciiTheme="minorEastAsia" w:hAnsiTheme="minorEastAsia" w:eastAsiaTheme="minorEastAsia"/>
          <w:szCs w:val="21"/>
          <w:highlight w:val="none"/>
        </w:rPr>
        <w:t>资格审查</w:t>
      </w:r>
      <w:r>
        <w:rPr>
          <w:rFonts w:hint="eastAsia" w:ascii="华文宋体" w:hAnsi="华文宋体" w:eastAsia="华文宋体"/>
          <w:szCs w:val="21"/>
          <w:highlight w:val="none"/>
        </w:rPr>
        <w:t>”</w:t>
      </w:r>
      <w:r>
        <w:rPr>
          <w:rFonts w:hint="eastAsia" w:asciiTheme="minorEastAsia" w:hAnsiTheme="minorEastAsia" w:eastAsiaTheme="minorEastAsia"/>
          <w:szCs w:val="21"/>
          <w:highlight w:val="none"/>
        </w:rPr>
        <w:t>规定组织资格审查。</w:t>
      </w:r>
    </w:p>
    <w:p w14:paraId="117311E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25.2</w:t>
      </w:r>
      <w:r>
        <w:rPr>
          <w:rFonts w:hint="eastAsia" w:asciiTheme="minorEastAsia" w:hAnsiTheme="minorEastAsia" w:eastAsiaTheme="minorEastAsia"/>
          <w:color w:val="FF0000"/>
          <w:szCs w:val="21"/>
          <w:highlight w:val="none"/>
        </w:rPr>
        <w:t>采购人通过数字证书</w:t>
      </w:r>
      <w:r>
        <w:rPr>
          <w:rFonts w:hint="eastAsia" w:asciiTheme="minorEastAsia" w:hAnsiTheme="minorEastAsia" w:eastAsiaTheme="minorEastAsia"/>
          <w:szCs w:val="21"/>
          <w:highlight w:val="none"/>
        </w:rPr>
        <w:t>登录</w:t>
      </w:r>
      <w:r>
        <w:rPr>
          <w:rFonts w:hint="eastAsia" w:ascii="宋体" w:hAnsi="宋体" w:cs="宋体"/>
          <w:szCs w:val="21"/>
          <w:highlight w:val="none"/>
        </w:rPr>
        <w:t>邵阳市公共资源交易中心网站后进入“资格审查”，对所有供应商响应文件资格证明文件部分逐一进行审查后汇总，只有通过资格审查的供应商才能进入评标委员会商务技术评审程序，对未通过资格审查的供应商，将告知其原因</w:t>
      </w:r>
      <w:r>
        <w:rPr>
          <w:rFonts w:hint="eastAsia" w:asciiTheme="minorEastAsia" w:hAnsiTheme="minorEastAsia" w:eastAsiaTheme="minorEastAsia"/>
          <w:szCs w:val="21"/>
          <w:highlight w:val="none"/>
        </w:rPr>
        <w:t>。</w:t>
      </w:r>
    </w:p>
    <w:p w14:paraId="47D8FE33">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bCs/>
          <w:sz w:val="24"/>
          <w:highlight w:val="none"/>
        </w:rPr>
        <w:t>26.</w:t>
      </w:r>
      <w:r>
        <w:rPr>
          <w:rFonts w:hint="eastAsia" w:asciiTheme="minorEastAsia" w:hAnsiTheme="minorEastAsia" w:eastAsiaTheme="minorEastAsia"/>
          <w:b/>
          <w:sz w:val="24"/>
          <w:highlight w:val="none"/>
        </w:rPr>
        <w:t xml:space="preserve"> 评标委员会</w:t>
      </w:r>
    </w:p>
    <w:p w14:paraId="0EA12E0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26.1评标由依法组建的评标委员会负责，评标委员会由采购人代表和评审专家组成。</w:t>
      </w:r>
    </w:p>
    <w:p w14:paraId="442284E5">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26.2评标委员会成员有下列情形之一的，应当回避：</w:t>
      </w:r>
    </w:p>
    <w:p w14:paraId="402788E8">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（1）参加采购活动前三年内,与投标人存在劳动关系,或者担任过投标人的董事、监事,或者是投标人的控股股东或实际控制人；</w:t>
      </w:r>
    </w:p>
    <w:p w14:paraId="20A9ED9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（2）与投标人的法定代表人或者负责人有夫妻、直系血亲、三代以内旁系血亲或者近姻亲关系；</w:t>
      </w:r>
    </w:p>
    <w:p w14:paraId="2B70175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（3）与投标人有其他可能影响政府采购活动公平、公正进行的关系。</w:t>
      </w:r>
    </w:p>
    <w:p w14:paraId="5F34BFE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26.3评标委员会负责具体评标事务，并独立履行下列职责：</w:t>
      </w:r>
    </w:p>
    <w:p w14:paraId="50EE8FB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（1）审查、评价投标文件是否符合招标文件的商务、技术等实质性要求；</w:t>
      </w:r>
    </w:p>
    <w:p w14:paraId="59A614B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（2）要求投标人对投标文件有关事项作出澄清或者说明；</w:t>
      </w:r>
    </w:p>
    <w:p w14:paraId="37E086D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（3）对投标文件进行比较和评价；</w:t>
      </w:r>
    </w:p>
    <w:p w14:paraId="0264A1F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（4）确定中标候选人名单，以及根据采购人委托直接确定中标人。</w:t>
      </w:r>
    </w:p>
    <w:p w14:paraId="3E7FA5A3">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sz w:val="24"/>
          <w:highlight w:val="none"/>
        </w:rPr>
        <w:t>27.</w:t>
      </w:r>
      <w:r>
        <w:rPr>
          <w:rFonts w:hint="eastAsia" w:asciiTheme="minorEastAsia" w:hAnsiTheme="minorEastAsia" w:eastAsiaTheme="minorEastAsia"/>
          <w:b/>
          <w:bCs/>
          <w:sz w:val="24"/>
          <w:highlight w:val="none"/>
        </w:rPr>
        <w:t xml:space="preserve"> 评标</w:t>
      </w:r>
    </w:p>
    <w:p w14:paraId="76EEC98A">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27.1符合性审查。评标委员会依据招标文件的规定，从投标文件的有效性、完整性和对招标文件的响应程度等方面进行审查，符合性审查不合格的供应商不进入下一阶段评审；</w:t>
      </w:r>
    </w:p>
    <w:p w14:paraId="62550D49">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27.2评标委员会按照</w:t>
      </w:r>
      <w:r>
        <w:rPr>
          <w:rFonts w:hint="eastAsia" w:asciiTheme="minorEastAsia" w:hAnsiTheme="minorEastAsia" w:eastAsiaTheme="minorEastAsia"/>
          <w:bCs/>
          <w:highlight w:val="none"/>
        </w:rPr>
        <w:t>第四章</w:t>
      </w:r>
      <w:r>
        <w:rPr>
          <w:rFonts w:hint="eastAsia" w:ascii="华文宋体" w:hAnsi="华文宋体" w:eastAsia="华文宋体"/>
          <w:bCs/>
          <w:highlight w:val="none"/>
        </w:rPr>
        <w:t>“</w:t>
      </w:r>
      <w:r>
        <w:rPr>
          <w:rFonts w:hint="eastAsia" w:asciiTheme="minorEastAsia" w:hAnsiTheme="minorEastAsia" w:eastAsiaTheme="minorEastAsia"/>
          <w:bCs/>
          <w:highlight w:val="none"/>
        </w:rPr>
        <w:t>评标方法及标准</w:t>
      </w:r>
      <w:r>
        <w:rPr>
          <w:rFonts w:hint="eastAsia" w:ascii="华文宋体" w:hAnsi="华文宋体" w:eastAsia="华文宋体"/>
          <w:bCs/>
          <w:highlight w:val="none"/>
        </w:rPr>
        <w:t>”</w:t>
      </w:r>
      <w:r>
        <w:rPr>
          <w:rFonts w:hint="eastAsia" w:asciiTheme="minorEastAsia" w:hAnsiTheme="minorEastAsia" w:eastAsiaTheme="minorEastAsia"/>
          <w:highlight w:val="none"/>
        </w:rPr>
        <w:t>规定的评标方法、评审因素、标准和程序以及有关法律、法规及规章对投标文件进行评审。</w:t>
      </w:r>
    </w:p>
    <w:p w14:paraId="5E858179">
      <w:pPr>
        <w:pStyle w:val="5"/>
        <w:adjustRightInd w:val="0"/>
        <w:snapToGrid w:val="0"/>
        <w:spacing w:before="120" w:beforeLines="50" w:after="0" w:line="360" w:lineRule="auto"/>
        <w:jc w:val="center"/>
        <w:rPr>
          <w:rFonts w:ascii="黑体" w:hAnsi="黑体" w:eastAsia="黑体"/>
          <w:sz w:val="28"/>
          <w:szCs w:val="28"/>
          <w:highlight w:val="none"/>
        </w:rPr>
      </w:pPr>
      <w:bookmarkStart w:id="28" w:name="_Toc27354"/>
      <w:bookmarkStart w:id="29" w:name="_Toc248"/>
      <w:r>
        <w:rPr>
          <w:rFonts w:hint="eastAsia" w:ascii="黑体" w:hAnsi="黑体" w:eastAsia="黑体"/>
          <w:sz w:val="28"/>
          <w:szCs w:val="28"/>
          <w:highlight w:val="none"/>
        </w:rPr>
        <w:t>六、中标信息公布</w:t>
      </w:r>
      <w:bookmarkEnd w:id="28"/>
      <w:bookmarkEnd w:id="29"/>
    </w:p>
    <w:p w14:paraId="00EE4FCB">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sz w:val="24"/>
          <w:highlight w:val="none"/>
        </w:rPr>
        <w:t>28.</w:t>
      </w:r>
      <w:r>
        <w:rPr>
          <w:rFonts w:hint="eastAsia" w:asciiTheme="minorEastAsia" w:hAnsiTheme="minorEastAsia" w:eastAsiaTheme="minorEastAsia"/>
          <w:b/>
          <w:bCs/>
          <w:sz w:val="24"/>
          <w:highlight w:val="none"/>
        </w:rPr>
        <w:t>中标通知书与中标信息公布</w:t>
      </w:r>
    </w:p>
    <w:p w14:paraId="2C3D7A00">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28.1采购代理机构应当在评标结束后2个工作日内将评标报告导出打印后送采购人。</w:t>
      </w:r>
    </w:p>
    <w:p w14:paraId="05E8280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28.2采购人应当自收到评标报告之日起5个工作日内，在评标报告确定的中标候选人名单中按顺序确定中标人。中标候选人并列的，按照</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规定的方式确定中标人；招标文件未规定的，采取随机抽取的方式确定。</w:t>
      </w:r>
    </w:p>
    <w:p w14:paraId="5E93D17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28.3采购人、采购代理机构应当自采购人确定中标供应商之日起2个工作日内，发出中标通知书，并在招标公告指定媒体上公告中标结果，招标文件随中标结果同时公告，中标结果公告期限为１个工作日。</w:t>
      </w:r>
    </w:p>
    <w:p w14:paraId="2A397B4B">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29.</w:t>
      </w:r>
      <w:r>
        <w:rPr>
          <w:rFonts w:hint="eastAsia" w:asciiTheme="minorEastAsia" w:hAnsiTheme="minorEastAsia" w:eastAsiaTheme="minorEastAsia"/>
          <w:b/>
          <w:sz w:val="24"/>
          <w:highlight w:val="none"/>
        </w:rPr>
        <w:t xml:space="preserve"> 投标人询问及</w:t>
      </w:r>
      <w:r>
        <w:rPr>
          <w:rFonts w:hint="eastAsia" w:asciiTheme="minorEastAsia" w:hAnsiTheme="minorEastAsia" w:eastAsiaTheme="minorEastAsia"/>
          <w:b/>
          <w:bCs/>
          <w:sz w:val="24"/>
          <w:highlight w:val="none"/>
        </w:rPr>
        <w:t>质疑</w:t>
      </w:r>
    </w:p>
    <w:p w14:paraId="4A63C9A8">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29.1投标人对政府采购活动事项有疑问的，可以向采购人、采购代理机构提出询问。采购人或采购代理机构将在3个工作日内作出答复。</w:t>
      </w:r>
    </w:p>
    <w:p w14:paraId="18A225A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29.2投标人认为招标文件、采购过程和中标结果使自己的权益受到损害的，可以在知道或者应知其权益受到损害之日起7个工作日内，按《湖南省财政厅关于印发＜政府采购质疑答复和投诉处理操作规程＞的通知》(湘财购〔2024〕67号)规定，以纸质书面形式向采购人、采购代理机构提出质疑。</w:t>
      </w:r>
    </w:p>
    <w:p w14:paraId="7401960C">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29.3投标人提出质疑的，应按照《湖南省财政厅关于印发＜政府采购质疑答复和投诉处理操作规程＞的通知》规定制作、签署、送达。采购人、采购代理机构接收质疑函的联系部门、联系电话和通讯地址见</w:t>
      </w:r>
      <w:r>
        <w:rPr>
          <w:rFonts w:hint="eastAsia" w:asciiTheme="minorEastAsia" w:hAnsiTheme="minorEastAsia" w:eastAsiaTheme="minorEastAsia"/>
          <w:b/>
          <w:szCs w:val="21"/>
          <w:highlight w:val="none"/>
        </w:rPr>
        <w:t>【申请人须知前附表】</w:t>
      </w:r>
      <w:r>
        <w:rPr>
          <w:rFonts w:hint="eastAsia" w:asciiTheme="minorEastAsia" w:hAnsiTheme="minorEastAsia" w:eastAsiaTheme="minorEastAsia"/>
          <w:szCs w:val="21"/>
          <w:highlight w:val="none"/>
        </w:rPr>
        <w:t xml:space="preserve">。  </w:t>
      </w:r>
    </w:p>
    <w:p w14:paraId="7206DE85">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29.4采购人、采购代理机构按照《湖南省财政厅关于印发＜政府采购质疑答复和投诉处理操作规程＞的通知》规定进行质疑答复。</w:t>
      </w:r>
    </w:p>
    <w:p w14:paraId="162E4476">
      <w:pPr>
        <w:adjustRightInd w:val="0"/>
        <w:snapToGrid w:val="0"/>
        <w:spacing w:before="120" w:beforeLines="50" w:line="360" w:lineRule="auto"/>
        <w:ind w:firstLine="420" w:firstLineChars="200"/>
        <w:jc w:val="left"/>
        <w:rPr>
          <w:rFonts w:asciiTheme="minorEastAsia" w:hAnsiTheme="minorEastAsia" w:eastAsiaTheme="minorEastAsia"/>
          <w:b/>
          <w:bCs/>
          <w:highlight w:val="none"/>
        </w:rPr>
      </w:pPr>
      <w:r>
        <w:rPr>
          <w:rFonts w:hint="eastAsia" w:asciiTheme="minorEastAsia" w:hAnsiTheme="minorEastAsia" w:eastAsiaTheme="minorEastAsia"/>
          <w:szCs w:val="21"/>
          <w:highlight w:val="none"/>
        </w:rPr>
        <w:t>29</w:t>
      </w:r>
      <w:r>
        <w:rPr>
          <w:rFonts w:asciiTheme="minorEastAsia" w:hAnsiTheme="minorEastAsia" w:eastAsiaTheme="minorEastAsia"/>
          <w:szCs w:val="21"/>
          <w:highlight w:val="none"/>
        </w:rPr>
        <w:t>.</w:t>
      </w:r>
      <w:r>
        <w:rPr>
          <w:rFonts w:hint="eastAsia" w:asciiTheme="minorEastAsia" w:hAnsiTheme="minorEastAsia" w:eastAsiaTheme="minorEastAsia"/>
          <w:szCs w:val="21"/>
          <w:highlight w:val="none"/>
        </w:rPr>
        <w:t>5投标人对采购人、采购代理机构的答复不满意，或采购人或采购代理机构未在规定的期限作出答复的，可在答复期满后15个工作日内，按照《湖南省财政厅关于印发＜政府采购质疑答复和投诉处理操作规程＞的通知》规定向采购人同级财政部门提出投诉。</w:t>
      </w:r>
    </w:p>
    <w:p w14:paraId="247144DA">
      <w:pPr>
        <w:pStyle w:val="5"/>
        <w:adjustRightInd w:val="0"/>
        <w:snapToGrid w:val="0"/>
        <w:spacing w:before="120" w:beforeLines="50" w:after="0" w:line="360" w:lineRule="auto"/>
        <w:jc w:val="center"/>
        <w:rPr>
          <w:rFonts w:ascii="黑体" w:hAnsi="黑体" w:eastAsia="黑体"/>
          <w:sz w:val="28"/>
          <w:szCs w:val="28"/>
          <w:highlight w:val="none"/>
        </w:rPr>
      </w:pPr>
      <w:bookmarkStart w:id="30" w:name="_Toc18934"/>
      <w:bookmarkStart w:id="31" w:name="_Toc5087"/>
      <w:r>
        <w:rPr>
          <w:rFonts w:hint="eastAsia" w:ascii="黑体" w:hAnsi="黑体" w:eastAsia="黑体"/>
          <w:sz w:val="28"/>
          <w:szCs w:val="28"/>
          <w:highlight w:val="none"/>
        </w:rPr>
        <w:t>七、合同签订</w:t>
      </w:r>
      <w:bookmarkEnd w:id="30"/>
      <w:bookmarkEnd w:id="31"/>
    </w:p>
    <w:p w14:paraId="1CB68008">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30. 签订合同</w:t>
      </w:r>
    </w:p>
    <w:p w14:paraId="32DC1885">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30.1采购人应自中标通知书发出之日起30日内，按中标通知书指定的时间、地点与中标人签订政府采购合同。所签订的合同不得对招标文件确定的事项和中标人投标文件作实质性修改。</w:t>
      </w:r>
    </w:p>
    <w:p w14:paraId="2441D48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30.2招标文件、中标人的投标文件均为签订合同的依据。</w:t>
      </w:r>
    </w:p>
    <w:p w14:paraId="5D536BEF">
      <w:pPr>
        <w:adjustRightInd w:val="0"/>
        <w:snapToGrid w:val="0"/>
        <w:spacing w:before="120" w:beforeLines="50" w:line="360" w:lineRule="auto"/>
        <w:ind w:firstLine="420" w:firstLineChars="200"/>
        <w:jc w:val="left"/>
        <w:rPr>
          <w:rFonts w:cs="微软雅黑" w:asciiTheme="minorEastAsia" w:hAnsiTheme="minorEastAsia" w:eastAsiaTheme="minorEastAsia"/>
          <w:kern w:val="0"/>
          <w:szCs w:val="21"/>
          <w:highlight w:val="none"/>
        </w:rPr>
      </w:pPr>
      <w:r>
        <w:rPr>
          <w:rFonts w:hint="eastAsia" w:cs="微软雅黑" w:asciiTheme="minorEastAsia" w:hAnsiTheme="minorEastAsia" w:eastAsiaTheme="minorEastAsia"/>
          <w:kern w:val="0"/>
          <w:szCs w:val="21"/>
          <w:highlight w:val="none"/>
        </w:rPr>
        <w:t>30.3联</w:t>
      </w:r>
      <w:r>
        <w:rPr>
          <w:rFonts w:hint="eastAsia" w:cs="微软雅黑" w:asciiTheme="minorEastAsia" w:hAnsiTheme="minorEastAsia" w:eastAsiaTheme="minorEastAsia"/>
          <w:spacing w:val="-2"/>
          <w:kern w:val="0"/>
          <w:szCs w:val="21"/>
          <w:highlight w:val="none"/>
        </w:rPr>
        <w:t>合</w:t>
      </w:r>
      <w:r>
        <w:rPr>
          <w:rFonts w:hint="eastAsia" w:cs="微软雅黑" w:asciiTheme="minorEastAsia" w:hAnsiTheme="minorEastAsia" w:eastAsiaTheme="minorEastAsia"/>
          <w:kern w:val="0"/>
          <w:szCs w:val="21"/>
          <w:highlight w:val="none"/>
        </w:rPr>
        <w:t>体</w:t>
      </w:r>
      <w:r>
        <w:rPr>
          <w:rFonts w:hint="eastAsia" w:cs="微软雅黑" w:asciiTheme="minorEastAsia" w:hAnsiTheme="minorEastAsia" w:eastAsiaTheme="minorEastAsia"/>
          <w:spacing w:val="-2"/>
          <w:kern w:val="0"/>
          <w:szCs w:val="21"/>
          <w:highlight w:val="none"/>
        </w:rPr>
        <w:t>中</w:t>
      </w:r>
      <w:r>
        <w:rPr>
          <w:rFonts w:hint="eastAsia" w:cs="微软雅黑" w:asciiTheme="minorEastAsia" w:hAnsiTheme="minorEastAsia" w:eastAsiaTheme="minorEastAsia"/>
          <w:kern w:val="0"/>
          <w:szCs w:val="21"/>
          <w:highlight w:val="none"/>
        </w:rPr>
        <w:t>标的</w:t>
      </w:r>
      <w:r>
        <w:rPr>
          <w:rFonts w:hint="eastAsia" w:cs="微软雅黑" w:asciiTheme="minorEastAsia" w:hAnsiTheme="minorEastAsia" w:eastAsiaTheme="minorEastAsia"/>
          <w:spacing w:val="-14"/>
          <w:kern w:val="0"/>
          <w:szCs w:val="21"/>
          <w:highlight w:val="none"/>
        </w:rPr>
        <w:t>，</w:t>
      </w:r>
      <w:r>
        <w:rPr>
          <w:rFonts w:hint="eastAsia" w:cs="微软雅黑" w:asciiTheme="minorEastAsia" w:hAnsiTheme="minorEastAsia" w:eastAsiaTheme="minorEastAsia"/>
          <w:kern w:val="0"/>
          <w:szCs w:val="21"/>
          <w:highlight w:val="none"/>
        </w:rPr>
        <w:t>联</w:t>
      </w:r>
      <w:r>
        <w:rPr>
          <w:rFonts w:hint="eastAsia" w:cs="微软雅黑" w:asciiTheme="minorEastAsia" w:hAnsiTheme="minorEastAsia" w:eastAsiaTheme="minorEastAsia"/>
          <w:spacing w:val="-2"/>
          <w:kern w:val="0"/>
          <w:szCs w:val="21"/>
          <w:highlight w:val="none"/>
        </w:rPr>
        <w:t>合</w:t>
      </w:r>
      <w:r>
        <w:rPr>
          <w:rFonts w:hint="eastAsia" w:cs="微软雅黑" w:asciiTheme="minorEastAsia" w:hAnsiTheme="minorEastAsia" w:eastAsiaTheme="minorEastAsia"/>
          <w:kern w:val="0"/>
          <w:szCs w:val="21"/>
          <w:highlight w:val="none"/>
        </w:rPr>
        <w:t>体各</w:t>
      </w:r>
      <w:r>
        <w:rPr>
          <w:rFonts w:hint="eastAsia" w:cs="微软雅黑" w:asciiTheme="minorEastAsia" w:hAnsiTheme="minorEastAsia" w:eastAsiaTheme="minorEastAsia"/>
          <w:spacing w:val="-2"/>
          <w:kern w:val="0"/>
          <w:szCs w:val="21"/>
          <w:highlight w:val="none"/>
        </w:rPr>
        <w:t>方</w:t>
      </w:r>
      <w:r>
        <w:rPr>
          <w:rFonts w:hint="eastAsia" w:cs="微软雅黑" w:asciiTheme="minorEastAsia" w:hAnsiTheme="minorEastAsia" w:eastAsiaTheme="minorEastAsia"/>
          <w:kern w:val="0"/>
          <w:szCs w:val="21"/>
          <w:highlight w:val="none"/>
        </w:rPr>
        <w:t>应</w:t>
      </w:r>
      <w:r>
        <w:rPr>
          <w:rFonts w:hint="eastAsia" w:cs="微软雅黑" w:asciiTheme="minorEastAsia" w:hAnsiTheme="minorEastAsia" w:eastAsiaTheme="minorEastAsia"/>
          <w:spacing w:val="-2"/>
          <w:kern w:val="0"/>
          <w:szCs w:val="21"/>
          <w:highlight w:val="none"/>
        </w:rPr>
        <w:t>当</w:t>
      </w:r>
      <w:r>
        <w:rPr>
          <w:rFonts w:hint="eastAsia" w:cs="微软雅黑" w:asciiTheme="minorEastAsia" w:hAnsiTheme="minorEastAsia" w:eastAsiaTheme="minorEastAsia"/>
          <w:kern w:val="0"/>
          <w:szCs w:val="21"/>
          <w:highlight w:val="none"/>
        </w:rPr>
        <w:t>共</w:t>
      </w:r>
      <w:r>
        <w:rPr>
          <w:rFonts w:hint="eastAsia" w:cs="微软雅黑" w:asciiTheme="minorEastAsia" w:hAnsiTheme="minorEastAsia" w:eastAsiaTheme="minorEastAsia"/>
          <w:spacing w:val="-2"/>
          <w:kern w:val="0"/>
          <w:szCs w:val="21"/>
          <w:highlight w:val="none"/>
        </w:rPr>
        <w:t>同</w:t>
      </w:r>
      <w:r>
        <w:rPr>
          <w:rFonts w:hint="eastAsia" w:cs="微软雅黑" w:asciiTheme="minorEastAsia" w:hAnsiTheme="minorEastAsia" w:eastAsiaTheme="minorEastAsia"/>
          <w:kern w:val="0"/>
          <w:szCs w:val="21"/>
          <w:highlight w:val="none"/>
        </w:rPr>
        <w:t>与</w:t>
      </w:r>
      <w:r>
        <w:rPr>
          <w:rFonts w:hint="eastAsia" w:cs="微软雅黑" w:asciiTheme="minorEastAsia" w:hAnsiTheme="minorEastAsia" w:eastAsiaTheme="minorEastAsia"/>
          <w:spacing w:val="-2"/>
          <w:kern w:val="0"/>
          <w:szCs w:val="21"/>
          <w:highlight w:val="none"/>
        </w:rPr>
        <w:t>采购人</w:t>
      </w:r>
      <w:r>
        <w:rPr>
          <w:rFonts w:hint="eastAsia" w:cs="微软雅黑" w:asciiTheme="minorEastAsia" w:hAnsiTheme="minorEastAsia" w:eastAsiaTheme="minorEastAsia"/>
          <w:kern w:val="0"/>
          <w:szCs w:val="21"/>
          <w:highlight w:val="none"/>
        </w:rPr>
        <w:t>签订</w:t>
      </w:r>
      <w:r>
        <w:rPr>
          <w:rFonts w:hint="eastAsia" w:cs="微软雅黑" w:asciiTheme="minorEastAsia" w:hAnsiTheme="minorEastAsia" w:eastAsiaTheme="minorEastAsia"/>
          <w:spacing w:val="-2"/>
          <w:kern w:val="0"/>
          <w:szCs w:val="21"/>
          <w:highlight w:val="none"/>
        </w:rPr>
        <w:t>合</w:t>
      </w:r>
      <w:r>
        <w:rPr>
          <w:rFonts w:hint="eastAsia" w:cs="微软雅黑" w:asciiTheme="minorEastAsia" w:hAnsiTheme="minorEastAsia" w:eastAsiaTheme="minorEastAsia"/>
          <w:kern w:val="0"/>
          <w:szCs w:val="21"/>
          <w:highlight w:val="none"/>
        </w:rPr>
        <w:t>同</w:t>
      </w:r>
      <w:r>
        <w:rPr>
          <w:rFonts w:hint="eastAsia" w:cs="微软雅黑" w:asciiTheme="minorEastAsia" w:hAnsiTheme="minorEastAsia" w:eastAsiaTheme="minorEastAsia"/>
          <w:spacing w:val="-14"/>
          <w:kern w:val="0"/>
          <w:szCs w:val="21"/>
          <w:highlight w:val="none"/>
        </w:rPr>
        <w:t>，</w:t>
      </w:r>
      <w:r>
        <w:rPr>
          <w:rFonts w:hint="eastAsia" w:cs="微软雅黑" w:asciiTheme="minorEastAsia" w:hAnsiTheme="minorEastAsia" w:eastAsiaTheme="minorEastAsia"/>
          <w:kern w:val="0"/>
          <w:szCs w:val="21"/>
          <w:highlight w:val="none"/>
        </w:rPr>
        <w:t>就</w:t>
      </w:r>
      <w:r>
        <w:rPr>
          <w:rFonts w:hint="eastAsia" w:cs="微软雅黑" w:asciiTheme="minorEastAsia" w:hAnsiTheme="minorEastAsia" w:eastAsiaTheme="minorEastAsia"/>
          <w:spacing w:val="-2"/>
          <w:kern w:val="0"/>
          <w:szCs w:val="21"/>
          <w:highlight w:val="none"/>
        </w:rPr>
        <w:t>中</w:t>
      </w:r>
      <w:r>
        <w:rPr>
          <w:rFonts w:hint="eastAsia" w:cs="微软雅黑" w:asciiTheme="minorEastAsia" w:hAnsiTheme="minorEastAsia" w:eastAsiaTheme="minorEastAsia"/>
          <w:kern w:val="0"/>
          <w:szCs w:val="21"/>
          <w:highlight w:val="none"/>
        </w:rPr>
        <w:t>标</w:t>
      </w:r>
      <w:r>
        <w:rPr>
          <w:rFonts w:hint="eastAsia" w:cs="微软雅黑" w:asciiTheme="minorEastAsia" w:hAnsiTheme="minorEastAsia" w:eastAsiaTheme="minorEastAsia"/>
          <w:spacing w:val="-2"/>
          <w:kern w:val="0"/>
          <w:szCs w:val="21"/>
          <w:highlight w:val="none"/>
        </w:rPr>
        <w:t>项</w:t>
      </w:r>
      <w:r>
        <w:rPr>
          <w:rFonts w:hint="eastAsia" w:cs="微软雅黑" w:asciiTheme="minorEastAsia" w:hAnsiTheme="minorEastAsia" w:eastAsiaTheme="minorEastAsia"/>
          <w:kern w:val="0"/>
          <w:szCs w:val="21"/>
          <w:highlight w:val="none"/>
        </w:rPr>
        <w:t>目</w:t>
      </w:r>
      <w:r>
        <w:rPr>
          <w:rFonts w:hint="eastAsia" w:cs="微软雅黑" w:asciiTheme="minorEastAsia" w:hAnsiTheme="minorEastAsia" w:eastAsiaTheme="minorEastAsia"/>
          <w:spacing w:val="-2"/>
          <w:kern w:val="0"/>
          <w:szCs w:val="21"/>
          <w:highlight w:val="none"/>
        </w:rPr>
        <w:t>向</w:t>
      </w:r>
      <w:r>
        <w:rPr>
          <w:rFonts w:hint="eastAsia" w:cs="微软雅黑" w:asciiTheme="minorEastAsia" w:hAnsiTheme="minorEastAsia" w:eastAsiaTheme="minorEastAsia"/>
          <w:kern w:val="0"/>
          <w:szCs w:val="21"/>
          <w:highlight w:val="none"/>
        </w:rPr>
        <w:t>采购人承</w:t>
      </w:r>
      <w:r>
        <w:rPr>
          <w:rFonts w:hint="eastAsia" w:cs="微软雅黑" w:asciiTheme="minorEastAsia" w:hAnsiTheme="minorEastAsia" w:eastAsiaTheme="minorEastAsia"/>
          <w:spacing w:val="-2"/>
          <w:kern w:val="0"/>
          <w:szCs w:val="21"/>
          <w:highlight w:val="none"/>
        </w:rPr>
        <w:t>担</w:t>
      </w:r>
      <w:r>
        <w:rPr>
          <w:rFonts w:hint="eastAsia" w:cs="微软雅黑" w:asciiTheme="minorEastAsia" w:hAnsiTheme="minorEastAsia" w:eastAsiaTheme="minorEastAsia"/>
          <w:kern w:val="0"/>
          <w:szCs w:val="21"/>
          <w:highlight w:val="none"/>
        </w:rPr>
        <w:t>连带责</w:t>
      </w:r>
      <w:r>
        <w:rPr>
          <w:rFonts w:hint="eastAsia" w:cs="微软雅黑" w:asciiTheme="minorEastAsia" w:hAnsiTheme="minorEastAsia" w:eastAsiaTheme="minorEastAsia"/>
          <w:spacing w:val="-2"/>
          <w:kern w:val="0"/>
          <w:szCs w:val="21"/>
          <w:highlight w:val="none"/>
        </w:rPr>
        <w:t>任</w:t>
      </w:r>
      <w:r>
        <w:rPr>
          <w:rFonts w:hint="eastAsia" w:cs="微软雅黑" w:asciiTheme="minorEastAsia" w:hAnsiTheme="minorEastAsia" w:eastAsiaTheme="minorEastAsia"/>
          <w:kern w:val="0"/>
          <w:szCs w:val="21"/>
          <w:highlight w:val="none"/>
        </w:rPr>
        <w:t>。</w:t>
      </w:r>
    </w:p>
    <w:p w14:paraId="7CDB9A6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asciiTheme="minorEastAsia" w:hAnsiTheme="minorEastAsia" w:eastAsiaTheme="minorEastAsia"/>
          <w:szCs w:val="21"/>
          <w:highlight w:val="none"/>
        </w:rPr>
        <w:t>3</w:t>
      </w:r>
      <w:r>
        <w:rPr>
          <w:rFonts w:hint="eastAsia" w:asciiTheme="minorEastAsia" w:hAnsiTheme="minorEastAsia" w:eastAsiaTheme="minorEastAsia"/>
          <w:szCs w:val="21"/>
          <w:highlight w:val="none"/>
        </w:rPr>
        <w:t>0</w:t>
      </w:r>
      <w:r>
        <w:rPr>
          <w:rFonts w:asciiTheme="minorEastAsia" w:hAnsiTheme="minorEastAsia" w:eastAsiaTheme="minorEastAsia"/>
          <w:szCs w:val="21"/>
          <w:highlight w:val="none"/>
        </w:rPr>
        <w:t>.4</w:t>
      </w:r>
      <w:r>
        <w:rPr>
          <w:rFonts w:hint="eastAsia" w:asciiTheme="minorEastAsia" w:hAnsiTheme="minorEastAsia" w:eastAsiaTheme="minorEastAsia"/>
          <w:szCs w:val="21"/>
          <w:highlight w:val="none"/>
        </w:rPr>
        <w:t>中标合同将在招标公告指定媒体上公告，但合同中涉及国家秘密、商业秘密的内容除外。</w:t>
      </w:r>
    </w:p>
    <w:p w14:paraId="5893CB9B">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szCs w:val="21"/>
          <w:highlight w:val="none"/>
        </w:rPr>
        <w:t>30.5中标人</w:t>
      </w:r>
      <w:r>
        <w:rPr>
          <w:rFonts w:hint="eastAsia" w:asciiTheme="minorEastAsia" w:hAnsiTheme="minorEastAsia" w:eastAsiaTheme="minorEastAsia"/>
          <w:bCs/>
          <w:szCs w:val="21"/>
          <w:highlight w:val="none"/>
        </w:rPr>
        <w:t>应当按照合同约定依法履行合同义务。政府采购合同的履行、违约责任和解决争议的方法等适用《中华人民共和国民法典》。</w:t>
      </w:r>
    </w:p>
    <w:p w14:paraId="2C082966">
      <w:pPr>
        <w:adjustRightInd w:val="0"/>
        <w:snapToGrid w:val="0"/>
        <w:spacing w:before="120" w:beforeLines="50" w:line="360" w:lineRule="auto"/>
        <w:jc w:val="left"/>
        <w:rPr>
          <w:rFonts w:cs="宋体" w:asciiTheme="minorEastAsia" w:hAnsiTheme="minorEastAsia" w:eastAsiaTheme="minorEastAsia"/>
          <w:b/>
          <w:kern w:val="0"/>
          <w:sz w:val="24"/>
          <w:highlight w:val="none"/>
        </w:rPr>
      </w:pPr>
      <w:r>
        <w:rPr>
          <w:rFonts w:hint="eastAsia" w:asciiTheme="minorEastAsia" w:hAnsiTheme="minorEastAsia" w:eastAsiaTheme="minorEastAsia"/>
          <w:b/>
          <w:bCs/>
          <w:sz w:val="24"/>
          <w:highlight w:val="none"/>
        </w:rPr>
        <w:t>31.</w:t>
      </w:r>
      <w:r>
        <w:rPr>
          <w:rFonts w:hint="eastAsia" w:cs="宋体" w:asciiTheme="minorEastAsia" w:hAnsiTheme="minorEastAsia" w:eastAsiaTheme="minorEastAsia"/>
          <w:b/>
          <w:kern w:val="0"/>
          <w:sz w:val="24"/>
          <w:highlight w:val="none"/>
        </w:rPr>
        <w:t xml:space="preserve"> 履约担保</w:t>
      </w:r>
    </w:p>
    <w:p w14:paraId="10A6BD0C">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cs="宋体" w:asciiTheme="minorEastAsia" w:hAnsiTheme="minorEastAsia" w:eastAsiaTheme="minorEastAsia"/>
          <w:kern w:val="0"/>
          <w:szCs w:val="21"/>
          <w:highlight w:val="none"/>
        </w:rPr>
        <w:t>31.1</w:t>
      </w:r>
      <w:r>
        <w:rPr>
          <w:rFonts w:hint="eastAsia" w:asciiTheme="minorEastAsia" w:hAnsiTheme="minorEastAsia" w:eastAsiaTheme="minorEastAsia"/>
          <w:szCs w:val="21"/>
          <w:highlight w:val="none"/>
        </w:rPr>
        <w:t>招标文件要求中标人向采购人提交履约担保的，中标人应按照</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的规定提交。联合体中标的，履约担保由联合体各方或联合体中牵头人的名义提交。</w:t>
      </w:r>
    </w:p>
    <w:p w14:paraId="49BD038A">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31.2中标人</w:t>
      </w:r>
      <w:r>
        <w:rPr>
          <w:rFonts w:hint="eastAsia" w:asciiTheme="minorEastAsia" w:hAnsiTheme="minorEastAsia" w:eastAsiaTheme="minorEastAsia"/>
          <w:spacing w:val="4"/>
          <w:szCs w:val="21"/>
          <w:highlight w:val="none"/>
        </w:rPr>
        <w:t>没有按照本章第31.1</w:t>
      </w:r>
      <w:r>
        <w:rPr>
          <w:rFonts w:hint="eastAsia" w:cs="宋体" w:asciiTheme="minorEastAsia" w:hAnsiTheme="minorEastAsia" w:eastAsiaTheme="minorEastAsia"/>
          <w:kern w:val="0"/>
          <w:szCs w:val="21"/>
          <w:highlight w:val="none"/>
          <w:lang w:val="zh-CN"/>
        </w:rPr>
        <w:t>款</w:t>
      </w:r>
      <w:r>
        <w:rPr>
          <w:rFonts w:hint="eastAsia" w:asciiTheme="minorEastAsia" w:hAnsiTheme="minorEastAsia" w:eastAsiaTheme="minorEastAsia"/>
          <w:spacing w:val="4"/>
          <w:szCs w:val="21"/>
          <w:highlight w:val="none"/>
        </w:rPr>
        <w:t>规定</w:t>
      </w:r>
      <w:r>
        <w:rPr>
          <w:rFonts w:hint="eastAsia" w:asciiTheme="minorEastAsia" w:hAnsiTheme="minorEastAsia" w:eastAsiaTheme="minorEastAsia"/>
          <w:szCs w:val="21"/>
          <w:highlight w:val="none"/>
        </w:rPr>
        <w:t>提交履约担保的</w:t>
      </w:r>
      <w:r>
        <w:rPr>
          <w:rFonts w:hint="eastAsia" w:asciiTheme="minorEastAsia" w:hAnsiTheme="minorEastAsia" w:eastAsiaTheme="minorEastAsia"/>
          <w:spacing w:val="4"/>
          <w:szCs w:val="21"/>
          <w:highlight w:val="none"/>
        </w:rPr>
        <w:t>，视为</w:t>
      </w:r>
      <w:r>
        <w:rPr>
          <w:rFonts w:hint="eastAsia" w:asciiTheme="minorEastAsia" w:hAnsiTheme="minorEastAsia" w:eastAsiaTheme="minorEastAsia"/>
          <w:b/>
          <w:spacing w:val="4"/>
          <w:szCs w:val="21"/>
          <w:highlight w:val="none"/>
        </w:rPr>
        <w:t>放弃中标</w:t>
      </w:r>
      <w:r>
        <w:rPr>
          <w:rFonts w:hint="eastAsia" w:asciiTheme="minorEastAsia" w:hAnsiTheme="minorEastAsia" w:eastAsiaTheme="minorEastAsia"/>
          <w:spacing w:val="4"/>
          <w:szCs w:val="21"/>
          <w:highlight w:val="none"/>
        </w:rPr>
        <w:t>，</w:t>
      </w:r>
      <w:r>
        <w:rPr>
          <w:rFonts w:hint="eastAsia" w:asciiTheme="minorEastAsia" w:hAnsiTheme="minorEastAsia" w:eastAsiaTheme="minorEastAsia"/>
          <w:spacing w:val="2"/>
          <w:szCs w:val="21"/>
          <w:highlight w:val="none"/>
        </w:rPr>
        <w:t>其投标保证金不予退还。</w:t>
      </w:r>
    </w:p>
    <w:p w14:paraId="2959AAEF">
      <w:pPr>
        <w:adjustRightInd w:val="0"/>
        <w:snapToGrid w:val="0"/>
        <w:spacing w:before="120" w:beforeLines="50" w:line="360" w:lineRule="auto"/>
        <w:jc w:val="left"/>
        <w:rPr>
          <w:rFonts w:asciiTheme="minorEastAsia" w:hAnsiTheme="minorEastAsia" w:eastAsiaTheme="minorEastAsia"/>
          <w:b/>
          <w:bCs/>
          <w:sz w:val="24"/>
          <w:highlight w:val="none"/>
        </w:rPr>
      </w:pPr>
      <w:r>
        <w:rPr>
          <w:rFonts w:hint="eastAsia" w:asciiTheme="minorEastAsia" w:hAnsiTheme="minorEastAsia" w:eastAsiaTheme="minorEastAsia"/>
          <w:b/>
          <w:bCs/>
          <w:sz w:val="24"/>
          <w:highlight w:val="none"/>
        </w:rPr>
        <w:t>32.</w:t>
      </w:r>
      <w:r>
        <w:rPr>
          <w:rFonts w:hint="eastAsia" w:asciiTheme="minorEastAsia" w:hAnsiTheme="minorEastAsia" w:eastAsiaTheme="minorEastAsia"/>
          <w:b/>
          <w:sz w:val="24"/>
          <w:highlight w:val="none"/>
        </w:rPr>
        <w:t xml:space="preserve"> 政府采购合同履行中</w:t>
      </w:r>
      <w:r>
        <w:rPr>
          <w:rFonts w:hint="eastAsia" w:asciiTheme="minorEastAsia" w:hAnsiTheme="minorEastAsia" w:eastAsiaTheme="minorEastAsia"/>
          <w:b/>
          <w:bCs/>
          <w:sz w:val="24"/>
          <w:highlight w:val="none"/>
        </w:rPr>
        <w:t>数量的变更</w:t>
      </w:r>
    </w:p>
    <w:p w14:paraId="73ECEF27">
      <w:pPr>
        <w:adjustRightInd w:val="0"/>
        <w:snapToGrid w:val="0"/>
        <w:spacing w:before="120" w:beforeLines="50" w:line="360" w:lineRule="auto"/>
        <w:ind w:firstLine="420" w:firstLineChars="200"/>
        <w:jc w:val="left"/>
        <w:rPr>
          <w:rFonts w:asciiTheme="minorEastAsia" w:hAnsiTheme="minorEastAsia" w:eastAsiaTheme="minorEastAsia"/>
          <w:sz w:val="28"/>
          <w:szCs w:val="28"/>
          <w:highlight w:val="none"/>
        </w:rPr>
      </w:pPr>
      <w:r>
        <w:rPr>
          <w:rFonts w:hint="eastAsia" w:asciiTheme="minorEastAsia" w:hAnsiTheme="minorEastAsia" w:eastAsiaTheme="minorEastAsia"/>
          <w:highlight w:val="none"/>
        </w:rPr>
        <w:t>32.1政府采购合同履行中，采购人需追加与合同标的相同的货物服务的，在不改变合同其他条款的前提下，可以与中标人协商签订补充合同，但所有补充合同的采购金额不得超过原合同采购金额的百分之十。</w:t>
      </w:r>
    </w:p>
    <w:p w14:paraId="5D066D71">
      <w:pPr>
        <w:bidi w:val="0"/>
      </w:pPr>
    </w:p>
    <w:p w14:paraId="1E0FD1A8">
      <w:pPr>
        <w:pStyle w:val="5"/>
        <w:adjustRightInd w:val="0"/>
        <w:snapToGrid w:val="0"/>
        <w:spacing w:before="120" w:beforeLines="50" w:after="0" w:line="360" w:lineRule="auto"/>
        <w:jc w:val="center"/>
        <w:rPr>
          <w:rFonts w:ascii="黑体" w:hAnsi="黑体" w:eastAsia="黑体"/>
          <w:sz w:val="28"/>
          <w:szCs w:val="28"/>
          <w:highlight w:val="none"/>
        </w:rPr>
      </w:pPr>
      <w:bookmarkStart w:id="32" w:name="_Toc17920"/>
      <w:bookmarkStart w:id="33" w:name="_Toc32741"/>
      <w:r>
        <w:rPr>
          <w:rFonts w:hint="eastAsia" w:ascii="黑体" w:hAnsi="黑体" w:eastAsia="黑体"/>
          <w:sz w:val="28"/>
          <w:szCs w:val="28"/>
          <w:highlight w:val="none"/>
        </w:rPr>
        <w:t>八、政府采购政策</w:t>
      </w:r>
      <w:bookmarkEnd w:id="32"/>
      <w:bookmarkEnd w:id="33"/>
    </w:p>
    <w:p w14:paraId="432C638A">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bCs/>
          <w:sz w:val="24"/>
          <w:highlight w:val="none"/>
        </w:rPr>
        <w:t>33.</w:t>
      </w:r>
      <w:r>
        <w:rPr>
          <w:rFonts w:hint="eastAsia" w:asciiTheme="minorEastAsia" w:hAnsiTheme="minorEastAsia" w:eastAsiaTheme="minorEastAsia"/>
          <w:b/>
          <w:sz w:val="24"/>
          <w:highlight w:val="none"/>
        </w:rPr>
        <w:t>政府采购政策</w:t>
      </w:r>
    </w:p>
    <w:p w14:paraId="073964A9">
      <w:pPr>
        <w:adjustRightInd w:val="0"/>
        <w:snapToGrid w:val="0"/>
        <w:spacing w:before="120" w:beforeLines="50" w:line="360" w:lineRule="auto"/>
        <w:ind w:firstLine="420" w:firstLineChars="200"/>
        <w:jc w:val="left"/>
        <w:rPr>
          <w:rFonts w:cs="宋体" w:asciiTheme="minorEastAsia" w:hAnsiTheme="minorEastAsia" w:eastAsiaTheme="minorEastAsia"/>
          <w:kern w:val="0"/>
          <w:highlight w:val="none"/>
        </w:rPr>
      </w:pPr>
      <w:r>
        <w:rPr>
          <w:rFonts w:hint="eastAsia" w:cs="宋体" w:asciiTheme="minorEastAsia" w:hAnsiTheme="minorEastAsia" w:eastAsiaTheme="minorEastAsia"/>
          <w:kern w:val="0"/>
          <w:highlight w:val="none"/>
        </w:rPr>
        <w:t>33.1优先采购：</w:t>
      </w:r>
    </w:p>
    <w:p w14:paraId="6BB69C8E">
      <w:pPr>
        <w:adjustRightInd w:val="0"/>
        <w:snapToGrid w:val="0"/>
        <w:spacing w:before="120" w:beforeLines="50" w:line="360" w:lineRule="auto"/>
        <w:ind w:firstLine="420" w:firstLineChars="200"/>
        <w:jc w:val="left"/>
        <w:rPr>
          <w:rFonts w:hint="eastAsia" w:asciiTheme="minorEastAsia" w:hAnsiTheme="minorEastAsia" w:eastAsiaTheme="minorEastAsia"/>
          <w:szCs w:val="21"/>
          <w:highlight w:val="none"/>
        </w:rPr>
      </w:pPr>
      <w:r>
        <w:rPr>
          <w:rFonts w:hint="eastAsia" w:asciiTheme="minorEastAsia" w:hAnsiTheme="minorEastAsia" w:eastAsiaTheme="minorEastAsia"/>
          <w:szCs w:val="21"/>
          <w:highlight w:val="none"/>
        </w:rPr>
        <w:t>（1）节能产品和环境标志产品</w:t>
      </w:r>
    </w:p>
    <w:p w14:paraId="5455826E">
      <w:pPr>
        <w:adjustRightInd w:val="0"/>
        <w:snapToGrid w:val="0"/>
        <w:spacing w:before="120" w:beforeLines="50" w:line="360" w:lineRule="auto"/>
        <w:ind w:firstLine="420" w:firstLineChars="200"/>
        <w:jc w:val="left"/>
        <w:rPr>
          <w:rFonts w:hint="eastAsia" w:asciiTheme="minorEastAsia" w:hAnsiTheme="minorEastAsia" w:eastAsiaTheme="minorEastAsia"/>
          <w:szCs w:val="21"/>
          <w:highlight w:val="none"/>
        </w:rPr>
      </w:pPr>
      <w:r>
        <w:rPr>
          <w:rFonts w:hint="eastAsia" w:asciiTheme="minorEastAsia" w:hAnsiTheme="minorEastAsia" w:eastAsiaTheme="minorEastAsia"/>
          <w:szCs w:val="21"/>
          <w:highlight w:val="none"/>
        </w:rPr>
        <w:t>依据国家确定的认证机构出具的、处于有效期内的节能产品、环境标志产品认证证书，对获得证书的产品实施政府优先采购，评审时按招标文件第四章第一节有关规定给予一定比例的价格折扣或者加分；</w:t>
      </w:r>
    </w:p>
    <w:p w14:paraId="271B7078">
      <w:pPr>
        <w:adjustRightInd w:val="0"/>
        <w:snapToGrid w:val="0"/>
        <w:spacing w:before="120" w:beforeLines="50" w:line="360" w:lineRule="auto"/>
        <w:ind w:firstLine="420" w:firstLineChars="200"/>
        <w:jc w:val="left"/>
        <w:rPr>
          <w:rFonts w:hint="eastAsia" w:asciiTheme="minorEastAsia" w:hAnsiTheme="minorEastAsia" w:eastAsiaTheme="minorEastAsia"/>
          <w:szCs w:val="21"/>
          <w:highlight w:val="none"/>
          <w:lang w:eastAsia="zh-CN"/>
        </w:rPr>
      </w:pPr>
      <w:r>
        <w:rPr>
          <w:rFonts w:hint="eastAsia" w:asciiTheme="minorEastAsia" w:hAnsiTheme="minorEastAsia" w:eastAsiaTheme="minorEastAsia"/>
          <w:szCs w:val="21"/>
          <w:highlight w:val="none"/>
          <w:lang w:eastAsia="zh-CN"/>
        </w:rPr>
        <w:t>（</w:t>
      </w:r>
      <w:r>
        <w:rPr>
          <w:rFonts w:hint="eastAsia" w:asciiTheme="minorEastAsia" w:hAnsiTheme="minorEastAsia" w:eastAsiaTheme="minorEastAsia"/>
          <w:szCs w:val="21"/>
          <w:highlight w:val="none"/>
          <w:lang w:val="en-US" w:eastAsia="zh-CN"/>
        </w:rPr>
        <w:t>2</w:t>
      </w:r>
      <w:r>
        <w:rPr>
          <w:rFonts w:hint="eastAsia" w:asciiTheme="minorEastAsia" w:hAnsiTheme="minorEastAsia" w:eastAsiaTheme="minorEastAsia"/>
          <w:szCs w:val="21"/>
          <w:highlight w:val="none"/>
          <w:lang w:eastAsia="zh-CN"/>
        </w:rPr>
        <w:t>）本国产品</w:t>
      </w:r>
    </w:p>
    <w:p w14:paraId="32833CC0">
      <w:pPr>
        <w:adjustRightInd w:val="0"/>
        <w:snapToGrid w:val="0"/>
        <w:spacing w:before="120" w:beforeLines="50" w:line="360" w:lineRule="auto"/>
        <w:ind w:firstLine="420" w:firstLineChars="200"/>
        <w:jc w:val="left"/>
        <w:rPr>
          <w:rFonts w:hint="eastAsia" w:asciiTheme="minorEastAsia" w:hAnsiTheme="minorEastAsia" w:eastAsiaTheme="minorEastAsia"/>
          <w:szCs w:val="21"/>
          <w:highlight w:val="none"/>
          <w:lang w:eastAsia="zh-CN"/>
        </w:rPr>
      </w:pPr>
      <w:r>
        <w:rPr>
          <w:rFonts w:hint="eastAsia" w:ascii="宋体" w:hAnsi="宋体" w:eastAsia="宋体" w:cs="宋体"/>
          <w:color w:val="auto"/>
          <w:kern w:val="0"/>
          <w:sz w:val="21"/>
          <w:szCs w:val="21"/>
          <w:highlight w:val="none"/>
          <w:lang w:val="en-US" w:eastAsia="zh-CN" w:bidi="ar"/>
        </w:rPr>
        <w:t>根据《国务院办公厅关于在政府采购中实施本国产品标准及相关政策的通知》（国办发〔2025〕34号）规定，政府采购活动中既有本国产品又有非本国产品参与竞争的，依法对本国产品给予价格评审优惠，对本国产品的报价给予20%的价格扣除，用扣除后的价格参与评审；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234B3984">
      <w:pPr>
        <w:adjustRightInd w:val="0"/>
        <w:snapToGrid w:val="0"/>
        <w:spacing w:before="120" w:beforeLines="50" w:line="360" w:lineRule="auto"/>
        <w:ind w:firstLine="420" w:firstLineChars="200"/>
        <w:jc w:val="left"/>
        <w:rPr>
          <w:rFonts w:cs="宋体" w:asciiTheme="minorEastAsia" w:hAnsiTheme="minorEastAsia" w:eastAsiaTheme="minorEastAsia"/>
          <w:kern w:val="0"/>
          <w:highlight w:val="none"/>
        </w:rPr>
      </w:pPr>
      <w:r>
        <w:rPr>
          <w:rFonts w:hint="eastAsia" w:cs="宋体" w:asciiTheme="minorEastAsia" w:hAnsiTheme="minorEastAsia" w:eastAsiaTheme="minorEastAsia"/>
          <w:kern w:val="0"/>
          <w:highlight w:val="none"/>
        </w:rPr>
        <w:t>33.2强制采购：</w:t>
      </w:r>
    </w:p>
    <w:p w14:paraId="6596A69B">
      <w:pPr>
        <w:adjustRightInd w:val="0"/>
        <w:snapToGrid w:val="0"/>
        <w:spacing w:before="120" w:beforeLines="50" w:line="360" w:lineRule="auto"/>
        <w:ind w:firstLine="420" w:firstLineChars="200"/>
        <w:jc w:val="left"/>
        <w:rPr>
          <w:rFonts w:cs="宋体" w:asciiTheme="minorEastAsia" w:hAnsiTheme="minorEastAsia" w:eastAsiaTheme="minorEastAsia"/>
          <w:kern w:val="0"/>
          <w:highlight w:val="none"/>
        </w:rPr>
      </w:pPr>
      <w:r>
        <w:rPr>
          <w:rFonts w:hint="eastAsia" w:cs="宋体" w:asciiTheme="minorEastAsia" w:hAnsiTheme="minorEastAsia" w:eastAsiaTheme="minorEastAsia"/>
          <w:kern w:val="0"/>
          <w:highlight w:val="none"/>
        </w:rPr>
        <w:t>纳入财政部会同国务院有关部门发布的节能产品政府采购品目清单，实施政府强制采购的（品目清单标注</w:t>
      </w:r>
      <w:r>
        <w:rPr>
          <w:rFonts w:hint="eastAsia" w:cs="宋体" w:asciiTheme="minorEastAsia" w:hAnsiTheme="minorEastAsia" w:eastAsiaTheme="minorEastAsia"/>
          <w:kern w:val="0"/>
          <w:highlight w:val="none"/>
        </w:rPr>
        <w:sym w:font="Wingdings" w:char="F0AB"/>
      </w:r>
      <w:r>
        <w:rPr>
          <w:rFonts w:hint="eastAsia" w:cs="宋体" w:asciiTheme="minorEastAsia" w:hAnsiTheme="minorEastAsia" w:eastAsiaTheme="minorEastAsia"/>
          <w:kern w:val="0"/>
          <w:highlight w:val="none"/>
        </w:rPr>
        <w:t>符号产品），投标人投标产品应当取得国家确定的认证机构出具的、处于有效期之内的节能产品认证证书，否则其</w:t>
      </w:r>
      <w:r>
        <w:rPr>
          <w:rFonts w:hint="eastAsia" w:cs="宋体" w:asciiTheme="minorEastAsia" w:hAnsiTheme="minorEastAsia" w:eastAsiaTheme="minorEastAsia"/>
          <w:b/>
          <w:kern w:val="0"/>
          <w:szCs w:val="21"/>
          <w:highlight w:val="none"/>
        </w:rPr>
        <w:t>投标无效</w:t>
      </w:r>
      <w:r>
        <w:rPr>
          <w:rFonts w:hint="eastAsia" w:cs="宋体" w:asciiTheme="minorEastAsia" w:hAnsiTheme="minorEastAsia" w:eastAsiaTheme="minorEastAsia"/>
          <w:kern w:val="0"/>
          <w:highlight w:val="none"/>
        </w:rPr>
        <w:t>。</w:t>
      </w:r>
    </w:p>
    <w:p w14:paraId="002A0EA9">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33.3促进中小企业发展：</w:t>
      </w:r>
    </w:p>
    <w:p w14:paraId="47F3615A">
      <w:pPr>
        <w:keepNext w:val="0"/>
        <w:keepLines w:val="0"/>
        <w:pageBreakBefore w:val="0"/>
        <w:widowControl/>
        <w:kinsoku/>
        <w:wordWrap/>
        <w:overflowPunct/>
        <w:topLinePunct w:val="0"/>
        <w:autoSpaceDE/>
        <w:autoSpaceDN/>
        <w:bidi w:val="0"/>
        <w:adjustRightInd/>
        <w:snapToGrid/>
        <w:ind w:firstLine="420" w:firstLineChars="200"/>
        <w:jc w:val="left"/>
        <w:textAlignment w:val="auto"/>
        <w:rPr>
          <w:highlight w:val="none"/>
        </w:rPr>
      </w:pPr>
      <w:r>
        <w:rPr>
          <w:rFonts w:hint="eastAsia" w:asciiTheme="minorEastAsia" w:hAnsiTheme="minorEastAsia" w:eastAsiaTheme="minorEastAsia"/>
          <w:szCs w:val="21"/>
          <w:highlight w:val="none"/>
        </w:rPr>
        <w:t>（1）</w:t>
      </w:r>
      <w:r>
        <w:rPr>
          <w:rFonts w:hint="eastAsia" w:ascii="宋体" w:hAnsi="宋体"/>
          <w:highlight w:val="none"/>
        </w:rPr>
        <w:t>享受</w:t>
      </w:r>
      <w:r>
        <w:rPr>
          <w:rFonts w:ascii="宋体" w:hAnsi="宋体"/>
          <w:highlight w:val="none"/>
        </w:rPr>
        <w:t>《政府采购促进中小企业发展管理办法》财库〔2020〕46号</w:t>
      </w:r>
      <w:r>
        <w:rPr>
          <w:rFonts w:hint="eastAsia" w:ascii="宋体" w:hAnsi="宋体"/>
          <w:highlight w:val="none"/>
        </w:rPr>
        <w:t>规定的扶持政策的企业应符合以下要求之一，并按要求提交《湖南省政府采购供应商资格承诺函》（格式）：</w:t>
      </w:r>
      <w:r>
        <w:rPr>
          <w:rFonts w:hint="eastAsia" w:ascii="宋体" w:hAnsi="宋体"/>
          <w:color w:val="FF0000"/>
          <w:highlight w:val="none"/>
        </w:rPr>
        <w:t>（一）在货物采购项目中，货物由中小企业制造，即货物由中小企业生产且使用该中小企业商号或者注册商标；</w:t>
      </w:r>
      <w:r>
        <w:rPr>
          <w:rFonts w:hint="eastAsia" w:ascii="宋体" w:hAnsi="宋体"/>
          <w:highlight w:val="none"/>
        </w:rPr>
        <w:t>（二）在工程采购项目中，工程由中小企业承建，即工程施工单位为中小企业；（三）在服务采购项目中，服务由中小企业承接，即提2供服务的人员为中小企业依照《中华人民共和国民法典》订立劳动合同的从业人员。在货物采购项目中，供应商提供的货物既有中小企业制造货物，也有大型企业制造货物的，不享受本办法规定的中小企业扶持政策。以联合体形式参加政府采购活动，联合体各方均为中小企业的，联合体视同中小企业。其中，联合体各方均为小微企业的，联合体视同小微企业。</w:t>
      </w:r>
    </w:p>
    <w:p w14:paraId="69FAC78E">
      <w:pPr>
        <w:widowControl/>
        <w:shd w:val="clear" w:color="auto" w:fill="FFFFFF"/>
        <w:spacing w:line="360" w:lineRule="atLeast"/>
        <w:ind w:firstLine="420" w:firstLineChars="200"/>
        <w:jc w:val="left"/>
        <w:rPr>
          <w:rFonts w:ascii="宋体" w:hAnsi="宋体"/>
          <w:highlight w:val="none"/>
        </w:rPr>
      </w:pPr>
      <w:r>
        <w:rPr>
          <w:rFonts w:hint="eastAsia" w:ascii="宋体" w:hAnsi="宋体"/>
          <w:highlight w:val="none"/>
        </w:rPr>
        <w:t>（2）【投标须知前附表】注明本项目专门面向中小企业采购的项目只有中小企业方可参与投标。</w:t>
      </w:r>
    </w:p>
    <w:p w14:paraId="6BC5517C">
      <w:pPr>
        <w:widowControl/>
        <w:shd w:val="clear" w:color="auto" w:fill="FFFFFF"/>
        <w:spacing w:line="360" w:lineRule="atLeast"/>
        <w:ind w:firstLine="420" w:firstLineChars="200"/>
        <w:jc w:val="left"/>
        <w:rPr>
          <w:rFonts w:ascii="宋体" w:hAnsi="宋体"/>
          <w:highlight w:val="none"/>
        </w:rPr>
      </w:pPr>
      <w:r>
        <w:rPr>
          <w:rFonts w:hint="eastAsia" w:ascii="宋体" w:hAnsi="宋体"/>
          <w:highlight w:val="none"/>
        </w:rPr>
        <w:t>（3）【投标须知前附表】注明本项目未预留份额专门面向中小企业，符合5.3（1）条件的供应商，价格按【投标须知前附表】规定给予价格折扣，用扣除后的价格参与评审。</w:t>
      </w:r>
    </w:p>
    <w:p w14:paraId="470F63F5">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（4）</w:t>
      </w:r>
      <w:r>
        <w:rPr>
          <w:rFonts w:hint="eastAsia" w:ascii="Arial" w:hAnsi="Arial" w:cs="Arial"/>
          <w:szCs w:val="21"/>
          <w:highlight w:val="none"/>
          <w:shd w:val="clear" w:color="auto" w:fill="FFFFFF"/>
        </w:rPr>
        <w:t xml:space="preserve">大中型企业与小微企业组成联合体或者大中型企业向一家或者多家小微企业分包的采购项目，对于联合协议或者分包意向协议约定小微企业的合同份额占到合同总金额 30%以上的，对联合体或者大中型企业的报价按 </w:t>
      </w:r>
      <w:r>
        <w:rPr>
          <w:rFonts w:hint="eastAsia" w:ascii="宋体" w:hAnsi="宋体"/>
          <w:b/>
          <w:szCs w:val="21"/>
          <w:highlight w:val="none"/>
        </w:rPr>
        <w:t>【</w:t>
      </w:r>
      <w:r>
        <w:rPr>
          <w:rFonts w:hint="eastAsia" w:ascii="宋体" w:hAnsi="宋体"/>
          <w:highlight w:val="none"/>
        </w:rPr>
        <w:t>投标须知前附表</w:t>
      </w:r>
      <w:r>
        <w:rPr>
          <w:rFonts w:hint="eastAsia" w:ascii="宋体" w:hAnsi="宋体"/>
          <w:b/>
          <w:szCs w:val="21"/>
          <w:highlight w:val="none"/>
        </w:rPr>
        <w:t>】</w:t>
      </w:r>
      <w:r>
        <w:rPr>
          <w:rFonts w:hint="eastAsia" w:ascii="宋体" w:hAnsi="宋体"/>
          <w:szCs w:val="21"/>
          <w:highlight w:val="none"/>
        </w:rPr>
        <w:t>规定</w:t>
      </w:r>
      <w:r>
        <w:rPr>
          <w:rFonts w:hint="eastAsia" w:ascii="宋体" w:hAnsi="宋体"/>
          <w:highlight w:val="none"/>
        </w:rPr>
        <w:t>给予价格折扣</w:t>
      </w:r>
      <w:r>
        <w:rPr>
          <w:rFonts w:hint="eastAsia" w:ascii="Arial" w:hAnsi="Arial" w:cs="Arial"/>
          <w:szCs w:val="21"/>
          <w:highlight w:val="none"/>
          <w:shd w:val="clear" w:color="auto" w:fill="FFFFFF"/>
        </w:rPr>
        <w:t>，用扣除后的价格参加评审。</w:t>
      </w:r>
    </w:p>
    <w:p w14:paraId="6B78764B">
      <w:pPr>
        <w:adjustRightInd w:val="0"/>
        <w:snapToGrid w:val="0"/>
        <w:spacing w:before="120" w:beforeLines="50" w:line="360" w:lineRule="auto"/>
        <w:ind w:firstLine="420" w:firstLineChars="200"/>
        <w:jc w:val="left"/>
        <w:rPr>
          <w:rFonts w:ascii="宋体" w:hAnsi="宋体"/>
          <w:szCs w:val="21"/>
          <w:highlight w:val="none"/>
        </w:rPr>
      </w:pPr>
      <w:r>
        <w:rPr>
          <w:rFonts w:hint="eastAsia" w:asciiTheme="minorEastAsia" w:hAnsiTheme="minorEastAsia" w:eastAsiaTheme="minorEastAsia"/>
          <w:highlight w:val="none"/>
        </w:rPr>
        <w:t>（</w:t>
      </w:r>
      <w:r>
        <w:rPr>
          <w:rFonts w:hint="eastAsia" w:asciiTheme="minorEastAsia" w:hAnsiTheme="minorEastAsia" w:eastAsiaTheme="minorEastAsia"/>
          <w:sz w:val="24"/>
          <w:highlight w:val="none"/>
        </w:rPr>
        <w:t>5</w:t>
      </w:r>
      <w:r>
        <w:rPr>
          <w:rFonts w:hint="eastAsia" w:asciiTheme="minorEastAsia" w:hAnsiTheme="minorEastAsia" w:eastAsiaTheme="minorEastAsia"/>
          <w:highlight w:val="none"/>
        </w:rPr>
        <w:t>）</w:t>
      </w:r>
      <w:r>
        <w:rPr>
          <w:rFonts w:hint="eastAsia" w:ascii="宋体" w:hAnsi="宋体"/>
          <w:highlight w:val="none"/>
        </w:rPr>
        <w:t>监狱企业、残</w:t>
      </w:r>
      <w:r>
        <w:rPr>
          <w:rFonts w:hint="eastAsia" w:ascii="宋体" w:hAnsi="宋体"/>
          <w:szCs w:val="21"/>
          <w:highlight w:val="none"/>
        </w:rPr>
        <w:t>疾人福利性单位视同小型、微型企业，享受评审中价格扣除等促进中小企业发展的政府采购政策。</w:t>
      </w:r>
      <w:r>
        <w:rPr>
          <w:rFonts w:ascii="宋体" w:hAnsi="宋体"/>
          <w:szCs w:val="21"/>
          <w:highlight w:val="none"/>
        </w:rPr>
        <w:t xml:space="preserve"> </w:t>
      </w:r>
    </w:p>
    <w:p w14:paraId="3B416F46">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宋体" w:hAnsi="宋体"/>
          <w:highlight w:val="none"/>
        </w:rPr>
        <w:t>（6）在货物采购项目中，供应商提供的货物既有中小企业制造货物，也有大型企业制造货物的，不享受本办法规定的中小企业扶持政策</w:t>
      </w:r>
    </w:p>
    <w:p w14:paraId="2CA755A0">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（7）监狱企业、残</w:t>
      </w:r>
      <w:r>
        <w:rPr>
          <w:rFonts w:hint="eastAsia" w:asciiTheme="minorEastAsia" w:hAnsiTheme="minorEastAsia" w:eastAsiaTheme="minorEastAsia"/>
          <w:szCs w:val="21"/>
          <w:highlight w:val="none"/>
        </w:rPr>
        <w:t>疾人福利性单位视同小型、微型企业，享受评审中价格扣除等促进中小企业发展的政府采购政策。</w:t>
      </w:r>
    </w:p>
    <w:p w14:paraId="38E5AE66">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33.4政府采购政策交叉与叠加</w:t>
      </w:r>
    </w:p>
    <w:p w14:paraId="3F231099">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（1）投标产品取得两个及以上优先采购产品认证的，评审时只有其中一项产品能享受优先采购优惠（投标人自行选择，并在投标文件中并填报相关信息及数据）</w:t>
      </w:r>
    </w:p>
    <w:p w14:paraId="0FB795C0">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（2）投标人同时符合小型、微型企业及监狱企业、残疾人福利性单位要求的，评审时只有一种类型享受价格评审优惠政策；</w:t>
      </w:r>
    </w:p>
    <w:p w14:paraId="1587FBC3">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（3）小型和微型企业的价格评审优惠可以与同时属于“节能产品”、“环境标志产品”中的一项优先采购优惠累加计算。</w:t>
      </w:r>
    </w:p>
    <w:p w14:paraId="5972279A">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33.5部分投标产品属于节能产品或环境标志产品优先采购的，评审时只对该部分产品的报价实行价格扣除及加分。投标人应按本章第33.6款规定提供相关证明资料（包括提供相关报价）。</w:t>
      </w:r>
    </w:p>
    <w:p w14:paraId="5251E8CE">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33.6投标人符合本章第33.1款、第33.2款、第33.3款规定的，应提供相关证明资料。</w:t>
      </w:r>
    </w:p>
    <w:p w14:paraId="55F3AF2E">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（1）节能产品、环境标志产品：提供国家确定的认证机构出具的、处于有效期之内的节能产品、环境标志产品认证证书（复印件）。</w:t>
      </w:r>
    </w:p>
    <w:p w14:paraId="0906DF4B">
      <w:pPr>
        <w:widowControl/>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（2）</w:t>
      </w:r>
      <w:r>
        <w:rPr>
          <w:rFonts w:hint="eastAsia" w:ascii="宋体" w:hAnsi="宋体"/>
          <w:highlight w:val="none"/>
        </w:rPr>
        <w:t>中小企业：按《关于印发＜政府采购促进中小企业发展办法＞的通知》(财库[2020]46号) 和《关于印发中小企业划型标准规定的通知》（工信部联企业〔2011〕300号）文件规定提供中小企业声明函（格式）；</w:t>
      </w:r>
    </w:p>
    <w:p w14:paraId="4FCAAD1E">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（3）监狱企业：按《关于政府采购支持监狱企业发展有关问题的通知》(财库〔2014〕68号)文件规定提供证明文件（复印件）。</w:t>
      </w:r>
    </w:p>
    <w:p w14:paraId="685763F6">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（4）残疾人福利性单位：按《关于促进残疾人就业政府采购政策的通知》(财库〔2017〕141号)文件规定提供《残疾人福利性单位声明函》（格式）。</w:t>
      </w:r>
    </w:p>
    <w:p w14:paraId="15E45830">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highlight w:val="none"/>
        </w:rPr>
        <w:t>33.7投标人有融资、担保需求的，可登陆中国湖南政府采购网查询相关银行、担保机构业务。</w:t>
      </w:r>
    </w:p>
    <w:p w14:paraId="56F76B6F">
      <w:pPr>
        <w:bidi w:val="0"/>
      </w:pPr>
    </w:p>
    <w:p w14:paraId="586D882D">
      <w:pPr>
        <w:pStyle w:val="5"/>
        <w:adjustRightInd w:val="0"/>
        <w:snapToGrid w:val="0"/>
        <w:spacing w:before="120" w:beforeLines="50" w:after="0" w:line="360" w:lineRule="auto"/>
        <w:jc w:val="center"/>
        <w:rPr>
          <w:rFonts w:ascii="黑体" w:hAnsi="黑体" w:eastAsia="黑体"/>
          <w:sz w:val="28"/>
          <w:szCs w:val="28"/>
          <w:highlight w:val="none"/>
        </w:rPr>
      </w:pPr>
      <w:bookmarkStart w:id="34" w:name="_Toc24182"/>
      <w:bookmarkStart w:id="35" w:name="_Toc29837"/>
      <w:r>
        <w:rPr>
          <w:rFonts w:hint="eastAsia" w:ascii="黑体" w:hAnsi="黑体" w:eastAsia="黑体"/>
          <w:sz w:val="28"/>
          <w:szCs w:val="28"/>
          <w:highlight w:val="none"/>
        </w:rPr>
        <w:t>九、其他规定</w:t>
      </w:r>
      <w:bookmarkEnd w:id="34"/>
      <w:bookmarkEnd w:id="35"/>
    </w:p>
    <w:p w14:paraId="73D47CF0">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bCs/>
          <w:sz w:val="24"/>
          <w:highlight w:val="none"/>
        </w:rPr>
        <w:t>34.</w:t>
      </w:r>
      <w:r>
        <w:rPr>
          <w:rFonts w:hint="eastAsia" w:asciiTheme="minorEastAsia" w:hAnsiTheme="minorEastAsia" w:eastAsiaTheme="minorEastAsia"/>
          <w:b/>
          <w:sz w:val="24"/>
          <w:highlight w:val="none"/>
        </w:rPr>
        <w:t>招标不足三家处理</w:t>
      </w:r>
    </w:p>
    <w:p w14:paraId="732291A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34.1公开招标数额标准以上的采购项目，投标截止后投标人不足3家或者通过资格审查或符合性审查的投标人不足3家的，除采购任务取消情形外，按照以下方式处理：</w:t>
      </w:r>
    </w:p>
    <w:p w14:paraId="39A03EEA">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（1）招标文件存在不合理条款或者招标程序不符合规定的，采购人、采购代理机构改正后依法重新招标；</w:t>
      </w:r>
    </w:p>
    <w:p w14:paraId="72FAF8D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（2）招标文件没有不合理条款、招标程序符合规定，需要采用其他采购方式采购的，采购人应当依法报财政部门批准。</w:t>
      </w:r>
    </w:p>
    <w:p w14:paraId="547B837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34.2属上款第（2）项情形的，评标委员会应出具的招标文件没有不合理条款的论证意见。</w:t>
      </w:r>
    </w:p>
    <w:p w14:paraId="650D910C">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bCs/>
          <w:sz w:val="24"/>
          <w:highlight w:val="none"/>
        </w:rPr>
        <w:t>35.</w:t>
      </w:r>
      <w:r>
        <w:rPr>
          <w:rFonts w:hint="eastAsia" w:asciiTheme="minorEastAsia" w:hAnsiTheme="minorEastAsia" w:eastAsiaTheme="minorEastAsia"/>
          <w:b/>
          <w:sz w:val="24"/>
          <w:highlight w:val="none"/>
        </w:rPr>
        <w:t xml:space="preserve"> 招标代理服务费</w:t>
      </w:r>
    </w:p>
    <w:p w14:paraId="71FCCF1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35.1招标代理服务费由中标人支付的，投标人应按</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规定向采购代理机构交纳招标代理服务费，并在投标文件中提供中标服务费承诺书。</w:t>
      </w:r>
    </w:p>
    <w:p w14:paraId="0D2F257F">
      <w:p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cs="宋体" w:asciiTheme="minorEastAsia" w:hAnsiTheme="minorEastAsia" w:eastAsiaTheme="minorEastAsia"/>
          <w:b/>
          <w:kern w:val="0"/>
          <w:sz w:val="24"/>
          <w:highlight w:val="none"/>
        </w:rPr>
        <w:t>36.</w:t>
      </w:r>
      <w:r>
        <w:rPr>
          <w:rFonts w:hint="eastAsia" w:asciiTheme="minorEastAsia" w:hAnsiTheme="minorEastAsia" w:eastAsiaTheme="minorEastAsia"/>
          <w:b/>
          <w:sz w:val="24"/>
          <w:highlight w:val="none"/>
        </w:rPr>
        <w:t xml:space="preserve"> 需要补充的其他内容</w:t>
      </w:r>
    </w:p>
    <w:p w14:paraId="762D59A3">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highlight w:val="none"/>
        </w:rPr>
        <w:t>36.1招标文件需要补充的其</w:t>
      </w:r>
      <w:r>
        <w:rPr>
          <w:rFonts w:hint="eastAsia" w:asciiTheme="minorEastAsia" w:hAnsiTheme="minorEastAsia" w:eastAsiaTheme="minorEastAsia"/>
          <w:szCs w:val="21"/>
          <w:highlight w:val="none"/>
        </w:rPr>
        <w:t>他内容见</w:t>
      </w:r>
      <w:r>
        <w:rPr>
          <w:rFonts w:hint="eastAsia" w:asciiTheme="minorEastAsia" w:hAnsiTheme="minorEastAsia" w:eastAsiaTheme="minorEastAsia"/>
          <w:b/>
          <w:szCs w:val="21"/>
          <w:highlight w:val="none"/>
        </w:rPr>
        <w:t>【投标须知前附表】</w:t>
      </w:r>
      <w:r>
        <w:rPr>
          <w:rFonts w:hint="eastAsia" w:asciiTheme="minorEastAsia" w:hAnsiTheme="minorEastAsia" w:eastAsiaTheme="minorEastAsia"/>
          <w:szCs w:val="21"/>
          <w:highlight w:val="none"/>
        </w:rPr>
        <w:t>。</w:t>
      </w:r>
    </w:p>
    <w:p w14:paraId="27E13C24">
      <w:pPr>
        <w:adjustRightInd w:val="0"/>
        <w:snapToGrid w:val="0"/>
        <w:spacing w:before="120" w:beforeLines="50" w:line="360" w:lineRule="auto"/>
        <w:jc w:val="left"/>
        <w:rPr>
          <w:rFonts w:asciiTheme="minorEastAsia" w:hAnsiTheme="minorEastAsia" w:eastAsiaTheme="minorEastAsia"/>
          <w:szCs w:val="21"/>
          <w:highlight w:val="none"/>
        </w:rPr>
      </w:pPr>
      <w:r>
        <w:rPr>
          <w:rFonts w:hint="eastAsia" w:asciiTheme="minorEastAsia" w:hAnsiTheme="minorEastAsia" w:eastAsiaTheme="minorEastAsia"/>
          <w:b/>
          <w:sz w:val="24"/>
          <w:highlight w:val="none"/>
        </w:rPr>
        <w:t>37.全流程电子化交易说明</w:t>
      </w:r>
      <w:r>
        <w:rPr>
          <w:rFonts w:hint="eastAsia" w:asciiTheme="minorEastAsia" w:hAnsiTheme="minorEastAsia" w:eastAsiaTheme="minorEastAsia"/>
          <w:szCs w:val="21"/>
          <w:highlight w:val="none"/>
        </w:rPr>
        <w:t>（详见投标须知前附表）</w:t>
      </w:r>
    </w:p>
    <w:p w14:paraId="5F566F58">
      <w:pPr>
        <w:numPr>
          <w:ilvl w:val="0"/>
          <w:numId w:val="4"/>
        </w:numPr>
        <w:adjustRightInd w:val="0"/>
        <w:snapToGrid w:val="0"/>
        <w:spacing w:before="120" w:beforeLines="50" w:line="360" w:lineRule="auto"/>
        <w:jc w:val="left"/>
        <w:rPr>
          <w:rFonts w:asciiTheme="minorEastAsia" w:hAnsiTheme="minorEastAsia" w:eastAsiaTheme="minorEastAsia"/>
          <w:b/>
          <w:sz w:val="24"/>
          <w:highlight w:val="none"/>
        </w:rPr>
      </w:pPr>
      <w:r>
        <w:rPr>
          <w:rFonts w:hint="eastAsia" w:asciiTheme="minorEastAsia" w:hAnsiTheme="minorEastAsia" w:eastAsiaTheme="minorEastAsia"/>
          <w:b/>
          <w:sz w:val="24"/>
          <w:highlight w:val="none"/>
        </w:rPr>
        <w:br w:type="page"/>
      </w:r>
    </w:p>
    <w:p w14:paraId="63E7CCB3">
      <w:pPr>
        <w:pStyle w:val="2"/>
        <w:rPr>
          <w:rFonts w:ascii="黑体" w:hAnsi="黑体" w:eastAsia="黑体"/>
          <w:sz w:val="32"/>
          <w:szCs w:val="32"/>
          <w:highlight w:val="none"/>
        </w:rPr>
      </w:pPr>
      <w:bookmarkStart w:id="36" w:name="_Toc14235"/>
      <w:r>
        <w:rPr>
          <w:rFonts w:hint="eastAsia" w:ascii="黑体" w:hAnsi="黑体" w:eastAsia="黑体"/>
          <w:sz w:val="32"/>
          <w:szCs w:val="32"/>
          <w:highlight w:val="none"/>
        </w:rPr>
        <w:t>第三章 资格审查</w:t>
      </w:r>
      <w:bookmarkEnd w:id="36"/>
    </w:p>
    <w:p w14:paraId="6642A64B">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1．资格审查主体</w:t>
      </w:r>
    </w:p>
    <w:p w14:paraId="50427800">
      <w:pPr>
        <w:adjustRightInd w:val="0"/>
        <w:snapToGrid w:val="0"/>
        <w:spacing w:before="120" w:beforeLines="50" w:line="360" w:lineRule="auto"/>
        <w:ind w:firstLine="417" w:firstLineChars="199"/>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1.1资格审查主体：采购人、采购代理机构负责资格审查。</w:t>
      </w:r>
    </w:p>
    <w:p w14:paraId="67572AA3">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2．资格审查</w:t>
      </w:r>
    </w:p>
    <w:p w14:paraId="476C0EF9">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2.1资格审查依据法律法规和招标文件的规定，对投标文件中的资格证明文件、投标保证金、投标报价等进行审查，以确定投标供应商是否具备投标资格。</w:t>
      </w:r>
    </w:p>
    <w:p w14:paraId="183E35A9">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2.2采购人、采购代理机构按本章附表1“资格审查表”所列审查项目及审查标准，对投标人资格进行审查。</w:t>
      </w:r>
    </w:p>
    <w:p w14:paraId="1CBC4705">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2.3在资格审查时，投标人存在下列情况之一的，资格审查不合格，其投标无效：</w:t>
      </w:r>
    </w:p>
    <w:p w14:paraId="5BEBBAC9">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（1）不具备招标文件中规定的资格要求的，或提交的资格证明文件不符合招标文件要求的；</w:t>
      </w:r>
    </w:p>
    <w:p w14:paraId="6C7C51B8">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（2）联合体投标未提交联合体协议书，或未提交联合体各方资格证明文件的（不适用）；</w:t>
      </w:r>
    </w:p>
    <w:p w14:paraId="68CB626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（3）投标文件的资格证明文件未按照招标文件要求签署、盖章的；</w:t>
      </w:r>
    </w:p>
    <w:p w14:paraId="2596B358">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（4）未按照招标文件的规定提交投标保证金的。</w:t>
      </w:r>
    </w:p>
    <w:p w14:paraId="7AB66EE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（5）投标报价超过招标文件中规定的预算金额或者最高限价的；</w:t>
      </w:r>
    </w:p>
    <w:p w14:paraId="03FBBEF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（6）法律、法规和招标文件规定的其他投标无效情形的。</w:t>
      </w:r>
    </w:p>
    <w:p w14:paraId="0815EEC9">
      <w:pPr>
        <w:adjustRightInd w:val="0"/>
        <w:snapToGrid w:val="0"/>
        <w:spacing w:before="120" w:beforeLines="50" w:line="360" w:lineRule="auto"/>
        <w:ind w:firstLine="420" w:firstLineChars="200"/>
        <w:jc w:val="left"/>
        <w:rPr>
          <w:rFonts w:asciiTheme="minorEastAsia" w:hAnsiTheme="minorEastAsia" w:eastAsiaTheme="minorEastAsia"/>
          <w:b/>
          <w:sz w:val="32"/>
          <w:szCs w:val="32"/>
          <w:highlight w:val="none"/>
        </w:rPr>
      </w:pPr>
      <w:r>
        <w:rPr>
          <w:rFonts w:hint="eastAsia" w:asciiTheme="minorEastAsia" w:hAnsiTheme="minorEastAsia" w:eastAsiaTheme="minorEastAsia"/>
          <w:highlight w:val="none"/>
        </w:rPr>
        <w:t>2.4信用记录。开标结束后</w:t>
      </w:r>
      <w:r>
        <w:rPr>
          <w:rFonts w:hint="eastAsia" w:asciiTheme="minorEastAsia" w:hAnsiTheme="minorEastAsia" w:eastAsiaTheme="minorEastAsia"/>
          <w:szCs w:val="21"/>
          <w:highlight w:val="none"/>
        </w:rPr>
        <w:t>资格审查时，采购人、采购代理机构将对投标人信用记录进行甄别。</w:t>
      </w:r>
    </w:p>
    <w:p w14:paraId="374CD39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（1）信用信息查询的查询渠道：信用中国网（www.creditchina.gov.cn）、中国政府采购网（www.ccgp.gov.cn）；</w:t>
      </w:r>
    </w:p>
    <w:p w14:paraId="54369CA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不良信用记录是指：投标人在“信用中国”网站被列入失信被执行人和重大税收违法案件当事人名单，或在“中国政府采购网”网站被列入政府采购严重违法失信行为记录名单。投标人有上述不良信用记录的，其投标无效，其中，列入政府采购严重违法失信行为记录名单的，按处罚结果执行。</w:t>
      </w:r>
    </w:p>
    <w:p w14:paraId="0292CBE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（3）联合体形式投标的，联合体成员存在不良信用记录的，视同联合体存在不良信用记录（不适用）。</w:t>
      </w:r>
    </w:p>
    <w:p w14:paraId="29AA784C">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（4）信用信息查询记录和证据留存具体方式：</w:t>
      </w:r>
      <w:r>
        <w:rPr>
          <w:rFonts w:hint="eastAsia" w:ascii="宋体" w:hAnsi="宋体" w:eastAsiaTheme="minorEastAsia"/>
          <w:szCs w:val="21"/>
          <w:highlight w:val="none"/>
        </w:rPr>
        <w:t>投标人</w:t>
      </w:r>
      <w:r>
        <w:rPr>
          <w:rFonts w:ascii="宋体" w:hAnsi="宋体"/>
          <w:szCs w:val="21"/>
          <w:highlight w:val="none"/>
        </w:rPr>
        <w:t>将查询网页</w:t>
      </w:r>
      <w:r>
        <w:rPr>
          <w:rFonts w:hint="eastAsia" w:ascii="宋体" w:hAnsi="宋体"/>
          <w:szCs w:val="21"/>
          <w:highlight w:val="none"/>
        </w:rPr>
        <w:t>截图、</w:t>
      </w:r>
      <w:r>
        <w:rPr>
          <w:rFonts w:ascii="宋体" w:hAnsi="宋体"/>
          <w:szCs w:val="21"/>
          <w:highlight w:val="none"/>
        </w:rPr>
        <w:t>打印、</w:t>
      </w:r>
      <w:r>
        <w:rPr>
          <w:rFonts w:hint="eastAsia" w:ascii="宋体" w:hAnsi="宋体"/>
          <w:szCs w:val="21"/>
          <w:highlight w:val="none"/>
        </w:rPr>
        <w:t>盖章，作为查询记录和证据，做入响应文件资格证明材料部分。</w:t>
      </w:r>
      <w:r>
        <w:rPr>
          <w:rFonts w:ascii="宋体" w:hAnsi="宋体"/>
          <w:szCs w:val="21"/>
          <w:highlight w:val="none"/>
        </w:rPr>
        <w:t>投标人不良信用记录以</w:t>
      </w:r>
      <w:r>
        <w:rPr>
          <w:rFonts w:hint="eastAsia" w:ascii="宋体" w:hAnsi="宋体"/>
          <w:szCs w:val="21"/>
          <w:highlight w:val="none"/>
        </w:rPr>
        <w:t>该</w:t>
      </w:r>
      <w:r>
        <w:rPr>
          <w:rFonts w:ascii="宋体" w:hAnsi="宋体"/>
          <w:szCs w:val="21"/>
          <w:highlight w:val="none"/>
        </w:rPr>
        <w:t>查询结果为准</w:t>
      </w:r>
      <w:r>
        <w:rPr>
          <w:rFonts w:hint="eastAsia" w:ascii="宋体" w:hAnsi="宋体"/>
          <w:szCs w:val="21"/>
          <w:highlight w:val="none"/>
        </w:rPr>
        <w:t>，投标人不得弄虚作假，否则以虚假响应处理。</w:t>
      </w:r>
    </w:p>
    <w:p w14:paraId="121AC9C1">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3．资格审查结果</w:t>
      </w:r>
    </w:p>
    <w:p w14:paraId="288030E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3.1未通过资格审查的投标人，采购人、采购代理机构应当告知其未通过的原因。</w:t>
      </w:r>
    </w:p>
    <w:p w14:paraId="2BAAD2EA">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3.2资格审查结束后，采购人、采购代理机构应将资格审查结果告知评标委员会。</w:t>
      </w:r>
    </w:p>
    <w:p w14:paraId="67C9F75D">
      <w:pPr>
        <w:adjustRightInd w:val="0"/>
        <w:snapToGrid w:val="0"/>
        <w:spacing w:before="50" w:line="360" w:lineRule="auto"/>
        <w:rPr>
          <w:rFonts w:ascii="黑体" w:hAnsi="黑体" w:eastAsia="黑体"/>
          <w:sz w:val="24"/>
          <w:highlight w:val="none"/>
        </w:rPr>
      </w:pPr>
      <w:r>
        <w:rPr>
          <w:rFonts w:hint="eastAsia" w:ascii="黑体" w:hAnsi="黑体" w:eastAsia="黑体"/>
          <w:sz w:val="24"/>
          <w:highlight w:val="none"/>
        </w:rPr>
        <w:t>4．其他</w:t>
      </w:r>
    </w:p>
    <w:p w14:paraId="0E711B2A">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4.1资格预审合格的投标人在提交投标文件的截止时间前资格发生变化的，应当通知采购人、采购代理机构，并按新情况更新或补充其在申请资格预审时提供的证明资料，以证实其各项资格条件仍能继续满足资格预审公告的要求。</w:t>
      </w:r>
    </w:p>
    <w:p w14:paraId="220CED3B">
      <w:pPr>
        <w:adjustRightInd w:val="0"/>
        <w:snapToGrid w:val="0"/>
        <w:spacing w:before="120" w:beforeLines="50" w:line="360" w:lineRule="auto"/>
        <w:ind w:firstLine="420" w:firstLineChars="200"/>
        <w:jc w:val="left"/>
        <w:rPr>
          <w:rFonts w:ascii="华文中宋" w:hAnsi="华文中宋" w:eastAsia="华文中宋"/>
          <w:b/>
          <w:bCs/>
          <w:sz w:val="32"/>
          <w:highlight w:val="none"/>
        </w:rPr>
      </w:pPr>
      <w:r>
        <w:rPr>
          <w:rFonts w:ascii="华文中宋" w:hAnsi="华文中宋" w:eastAsia="华文中宋"/>
          <w:highlight w:val="none"/>
        </w:rPr>
        <w:br w:type="page"/>
      </w:r>
    </w:p>
    <w:p w14:paraId="2A0C421B">
      <w:pPr>
        <w:adjustRightInd w:val="0"/>
        <w:snapToGrid w:val="0"/>
        <w:spacing w:line="360" w:lineRule="auto"/>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附表1</w:t>
      </w:r>
      <w:r>
        <w:rPr>
          <w:rFonts w:asciiTheme="minorEastAsia" w:hAnsiTheme="minorEastAsia" w:eastAsiaTheme="minorEastAsia"/>
          <w:szCs w:val="21"/>
          <w:highlight w:val="none"/>
        </w:rPr>
        <w:t>资格审查表</w:t>
      </w:r>
    </w:p>
    <w:p w14:paraId="6E638F3E">
      <w:pPr>
        <w:adjustRightInd w:val="0"/>
        <w:snapToGrid w:val="0"/>
        <w:spacing w:line="360" w:lineRule="auto"/>
        <w:jc w:val="center"/>
        <w:rPr>
          <w:rFonts w:ascii="黑体" w:hAnsi="黑体" w:eastAsia="黑体"/>
          <w:b/>
          <w:sz w:val="28"/>
          <w:szCs w:val="28"/>
          <w:highlight w:val="none"/>
        </w:rPr>
      </w:pPr>
      <w:r>
        <w:rPr>
          <w:rFonts w:ascii="黑体" w:hAnsi="黑体" w:eastAsia="黑体"/>
          <w:b/>
          <w:sz w:val="28"/>
          <w:szCs w:val="28"/>
          <w:highlight w:val="none"/>
        </w:rPr>
        <w:t>资格审查表</w:t>
      </w:r>
    </w:p>
    <w:p w14:paraId="37DAED5B">
      <w:pPr>
        <w:adjustRightInd w:val="0"/>
        <w:snapToGrid w:val="0"/>
        <w:spacing w:line="360" w:lineRule="auto"/>
        <w:rPr>
          <w:rFonts w:ascii="黑体" w:hAnsi="黑体" w:eastAsia="黑体"/>
          <w:sz w:val="28"/>
          <w:szCs w:val="28"/>
          <w:highlight w:val="none"/>
        </w:rPr>
      </w:pPr>
      <w:r>
        <w:rPr>
          <w:rFonts w:hint="eastAsia" w:asciiTheme="minorEastAsia" w:hAnsiTheme="minorEastAsia" w:eastAsiaTheme="minorEastAsia"/>
          <w:szCs w:val="21"/>
          <w:highlight w:val="none"/>
        </w:rPr>
        <w:t>项目名称：                                          采购代理编号：</w:t>
      </w:r>
    </w:p>
    <w:tbl>
      <w:tblPr>
        <w:tblStyle w:val="44"/>
        <w:tblW w:w="9060"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83"/>
        <w:gridCol w:w="6183"/>
        <w:gridCol w:w="2194"/>
      </w:tblGrid>
      <w:tr w14:paraId="3B06FB3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683" w:type="dxa"/>
            <w:vAlign w:val="center"/>
          </w:tcPr>
          <w:p w14:paraId="678ACDAD">
            <w:pPr>
              <w:adjustRightInd w:val="0"/>
              <w:snapToGrid w:val="0"/>
              <w:spacing w:before="120" w:beforeLines="50" w:line="360" w:lineRule="auto"/>
              <w:jc w:val="center"/>
              <w:rPr>
                <w:rFonts w:cs="宋体" w:asciiTheme="minorEastAsia" w:hAnsiTheme="minorEastAsia" w:eastAsiaTheme="minorEastAsia"/>
                <w:b/>
                <w:kern w:val="0"/>
                <w:sz w:val="18"/>
                <w:szCs w:val="18"/>
                <w:highlight w:val="none"/>
              </w:rPr>
            </w:pPr>
            <w:r>
              <w:rPr>
                <w:rFonts w:hint="eastAsia" w:cs="宋体" w:asciiTheme="minorEastAsia" w:hAnsiTheme="minorEastAsia" w:eastAsiaTheme="minorEastAsia"/>
                <w:b/>
                <w:kern w:val="0"/>
                <w:sz w:val="18"/>
                <w:szCs w:val="18"/>
                <w:highlight w:val="none"/>
              </w:rPr>
              <w:t>序号</w:t>
            </w:r>
          </w:p>
        </w:tc>
        <w:tc>
          <w:tcPr>
            <w:tcW w:w="6183" w:type="dxa"/>
            <w:vAlign w:val="center"/>
          </w:tcPr>
          <w:p w14:paraId="5BEF0B2D">
            <w:pPr>
              <w:adjustRightInd w:val="0"/>
              <w:snapToGrid w:val="0"/>
              <w:spacing w:before="120" w:beforeLines="50" w:line="360" w:lineRule="auto"/>
              <w:jc w:val="center"/>
              <w:rPr>
                <w:rFonts w:cs="宋体" w:asciiTheme="minorEastAsia" w:hAnsiTheme="minorEastAsia" w:eastAsiaTheme="minorEastAsia"/>
                <w:b/>
                <w:kern w:val="0"/>
                <w:sz w:val="18"/>
                <w:szCs w:val="18"/>
                <w:highlight w:val="none"/>
              </w:rPr>
            </w:pPr>
            <w:r>
              <w:rPr>
                <w:rFonts w:hint="eastAsia" w:cs="宋体" w:asciiTheme="minorEastAsia" w:hAnsiTheme="minorEastAsia" w:eastAsiaTheme="minorEastAsia"/>
                <w:b/>
                <w:kern w:val="0"/>
                <w:sz w:val="18"/>
                <w:szCs w:val="18"/>
                <w:highlight w:val="none"/>
              </w:rPr>
              <w:t>审查项目</w:t>
            </w:r>
          </w:p>
        </w:tc>
        <w:tc>
          <w:tcPr>
            <w:tcW w:w="2194" w:type="dxa"/>
            <w:vAlign w:val="center"/>
          </w:tcPr>
          <w:p w14:paraId="5F5FA6AA">
            <w:pPr>
              <w:adjustRightInd w:val="0"/>
              <w:snapToGrid w:val="0"/>
              <w:spacing w:before="120" w:beforeLines="50" w:line="360" w:lineRule="auto"/>
              <w:jc w:val="center"/>
              <w:rPr>
                <w:rFonts w:cs="宋体" w:asciiTheme="minorEastAsia" w:hAnsiTheme="minorEastAsia" w:eastAsiaTheme="minorEastAsia"/>
                <w:b/>
                <w:kern w:val="0"/>
                <w:sz w:val="18"/>
                <w:szCs w:val="18"/>
                <w:highlight w:val="none"/>
              </w:rPr>
            </w:pPr>
            <w:r>
              <w:rPr>
                <w:rFonts w:hint="eastAsia" w:cs="宋体" w:asciiTheme="minorEastAsia" w:hAnsiTheme="minorEastAsia" w:eastAsiaTheme="minorEastAsia"/>
                <w:b/>
                <w:kern w:val="0"/>
                <w:sz w:val="18"/>
                <w:szCs w:val="18"/>
                <w:highlight w:val="none"/>
              </w:rPr>
              <w:t>审查标准</w:t>
            </w:r>
          </w:p>
        </w:tc>
      </w:tr>
      <w:tr w14:paraId="740C5E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9" w:hRule="atLeast"/>
        </w:trPr>
        <w:tc>
          <w:tcPr>
            <w:tcW w:w="683" w:type="dxa"/>
            <w:vAlign w:val="center"/>
          </w:tcPr>
          <w:p w14:paraId="3B799795">
            <w:pPr>
              <w:adjustRightInd w:val="0"/>
              <w:snapToGrid w:val="0"/>
              <w:spacing w:line="360" w:lineRule="auto"/>
              <w:jc w:val="center"/>
              <w:rPr>
                <w:sz w:val="18"/>
                <w:szCs w:val="18"/>
                <w:highlight w:val="none"/>
              </w:rPr>
            </w:pPr>
            <w:r>
              <w:rPr>
                <w:rFonts w:hint="eastAsia"/>
                <w:sz w:val="18"/>
                <w:szCs w:val="18"/>
                <w:highlight w:val="none"/>
              </w:rPr>
              <w:t>1</w:t>
            </w:r>
          </w:p>
        </w:tc>
        <w:tc>
          <w:tcPr>
            <w:tcW w:w="6183" w:type="dxa"/>
            <w:vAlign w:val="center"/>
          </w:tcPr>
          <w:p w14:paraId="1D4099E6">
            <w:pPr>
              <w:adjustRightInd w:val="0"/>
              <w:snapToGrid w:val="0"/>
              <w:spacing w:line="360" w:lineRule="auto"/>
              <w:rPr>
                <w:rFonts w:hint="eastAsia" w:eastAsia="宋体"/>
                <w:sz w:val="18"/>
                <w:szCs w:val="18"/>
                <w:highlight w:val="none"/>
                <w:lang w:eastAsia="zh-CN"/>
              </w:rPr>
            </w:pPr>
            <w:r>
              <w:rPr>
                <w:rFonts w:hint="eastAsia"/>
                <w:sz w:val="18"/>
                <w:szCs w:val="18"/>
                <w:highlight w:val="none"/>
              </w:rPr>
              <w:t>报价</w:t>
            </w:r>
            <w:r>
              <w:rPr>
                <w:rFonts w:hint="eastAsia"/>
                <w:sz w:val="18"/>
                <w:szCs w:val="18"/>
                <w:highlight w:val="none"/>
                <w:lang w:eastAsia="zh-CN"/>
              </w:rPr>
              <w:t>不高于最高限价</w:t>
            </w:r>
          </w:p>
        </w:tc>
        <w:tc>
          <w:tcPr>
            <w:tcW w:w="2194" w:type="dxa"/>
            <w:vAlign w:val="center"/>
          </w:tcPr>
          <w:p w14:paraId="1E2B061D">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2C6D615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924" w:hRule="atLeast"/>
        </w:trPr>
        <w:tc>
          <w:tcPr>
            <w:tcW w:w="683" w:type="dxa"/>
            <w:vAlign w:val="center"/>
          </w:tcPr>
          <w:p w14:paraId="14A2E060">
            <w:pPr>
              <w:adjustRightInd w:val="0"/>
              <w:snapToGrid w:val="0"/>
              <w:spacing w:line="360" w:lineRule="auto"/>
              <w:jc w:val="center"/>
              <w:rPr>
                <w:sz w:val="18"/>
                <w:szCs w:val="18"/>
                <w:highlight w:val="none"/>
              </w:rPr>
            </w:pPr>
            <w:r>
              <w:rPr>
                <w:rFonts w:hint="eastAsia"/>
                <w:sz w:val="18"/>
                <w:szCs w:val="18"/>
                <w:highlight w:val="none"/>
              </w:rPr>
              <w:t>2</w:t>
            </w:r>
          </w:p>
        </w:tc>
        <w:tc>
          <w:tcPr>
            <w:tcW w:w="6183" w:type="dxa"/>
            <w:vAlign w:val="center"/>
          </w:tcPr>
          <w:p w14:paraId="5F0491CB">
            <w:pPr>
              <w:adjustRightInd w:val="0"/>
              <w:snapToGrid w:val="0"/>
              <w:spacing w:line="360" w:lineRule="auto"/>
              <w:rPr>
                <w:sz w:val="18"/>
                <w:szCs w:val="18"/>
                <w:highlight w:val="none"/>
              </w:rPr>
            </w:pPr>
            <w:r>
              <w:rPr>
                <w:rFonts w:hint="eastAsia"/>
                <w:sz w:val="18"/>
                <w:szCs w:val="18"/>
                <w:highlight w:val="none"/>
              </w:rPr>
              <w:t>1、具有独立承担民事责任的能力，提供下面材料（1.1、1.2、1.3、1.4、1.5之一）：</w:t>
            </w:r>
          </w:p>
          <w:p w14:paraId="722706B4">
            <w:pPr>
              <w:adjustRightInd w:val="0"/>
              <w:snapToGrid w:val="0"/>
              <w:spacing w:line="360" w:lineRule="auto"/>
              <w:rPr>
                <w:sz w:val="18"/>
                <w:szCs w:val="18"/>
                <w:highlight w:val="none"/>
              </w:rPr>
            </w:pPr>
            <w:r>
              <w:rPr>
                <w:rFonts w:hint="eastAsia"/>
                <w:sz w:val="18"/>
                <w:szCs w:val="18"/>
                <w:highlight w:val="none"/>
              </w:rPr>
              <w:t>1.1 投标人为营利法人的，应提交营业执照的复印件；</w:t>
            </w:r>
          </w:p>
          <w:p w14:paraId="0164A58D">
            <w:pPr>
              <w:adjustRightInd w:val="0"/>
              <w:snapToGrid w:val="0"/>
              <w:spacing w:line="360" w:lineRule="auto"/>
              <w:rPr>
                <w:sz w:val="18"/>
                <w:szCs w:val="18"/>
                <w:highlight w:val="none"/>
              </w:rPr>
            </w:pPr>
            <w:r>
              <w:rPr>
                <w:rFonts w:hint="eastAsia"/>
                <w:sz w:val="18"/>
                <w:szCs w:val="18"/>
                <w:highlight w:val="none"/>
              </w:rPr>
              <w:t>1.2 投标人为依法允许经营的事业单位的，应提交事业单位法人证书复印件；</w:t>
            </w:r>
          </w:p>
          <w:p w14:paraId="51441EDA">
            <w:pPr>
              <w:adjustRightInd w:val="0"/>
              <w:snapToGrid w:val="0"/>
              <w:spacing w:line="360" w:lineRule="auto"/>
              <w:rPr>
                <w:sz w:val="18"/>
                <w:szCs w:val="18"/>
                <w:highlight w:val="none"/>
              </w:rPr>
            </w:pPr>
            <w:r>
              <w:rPr>
                <w:rFonts w:hint="eastAsia"/>
                <w:sz w:val="18"/>
                <w:szCs w:val="18"/>
                <w:highlight w:val="none"/>
              </w:rPr>
              <w:t>1.3 投标人为非法人组织的，应提交依法登记证书复印件；</w:t>
            </w:r>
          </w:p>
          <w:p w14:paraId="6AD6BD62">
            <w:pPr>
              <w:adjustRightInd w:val="0"/>
              <w:snapToGrid w:val="0"/>
              <w:spacing w:line="360" w:lineRule="auto"/>
              <w:rPr>
                <w:sz w:val="18"/>
                <w:szCs w:val="18"/>
                <w:highlight w:val="none"/>
              </w:rPr>
            </w:pPr>
            <w:r>
              <w:rPr>
                <w:rFonts w:hint="eastAsia"/>
                <w:sz w:val="18"/>
                <w:szCs w:val="18"/>
                <w:highlight w:val="none"/>
              </w:rPr>
              <w:t>1.4 投标人为个体工商户的，应提交个体工商户营业执照复印件；</w:t>
            </w:r>
          </w:p>
          <w:p w14:paraId="565B621B">
            <w:pPr>
              <w:adjustRightInd w:val="0"/>
              <w:snapToGrid w:val="0"/>
              <w:spacing w:line="360" w:lineRule="auto"/>
              <w:rPr>
                <w:sz w:val="18"/>
                <w:szCs w:val="18"/>
                <w:highlight w:val="none"/>
              </w:rPr>
            </w:pPr>
            <w:r>
              <w:rPr>
                <w:rFonts w:hint="eastAsia"/>
                <w:sz w:val="18"/>
                <w:szCs w:val="18"/>
                <w:highlight w:val="none"/>
              </w:rPr>
              <w:t>1.5 投标人为自然人的，应提交自然人的身份证明复印件。</w:t>
            </w:r>
          </w:p>
        </w:tc>
        <w:tc>
          <w:tcPr>
            <w:tcW w:w="2194" w:type="dxa"/>
            <w:vAlign w:val="center"/>
          </w:tcPr>
          <w:p w14:paraId="1EF1D703">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1FDDECC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15" w:hRule="atLeast"/>
        </w:trPr>
        <w:tc>
          <w:tcPr>
            <w:tcW w:w="683" w:type="dxa"/>
            <w:vAlign w:val="center"/>
          </w:tcPr>
          <w:p w14:paraId="411421DF">
            <w:pPr>
              <w:adjustRightInd w:val="0"/>
              <w:snapToGrid w:val="0"/>
              <w:spacing w:line="360" w:lineRule="auto"/>
              <w:jc w:val="center"/>
              <w:rPr>
                <w:sz w:val="18"/>
                <w:szCs w:val="18"/>
                <w:highlight w:val="none"/>
              </w:rPr>
            </w:pPr>
            <w:r>
              <w:rPr>
                <w:rFonts w:hint="eastAsia"/>
                <w:sz w:val="18"/>
                <w:szCs w:val="18"/>
                <w:highlight w:val="none"/>
              </w:rPr>
              <w:t>3</w:t>
            </w:r>
          </w:p>
        </w:tc>
        <w:tc>
          <w:tcPr>
            <w:tcW w:w="6183" w:type="dxa"/>
            <w:vAlign w:val="center"/>
          </w:tcPr>
          <w:p w14:paraId="66553296">
            <w:pPr>
              <w:adjustRightInd w:val="0"/>
              <w:snapToGrid w:val="0"/>
              <w:spacing w:line="360" w:lineRule="auto"/>
              <w:rPr>
                <w:sz w:val="18"/>
                <w:szCs w:val="18"/>
                <w:highlight w:val="none"/>
              </w:rPr>
            </w:pPr>
            <w:r>
              <w:rPr>
                <w:rFonts w:hint="eastAsia"/>
                <w:sz w:val="18"/>
                <w:szCs w:val="18"/>
                <w:highlight w:val="none"/>
              </w:rPr>
              <w:t>投标人为营利法人或依法允许经营的事业单位的还须提供法人代表身份证明或法定代表人身份证明及法定代表人授权委托书；</w:t>
            </w:r>
          </w:p>
        </w:tc>
        <w:tc>
          <w:tcPr>
            <w:tcW w:w="2194" w:type="dxa"/>
            <w:vAlign w:val="center"/>
          </w:tcPr>
          <w:p w14:paraId="18F97B5C">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3B8FDC2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94" w:hRule="atLeast"/>
        </w:trPr>
        <w:tc>
          <w:tcPr>
            <w:tcW w:w="683" w:type="dxa"/>
            <w:vAlign w:val="center"/>
          </w:tcPr>
          <w:p w14:paraId="05AF3C9C">
            <w:pPr>
              <w:adjustRightInd w:val="0"/>
              <w:snapToGrid w:val="0"/>
              <w:spacing w:line="360" w:lineRule="auto"/>
              <w:jc w:val="center"/>
              <w:rPr>
                <w:sz w:val="18"/>
                <w:szCs w:val="18"/>
                <w:highlight w:val="none"/>
              </w:rPr>
            </w:pPr>
            <w:r>
              <w:rPr>
                <w:rFonts w:hint="eastAsia"/>
                <w:sz w:val="18"/>
                <w:szCs w:val="18"/>
                <w:highlight w:val="none"/>
              </w:rPr>
              <w:t>4</w:t>
            </w:r>
          </w:p>
        </w:tc>
        <w:tc>
          <w:tcPr>
            <w:tcW w:w="6183" w:type="dxa"/>
            <w:vAlign w:val="center"/>
          </w:tcPr>
          <w:p w14:paraId="4E0F220E">
            <w:pPr>
              <w:adjustRightInd w:val="0"/>
              <w:snapToGrid w:val="0"/>
              <w:spacing w:line="360" w:lineRule="auto"/>
              <w:rPr>
                <w:sz w:val="18"/>
                <w:szCs w:val="18"/>
                <w:highlight w:val="none"/>
              </w:rPr>
            </w:pPr>
            <w:r>
              <w:rPr>
                <w:rFonts w:hint="eastAsia"/>
                <w:sz w:val="18"/>
                <w:szCs w:val="18"/>
                <w:highlight w:val="none"/>
              </w:rPr>
              <w:t>湖南省政府采购供应商资格承诺函（格式）。</w:t>
            </w:r>
          </w:p>
        </w:tc>
        <w:tc>
          <w:tcPr>
            <w:tcW w:w="2194" w:type="dxa"/>
            <w:vAlign w:val="center"/>
          </w:tcPr>
          <w:p w14:paraId="67787361">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4EAC3C6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94" w:hRule="atLeast"/>
        </w:trPr>
        <w:tc>
          <w:tcPr>
            <w:tcW w:w="683" w:type="dxa"/>
            <w:vAlign w:val="center"/>
          </w:tcPr>
          <w:p w14:paraId="25364DD0">
            <w:pPr>
              <w:adjustRightInd w:val="0"/>
              <w:snapToGrid w:val="0"/>
              <w:spacing w:line="360" w:lineRule="auto"/>
              <w:jc w:val="center"/>
              <w:rPr>
                <w:sz w:val="18"/>
                <w:szCs w:val="18"/>
                <w:highlight w:val="none"/>
              </w:rPr>
            </w:pPr>
            <w:r>
              <w:rPr>
                <w:rFonts w:hint="eastAsia"/>
                <w:sz w:val="18"/>
                <w:szCs w:val="18"/>
                <w:highlight w:val="none"/>
              </w:rPr>
              <w:t>5</w:t>
            </w:r>
          </w:p>
        </w:tc>
        <w:tc>
          <w:tcPr>
            <w:tcW w:w="6183" w:type="dxa"/>
            <w:vAlign w:val="center"/>
          </w:tcPr>
          <w:p w14:paraId="7E018FC5">
            <w:pPr>
              <w:adjustRightInd w:val="0"/>
              <w:snapToGrid w:val="0"/>
              <w:spacing w:line="360" w:lineRule="auto"/>
              <w:rPr>
                <w:sz w:val="18"/>
                <w:szCs w:val="18"/>
                <w:highlight w:val="none"/>
              </w:rPr>
            </w:pPr>
            <w:r>
              <w:rPr>
                <w:rFonts w:hint="eastAsia"/>
                <w:sz w:val="18"/>
                <w:szCs w:val="18"/>
                <w:highlight w:val="none"/>
              </w:rPr>
              <w:t>项目免交投标保证金承诺书</w:t>
            </w:r>
          </w:p>
        </w:tc>
        <w:tc>
          <w:tcPr>
            <w:tcW w:w="2194" w:type="dxa"/>
            <w:vAlign w:val="center"/>
          </w:tcPr>
          <w:p w14:paraId="32DF6425">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18F39B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1" w:hRule="atLeast"/>
        </w:trPr>
        <w:tc>
          <w:tcPr>
            <w:tcW w:w="683" w:type="dxa"/>
            <w:vAlign w:val="center"/>
          </w:tcPr>
          <w:p w14:paraId="5DC07EF2">
            <w:pPr>
              <w:adjustRightInd w:val="0"/>
              <w:snapToGrid w:val="0"/>
              <w:spacing w:line="360" w:lineRule="auto"/>
              <w:jc w:val="center"/>
              <w:rPr>
                <w:sz w:val="18"/>
                <w:szCs w:val="18"/>
                <w:highlight w:val="none"/>
              </w:rPr>
            </w:pPr>
            <w:r>
              <w:rPr>
                <w:rFonts w:hint="eastAsia"/>
                <w:sz w:val="18"/>
                <w:szCs w:val="18"/>
                <w:highlight w:val="none"/>
              </w:rPr>
              <w:t>6</w:t>
            </w:r>
          </w:p>
        </w:tc>
        <w:tc>
          <w:tcPr>
            <w:tcW w:w="6183" w:type="dxa"/>
            <w:vAlign w:val="center"/>
          </w:tcPr>
          <w:p w14:paraId="4380D16C">
            <w:pPr>
              <w:adjustRightInd w:val="0"/>
              <w:snapToGrid w:val="0"/>
              <w:spacing w:line="360" w:lineRule="auto"/>
              <w:rPr>
                <w:sz w:val="18"/>
                <w:szCs w:val="18"/>
                <w:highlight w:val="none"/>
              </w:rPr>
            </w:pPr>
            <w:r>
              <w:rPr>
                <w:rFonts w:hint="eastAsia"/>
                <w:sz w:val="18"/>
                <w:szCs w:val="18"/>
                <w:highlight w:val="none"/>
              </w:rPr>
              <w:t>信用记录(未被列入失信被执行人、重大税收违法案件当事人名单、政府采购严重违法失信行为记录名单)</w:t>
            </w:r>
          </w:p>
        </w:tc>
        <w:tc>
          <w:tcPr>
            <w:tcW w:w="2194" w:type="dxa"/>
            <w:vAlign w:val="center"/>
          </w:tcPr>
          <w:p w14:paraId="493D0F1F">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79F4DBB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31" w:hRule="atLeast"/>
        </w:trPr>
        <w:tc>
          <w:tcPr>
            <w:tcW w:w="683" w:type="dxa"/>
            <w:vAlign w:val="center"/>
          </w:tcPr>
          <w:p w14:paraId="01FB99EF">
            <w:pPr>
              <w:adjustRightInd w:val="0"/>
              <w:snapToGrid w:val="0"/>
              <w:spacing w:line="360" w:lineRule="auto"/>
              <w:jc w:val="center"/>
              <w:rPr>
                <w:sz w:val="18"/>
                <w:szCs w:val="18"/>
                <w:highlight w:val="none"/>
              </w:rPr>
            </w:pPr>
            <w:r>
              <w:rPr>
                <w:rFonts w:hint="eastAsia"/>
                <w:sz w:val="18"/>
                <w:szCs w:val="18"/>
                <w:highlight w:val="none"/>
              </w:rPr>
              <w:t>7</w:t>
            </w:r>
          </w:p>
        </w:tc>
        <w:tc>
          <w:tcPr>
            <w:tcW w:w="6183" w:type="dxa"/>
            <w:vAlign w:val="center"/>
          </w:tcPr>
          <w:p w14:paraId="609415E9">
            <w:pPr>
              <w:adjustRightInd w:val="0"/>
              <w:snapToGrid w:val="0"/>
              <w:spacing w:line="360" w:lineRule="auto"/>
              <w:rPr>
                <w:sz w:val="18"/>
                <w:szCs w:val="18"/>
                <w:highlight w:val="none"/>
              </w:rPr>
            </w:pPr>
            <w:r>
              <w:rPr>
                <w:rFonts w:hint="eastAsia"/>
                <w:sz w:val="18"/>
                <w:szCs w:val="18"/>
                <w:highlight w:val="none"/>
              </w:rPr>
              <w:t>资格证明文件的签署</w:t>
            </w:r>
          </w:p>
        </w:tc>
        <w:tc>
          <w:tcPr>
            <w:tcW w:w="2194" w:type="dxa"/>
            <w:vAlign w:val="center"/>
          </w:tcPr>
          <w:p w14:paraId="52B09CC1">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568C40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31" w:hRule="atLeast"/>
        </w:trPr>
        <w:tc>
          <w:tcPr>
            <w:tcW w:w="683" w:type="dxa"/>
            <w:vAlign w:val="center"/>
          </w:tcPr>
          <w:p w14:paraId="08AAAE78">
            <w:pPr>
              <w:adjustRightInd w:val="0"/>
              <w:snapToGrid w:val="0"/>
              <w:spacing w:line="360" w:lineRule="auto"/>
              <w:jc w:val="center"/>
              <w:rPr>
                <w:sz w:val="18"/>
                <w:szCs w:val="18"/>
                <w:highlight w:val="none"/>
              </w:rPr>
            </w:pPr>
          </w:p>
        </w:tc>
        <w:tc>
          <w:tcPr>
            <w:tcW w:w="6183" w:type="dxa"/>
            <w:vAlign w:val="center"/>
          </w:tcPr>
          <w:p w14:paraId="36EAF536">
            <w:pPr>
              <w:adjustRightInd w:val="0"/>
              <w:snapToGrid w:val="0"/>
              <w:spacing w:line="360" w:lineRule="auto"/>
              <w:rPr>
                <w:sz w:val="18"/>
                <w:szCs w:val="18"/>
                <w:highlight w:val="none"/>
              </w:rPr>
            </w:pPr>
          </w:p>
        </w:tc>
        <w:tc>
          <w:tcPr>
            <w:tcW w:w="2194" w:type="dxa"/>
            <w:vAlign w:val="center"/>
          </w:tcPr>
          <w:p w14:paraId="645184B6">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bl>
    <w:p w14:paraId="41953E4C">
      <w:pPr>
        <w:rPr>
          <w:highlight w:val="none"/>
        </w:rPr>
      </w:pPr>
    </w:p>
    <w:p w14:paraId="052EF59F">
      <w:pPr>
        <w:widowControl/>
        <w:jc w:val="left"/>
        <w:rPr>
          <w:rFonts w:ascii="黑体" w:hAnsi="黑体" w:eastAsia="黑体"/>
          <w:bCs/>
          <w:szCs w:val="21"/>
          <w:highlight w:val="none"/>
        </w:rPr>
      </w:pPr>
    </w:p>
    <w:p w14:paraId="652D2500">
      <w:pPr>
        <w:rPr>
          <w:rFonts w:ascii="黑体" w:hAnsi="黑体"/>
          <w:szCs w:val="21"/>
          <w:highlight w:val="none"/>
        </w:rPr>
      </w:pPr>
      <w:r>
        <w:rPr>
          <w:rFonts w:hint="eastAsia" w:ascii="黑体" w:hAnsi="黑体"/>
          <w:szCs w:val="21"/>
          <w:highlight w:val="none"/>
        </w:rPr>
        <w:br w:type="page"/>
      </w:r>
    </w:p>
    <w:p w14:paraId="7AA14C33">
      <w:pPr>
        <w:pStyle w:val="23"/>
        <w:adjustRightInd w:val="0"/>
        <w:snapToGrid w:val="0"/>
        <w:spacing w:line="360" w:lineRule="auto"/>
        <w:jc w:val="center"/>
        <w:outlineLvl w:val="0"/>
        <w:rPr>
          <w:rFonts w:ascii="黑体" w:hAnsi="华文中宋" w:eastAsia="黑体"/>
          <w:b/>
          <w:sz w:val="28"/>
          <w:szCs w:val="28"/>
          <w:highlight w:val="none"/>
        </w:rPr>
      </w:pPr>
      <w:bookmarkStart w:id="37" w:name="_Toc27089"/>
      <w:r>
        <w:rPr>
          <w:rFonts w:hint="eastAsia" w:ascii="黑体" w:hAnsi="华文中宋" w:eastAsia="黑体"/>
          <w:b/>
          <w:sz w:val="32"/>
          <w:szCs w:val="32"/>
          <w:highlight w:val="none"/>
        </w:rPr>
        <w:t>第四章 评标方法及标准</w:t>
      </w:r>
      <w:bookmarkEnd w:id="37"/>
    </w:p>
    <w:p w14:paraId="4B08BA47">
      <w:pPr>
        <w:pStyle w:val="3"/>
        <w:adjustRightInd w:val="0"/>
        <w:snapToGrid w:val="0"/>
        <w:jc w:val="center"/>
        <w:rPr>
          <w:rFonts w:ascii="黑体" w:hAnsi="华文中宋" w:eastAsia="黑体"/>
          <w:sz w:val="28"/>
          <w:szCs w:val="28"/>
          <w:highlight w:val="none"/>
        </w:rPr>
      </w:pPr>
      <w:bookmarkStart w:id="38" w:name="_Toc1468"/>
      <w:r>
        <w:rPr>
          <w:rFonts w:hint="eastAsia" w:ascii="黑体" w:hAnsi="华文中宋" w:eastAsia="黑体"/>
          <w:sz w:val="28"/>
          <w:szCs w:val="28"/>
          <w:highlight w:val="none"/>
        </w:rPr>
        <w:t>第一节  评标方法及标准前附表</w:t>
      </w:r>
      <w:bookmarkEnd w:id="38"/>
    </w:p>
    <w:p w14:paraId="66AF3113">
      <w:pPr>
        <w:adjustRightInd w:val="0"/>
        <w:snapToGrid w:val="0"/>
        <w:spacing w:line="360" w:lineRule="auto"/>
        <w:jc w:val="right"/>
        <w:rPr>
          <w:rFonts w:asciiTheme="minorEastAsia" w:hAnsiTheme="minorEastAsia" w:eastAsiaTheme="minorEastAsia"/>
          <w:bCs/>
          <w:i/>
          <w:szCs w:val="21"/>
          <w:highlight w:val="none"/>
        </w:rPr>
      </w:pPr>
      <w:r>
        <w:rPr>
          <w:rFonts w:hint="eastAsia" w:asciiTheme="minorEastAsia" w:hAnsiTheme="minorEastAsia" w:eastAsiaTheme="minorEastAsia"/>
          <w:bCs/>
          <w:i/>
          <w:szCs w:val="21"/>
          <w:highlight w:val="none"/>
        </w:rPr>
        <w:t>本项目启用的条款在“编列内容规定”栏内以“■”标注。</w:t>
      </w:r>
    </w:p>
    <w:tbl>
      <w:tblPr>
        <w:tblStyle w:val="43"/>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01"/>
        <w:gridCol w:w="709"/>
        <w:gridCol w:w="1559"/>
        <w:gridCol w:w="4820"/>
      </w:tblGrid>
      <w:tr w14:paraId="28EF236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701" w:type="dxa"/>
            <w:tcBorders>
              <w:top w:val="double" w:color="auto" w:sz="4" w:space="0"/>
              <w:bottom w:val="single" w:color="auto" w:sz="6" w:space="0"/>
            </w:tcBorders>
          </w:tcPr>
          <w:p w14:paraId="632F5BE4">
            <w:pPr>
              <w:adjustRightInd w:val="0"/>
              <w:snapToGrid w:val="0"/>
              <w:spacing w:before="120" w:beforeLines="50" w:line="360" w:lineRule="auto"/>
              <w:jc w:val="center"/>
              <w:rPr>
                <w:b/>
                <w:highlight w:val="none"/>
              </w:rPr>
            </w:pPr>
            <w:r>
              <w:rPr>
                <w:rFonts w:hint="eastAsia"/>
                <w:b/>
                <w:highlight w:val="none"/>
              </w:rPr>
              <w:t>条款号</w:t>
            </w:r>
          </w:p>
        </w:tc>
        <w:tc>
          <w:tcPr>
            <w:tcW w:w="2268" w:type="dxa"/>
            <w:gridSpan w:val="2"/>
            <w:tcBorders>
              <w:top w:val="double" w:color="auto" w:sz="4" w:space="0"/>
              <w:bottom w:val="single" w:color="auto" w:sz="6" w:space="0"/>
            </w:tcBorders>
          </w:tcPr>
          <w:p w14:paraId="064FC30D">
            <w:pPr>
              <w:adjustRightInd w:val="0"/>
              <w:snapToGrid w:val="0"/>
              <w:spacing w:before="120" w:beforeLines="50" w:line="360" w:lineRule="auto"/>
              <w:jc w:val="center"/>
              <w:rPr>
                <w:b/>
                <w:highlight w:val="none"/>
              </w:rPr>
            </w:pPr>
            <w:r>
              <w:rPr>
                <w:rFonts w:hint="eastAsia"/>
                <w:b/>
                <w:highlight w:val="none"/>
              </w:rPr>
              <w:t>条款名称</w:t>
            </w:r>
          </w:p>
        </w:tc>
        <w:tc>
          <w:tcPr>
            <w:tcW w:w="4820" w:type="dxa"/>
            <w:tcBorders>
              <w:top w:val="double" w:color="auto" w:sz="4" w:space="0"/>
              <w:bottom w:val="single" w:color="auto" w:sz="6" w:space="0"/>
            </w:tcBorders>
          </w:tcPr>
          <w:p w14:paraId="787A34FB">
            <w:pPr>
              <w:adjustRightInd w:val="0"/>
              <w:snapToGrid w:val="0"/>
              <w:spacing w:before="120" w:beforeLines="50" w:line="360" w:lineRule="auto"/>
              <w:jc w:val="center"/>
              <w:rPr>
                <w:b/>
                <w:highlight w:val="none"/>
              </w:rPr>
            </w:pPr>
            <w:r>
              <w:rPr>
                <w:rFonts w:hint="eastAsia"/>
                <w:b/>
                <w:highlight w:val="none"/>
              </w:rPr>
              <w:t>编列内容规定</w:t>
            </w:r>
          </w:p>
        </w:tc>
      </w:tr>
      <w:tr w14:paraId="20358B7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701" w:type="dxa"/>
            <w:tcBorders>
              <w:top w:val="single" w:color="auto" w:sz="6" w:space="0"/>
              <w:bottom w:val="single" w:color="auto" w:sz="6" w:space="0"/>
            </w:tcBorders>
            <w:vAlign w:val="center"/>
          </w:tcPr>
          <w:p w14:paraId="4E566DC9">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第1.3</w:t>
            </w:r>
            <w:r>
              <w:rPr>
                <w:rFonts w:hint="eastAsia" w:cs="宋体" w:asciiTheme="minorEastAsia" w:hAnsiTheme="minorEastAsia" w:eastAsiaTheme="minorEastAsia"/>
                <w:kern w:val="0"/>
                <w:szCs w:val="21"/>
                <w:highlight w:val="none"/>
                <w:lang w:val="zh-CN"/>
              </w:rPr>
              <w:t>款</w:t>
            </w:r>
          </w:p>
        </w:tc>
        <w:tc>
          <w:tcPr>
            <w:tcW w:w="2268" w:type="dxa"/>
            <w:gridSpan w:val="2"/>
            <w:tcBorders>
              <w:top w:val="single" w:color="auto" w:sz="6" w:space="0"/>
              <w:bottom w:val="single" w:color="auto" w:sz="6" w:space="0"/>
            </w:tcBorders>
            <w:vAlign w:val="center"/>
          </w:tcPr>
          <w:p w14:paraId="64E6776B">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评标方法</w:t>
            </w:r>
          </w:p>
        </w:tc>
        <w:tc>
          <w:tcPr>
            <w:tcW w:w="4820" w:type="dxa"/>
            <w:tcBorders>
              <w:top w:val="single" w:color="auto" w:sz="6" w:space="0"/>
              <w:bottom w:val="single" w:color="auto" w:sz="6" w:space="0"/>
            </w:tcBorders>
            <w:vAlign w:val="center"/>
          </w:tcPr>
          <w:p w14:paraId="5A348E84">
            <w:pPr>
              <w:adjustRightInd w:val="0"/>
              <w:snapToGrid w:val="0"/>
              <w:spacing w:before="120" w:beforeLines="50" w:line="360" w:lineRule="auto"/>
              <w:rPr>
                <w:rFonts w:asciiTheme="minorEastAsia" w:hAnsiTheme="minorEastAsia" w:eastAsiaTheme="minorEastAsia"/>
                <w:szCs w:val="21"/>
                <w:highlight w:val="none"/>
              </w:rPr>
            </w:pPr>
            <w:r>
              <w:rPr>
                <w:rFonts w:hint="eastAsia" w:asciiTheme="minorEastAsia" w:hAnsiTheme="minorEastAsia" w:eastAsiaTheme="minorEastAsia"/>
                <w:bCs/>
                <w:szCs w:val="21"/>
                <w:highlight w:val="none"/>
              </w:rPr>
              <w:t>综合评分法</w:t>
            </w:r>
          </w:p>
        </w:tc>
      </w:tr>
      <w:tr w14:paraId="1EA5D98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701" w:type="dxa"/>
            <w:tcBorders>
              <w:top w:val="single" w:color="auto" w:sz="6" w:space="0"/>
              <w:bottom w:val="single" w:color="auto" w:sz="6" w:space="0"/>
            </w:tcBorders>
            <w:vAlign w:val="center"/>
          </w:tcPr>
          <w:p w14:paraId="3C27F8D9">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第3.4</w:t>
            </w:r>
            <w:r>
              <w:rPr>
                <w:rFonts w:hint="eastAsia" w:cs="宋体" w:asciiTheme="minorEastAsia" w:hAnsiTheme="minorEastAsia" w:eastAsiaTheme="minorEastAsia"/>
                <w:kern w:val="0"/>
                <w:szCs w:val="21"/>
                <w:highlight w:val="none"/>
                <w:lang w:val="zh-CN"/>
              </w:rPr>
              <w:t>款</w:t>
            </w:r>
          </w:p>
        </w:tc>
        <w:tc>
          <w:tcPr>
            <w:tcW w:w="2268" w:type="dxa"/>
            <w:gridSpan w:val="2"/>
            <w:tcBorders>
              <w:top w:val="single" w:color="auto" w:sz="6" w:space="0"/>
              <w:bottom w:val="single" w:color="auto" w:sz="6" w:space="0"/>
            </w:tcBorders>
            <w:vAlign w:val="center"/>
          </w:tcPr>
          <w:p w14:paraId="2BB29E97">
            <w:pPr>
              <w:adjustRightInd w:val="0"/>
              <w:snapToGrid w:val="0"/>
              <w:spacing w:before="120" w:beforeLines="50" w:line="360" w:lineRule="auto"/>
              <w:jc w:val="center"/>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非单一产品采购项目的核心产品</w:t>
            </w:r>
          </w:p>
        </w:tc>
        <w:tc>
          <w:tcPr>
            <w:tcW w:w="4820" w:type="dxa"/>
            <w:tcBorders>
              <w:top w:val="single" w:color="auto" w:sz="6" w:space="0"/>
              <w:bottom w:val="single" w:color="auto" w:sz="6" w:space="0"/>
            </w:tcBorders>
            <w:vAlign w:val="center"/>
          </w:tcPr>
          <w:p w14:paraId="36DEC141">
            <w:pPr>
              <w:adjustRightInd w:val="0"/>
              <w:snapToGrid w:val="0"/>
              <w:spacing w:before="120" w:beforeLines="50" w:line="360" w:lineRule="auto"/>
              <w:jc w:val="left"/>
              <w:rPr>
                <w:highlight w:val="none"/>
              </w:rPr>
            </w:pPr>
            <w:r>
              <w:rPr>
                <w:rFonts w:hint="eastAsia" w:asciiTheme="minorEastAsia" w:hAnsiTheme="minorEastAsia" w:eastAsiaTheme="minorEastAsia"/>
                <w:bCs/>
                <w:szCs w:val="21"/>
                <w:highlight w:val="none"/>
                <w:lang w:val="en-US" w:eastAsia="zh-CN"/>
              </w:rPr>
              <w:t>智慧黑板</w:t>
            </w:r>
          </w:p>
        </w:tc>
      </w:tr>
      <w:tr w14:paraId="6929D54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701" w:type="dxa"/>
            <w:tcBorders>
              <w:top w:val="single" w:color="auto" w:sz="6" w:space="0"/>
              <w:bottom w:val="single" w:color="auto" w:sz="6" w:space="0"/>
            </w:tcBorders>
            <w:vAlign w:val="center"/>
          </w:tcPr>
          <w:p w14:paraId="5CC99BAB">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第4.2</w:t>
            </w:r>
            <w:r>
              <w:rPr>
                <w:rFonts w:hint="eastAsia" w:cs="宋体" w:asciiTheme="minorEastAsia" w:hAnsiTheme="minorEastAsia" w:eastAsiaTheme="minorEastAsia"/>
                <w:kern w:val="0"/>
                <w:szCs w:val="21"/>
                <w:highlight w:val="none"/>
                <w:lang w:val="zh-CN"/>
              </w:rPr>
              <w:t>款</w:t>
            </w:r>
          </w:p>
        </w:tc>
        <w:tc>
          <w:tcPr>
            <w:tcW w:w="2268" w:type="dxa"/>
            <w:gridSpan w:val="2"/>
            <w:tcBorders>
              <w:top w:val="single" w:color="auto" w:sz="6" w:space="0"/>
              <w:bottom w:val="single" w:color="auto" w:sz="6" w:space="0"/>
            </w:tcBorders>
            <w:vAlign w:val="center"/>
          </w:tcPr>
          <w:p w14:paraId="5B9C9F60">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投标文件报价出现前后不一致的修正</w:t>
            </w:r>
          </w:p>
        </w:tc>
        <w:tc>
          <w:tcPr>
            <w:tcW w:w="4820" w:type="dxa"/>
            <w:tcBorders>
              <w:top w:val="single" w:color="auto" w:sz="6" w:space="0"/>
              <w:bottom w:val="single" w:color="auto" w:sz="6" w:space="0"/>
            </w:tcBorders>
            <w:vAlign w:val="center"/>
          </w:tcPr>
          <w:p w14:paraId="136E028D">
            <w:pPr>
              <w:adjustRightInd w:val="0"/>
              <w:snapToGrid w:val="0"/>
              <w:spacing w:line="420" w:lineRule="exact"/>
              <w:rPr>
                <w:szCs w:val="21"/>
                <w:highlight w:val="none"/>
              </w:rPr>
            </w:pPr>
            <w:r>
              <w:rPr>
                <w:rFonts w:hint="eastAsia" w:ascii="宋体" w:hAnsi="宋体" w:cs="宋体"/>
                <w:highlight w:val="none"/>
              </w:rPr>
              <w:t>按评标方法及标准正文部分4.2规定修正</w:t>
            </w:r>
          </w:p>
        </w:tc>
      </w:tr>
      <w:tr w14:paraId="6C8C110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701" w:type="dxa"/>
            <w:tcBorders>
              <w:top w:val="single" w:color="auto" w:sz="6" w:space="0"/>
              <w:bottom w:val="single" w:color="auto" w:sz="6" w:space="0"/>
            </w:tcBorders>
            <w:vAlign w:val="center"/>
          </w:tcPr>
          <w:p w14:paraId="3DB6DB0E">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第5.2（1）</w:t>
            </w:r>
            <w:r>
              <w:rPr>
                <w:rFonts w:hint="eastAsia" w:cs="宋体" w:asciiTheme="minorEastAsia" w:hAnsiTheme="minorEastAsia" w:eastAsiaTheme="minorEastAsia"/>
                <w:kern w:val="0"/>
                <w:szCs w:val="21"/>
                <w:highlight w:val="none"/>
                <w:lang w:val="zh-CN"/>
              </w:rPr>
              <w:t>项</w:t>
            </w:r>
          </w:p>
        </w:tc>
        <w:tc>
          <w:tcPr>
            <w:tcW w:w="2268" w:type="dxa"/>
            <w:gridSpan w:val="2"/>
            <w:tcBorders>
              <w:top w:val="single" w:color="auto" w:sz="6" w:space="0"/>
              <w:bottom w:val="single" w:color="auto" w:sz="6" w:space="0"/>
            </w:tcBorders>
            <w:vAlign w:val="center"/>
          </w:tcPr>
          <w:p w14:paraId="48ACC877">
            <w:pPr>
              <w:adjustRightInd w:val="0"/>
              <w:snapToGrid w:val="0"/>
              <w:spacing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相同品牌产品投标报价相同的</w:t>
            </w:r>
          </w:p>
        </w:tc>
        <w:tc>
          <w:tcPr>
            <w:tcW w:w="4820" w:type="dxa"/>
            <w:tcBorders>
              <w:top w:val="single" w:color="auto" w:sz="6" w:space="0"/>
              <w:bottom w:val="single" w:color="auto" w:sz="6" w:space="0"/>
            </w:tcBorders>
            <w:vAlign w:val="center"/>
          </w:tcPr>
          <w:p w14:paraId="14B49EA7">
            <w:pPr>
              <w:adjustRightInd w:val="0"/>
              <w:snapToGrid w:val="0"/>
              <w:spacing w:line="420" w:lineRule="exact"/>
              <w:rPr>
                <w:szCs w:val="21"/>
                <w:highlight w:val="none"/>
              </w:rPr>
            </w:pPr>
            <w:r>
              <w:rPr>
                <w:rFonts w:hint="eastAsia"/>
                <w:szCs w:val="21"/>
                <w:highlight w:val="none"/>
              </w:rPr>
              <w:t>提供相同品牌产品且通过资格审查、符合性审查的不同投标人参加同一合同项下投标的，评审后得分最高的同品牌投标人获得中标人推荐资格。</w:t>
            </w:r>
          </w:p>
        </w:tc>
      </w:tr>
      <w:tr w14:paraId="2935649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701" w:type="dxa"/>
            <w:tcBorders>
              <w:top w:val="single" w:color="auto" w:sz="6" w:space="0"/>
              <w:bottom w:val="single" w:color="auto" w:sz="6" w:space="0"/>
            </w:tcBorders>
            <w:vAlign w:val="center"/>
          </w:tcPr>
          <w:p w14:paraId="5FFA1160">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第5.2（2）</w:t>
            </w:r>
            <w:r>
              <w:rPr>
                <w:rFonts w:hint="eastAsia" w:cs="宋体" w:asciiTheme="minorEastAsia" w:hAnsiTheme="minorEastAsia" w:eastAsiaTheme="minorEastAsia"/>
                <w:kern w:val="0"/>
                <w:szCs w:val="21"/>
                <w:highlight w:val="none"/>
                <w:lang w:val="zh-CN"/>
              </w:rPr>
              <w:t>项</w:t>
            </w:r>
          </w:p>
        </w:tc>
        <w:tc>
          <w:tcPr>
            <w:tcW w:w="2268" w:type="dxa"/>
            <w:gridSpan w:val="2"/>
            <w:tcBorders>
              <w:top w:val="single" w:color="auto" w:sz="6" w:space="0"/>
              <w:bottom w:val="single" w:color="auto" w:sz="6" w:space="0"/>
            </w:tcBorders>
            <w:vAlign w:val="center"/>
          </w:tcPr>
          <w:p w14:paraId="65B2CF35">
            <w:pPr>
              <w:adjustRightInd w:val="0"/>
              <w:snapToGrid w:val="0"/>
              <w:spacing w:before="120" w:beforeLines="50" w:line="360" w:lineRule="auto"/>
              <w:jc w:val="center"/>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相同品牌产品评审得分相同的规定</w:t>
            </w:r>
          </w:p>
        </w:tc>
        <w:tc>
          <w:tcPr>
            <w:tcW w:w="4820" w:type="dxa"/>
            <w:tcBorders>
              <w:top w:val="single" w:color="auto" w:sz="6" w:space="0"/>
              <w:bottom w:val="single" w:color="auto" w:sz="6" w:space="0"/>
            </w:tcBorders>
            <w:vAlign w:val="center"/>
          </w:tcPr>
          <w:p w14:paraId="7010FE48">
            <w:pPr>
              <w:adjustRightInd w:val="0"/>
              <w:snapToGrid w:val="0"/>
              <w:spacing w:line="420" w:lineRule="exact"/>
              <w:rPr>
                <w:szCs w:val="21"/>
                <w:highlight w:val="none"/>
              </w:rPr>
            </w:pPr>
            <w:r>
              <w:rPr>
                <w:rFonts w:hint="eastAsia"/>
                <w:szCs w:val="21"/>
                <w:highlight w:val="none"/>
              </w:rPr>
              <w:t>/</w:t>
            </w:r>
          </w:p>
        </w:tc>
      </w:tr>
      <w:tr w14:paraId="22EA3D0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46" w:hRule="atLeast"/>
        </w:trPr>
        <w:tc>
          <w:tcPr>
            <w:tcW w:w="1701" w:type="dxa"/>
            <w:tcBorders>
              <w:top w:val="single" w:color="auto" w:sz="6" w:space="0"/>
              <w:bottom w:val="single" w:color="auto" w:sz="6" w:space="0"/>
              <w:right w:val="single" w:color="auto" w:sz="6" w:space="0"/>
            </w:tcBorders>
            <w:vAlign w:val="center"/>
          </w:tcPr>
          <w:p w14:paraId="602A2F36">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第5.3（2）</w:t>
            </w:r>
            <w:r>
              <w:rPr>
                <w:rFonts w:hint="eastAsia" w:cs="宋体" w:asciiTheme="minorEastAsia" w:hAnsiTheme="minorEastAsia" w:eastAsiaTheme="minorEastAsia"/>
                <w:kern w:val="0"/>
                <w:szCs w:val="21"/>
                <w:highlight w:val="none"/>
                <w:lang w:val="zh-CN"/>
              </w:rPr>
              <w:t>项</w:t>
            </w:r>
          </w:p>
        </w:tc>
        <w:tc>
          <w:tcPr>
            <w:tcW w:w="709" w:type="dxa"/>
            <w:tcBorders>
              <w:top w:val="single" w:color="auto" w:sz="6" w:space="0"/>
              <w:left w:val="single" w:color="auto" w:sz="6" w:space="0"/>
              <w:bottom w:val="single" w:color="auto" w:sz="6" w:space="0"/>
              <w:right w:val="single" w:color="auto" w:sz="6" w:space="0"/>
            </w:tcBorders>
            <w:vAlign w:val="center"/>
          </w:tcPr>
          <w:p w14:paraId="74BCCEBE">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优先采购</w:t>
            </w:r>
          </w:p>
        </w:tc>
        <w:tc>
          <w:tcPr>
            <w:tcW w:w="1559" w:type="dxa"/>
            <w:tcBorders>
              <w:top w:val="single" w:color="auto" w:sz="6" w:space="0"/>
              <w:left w:val="single" w:color="auto" w:sz="6" w:space="0"/>
              <w:right w:val="single" w:color="auto" w:sz="6" w:space="0"/>
            </w:tcBorders>
            <w:vAlign w:val="center"/>
          </w:tcPr>
          <w:p w14:paraId="2E403831">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节能产品或环境标志产品</w:t>
            </w:r>
          </w:p>
        </w:tc>
        <w:tc>
          <w:tcPr>
            <w:tcW w:w="4820" w:type="dxa"/>
            <w:tcBorders>
              <w:top w:val="single" w:color="auto" w:sz="6" w:space="0"/>
              <w:left w:val="single" w:color="auto" w:sz="6" w:space="0"/>
              <w:bottom w:val="single" w:color="auto" w:sz="6" w:space="0"/>
            </w:tcBorders>
            <w:vAlign w:val="center"/>
          </w:tcPr>
          <w:p w14:paraId="5DF26278">
            <w:pPr>
              <w:adjustRightInd w:val="0"/>
              <w:snapToGrid w:val="0"/>
              <w:spacing w:line="360" w:lineRule="auto"/>
              <w:ind w:firstLine="210" w:firstLineChars="100"/>
              <w:rPr>
                <w:rFonts w:hint="eastAsia"/>
                <w:highlight w:val="none"/>
              </w:rPr>
            </w:pPr>
            <w:r>
              <w:rPr>
                <w:rFonts w:hint="eastAsia"/>
                <w:highlight w:val="none"/>
                <w:lang w:val="en-US" w:eastAsia="zh-CN"/>
              </w:rPr>
              <w:t>1.</w:t>
            </w:r>
            <w:r>
              <w:rPr>
                <w:rFonts w:hint="eastAsia"/>
                <w:highlight w:val="none"/>
              </w:rPr>
              <w:t>“节能产品”：</w:t>
            </w:r>
          </w:p>
          <w:p w14:paraId="6186146E">
            <w:pPr>
              <w:adjustRightInd w:val="0"/>
              <w:snapToGrid w:val="0"/>
              <w:spacing w:line="360" w:lineRule="auto"/>
              <w:ind w:firstLine="210" w:firstLineChars="100"/>
              <w:rPr>
                <w:rFonts w:hint="eastAsia"/>
                <w:highlight w:val="none"/>
              </w:rPr>
            </w:pPr>
            <w:r>
              <w:rPr>
                <w:rFonts w:hint="eastAsia"/>
                <w:highlight w:val="none"/>
              </w:rPr>
              <w:t>采购产品为《节能产品政府采购品目清单》内非标注符号的, 依据国家确定的认证机构出具的、处于有效期之内的节能产品产品认证证书，对获得证书的产品实施政府优先采购（采用综合评分法）</w:t>
            </w:r>
          </w:p>
          <w:p w14:paraId="73DCDE43">
            <w:pPr>
              <w:adjustRightInd w:val="0"/>
              <w:snapToGrid w:val="0"/>
              <w:spacing w:line="360" w:lineRule="auto"/>
              <w:ind w:firstLine="210" w:firstLineChars="100"/>
              <w:rPr>
                <w:rFonts w:hint="eastAsia"/>
                <w:highlight w:val="none"/>
              </w:rPr>
            </w:pPr>
            <w:r>
              <w:rPr>
                <w:rFonts w:hint="eastAsia"/>
                <w:highlight w:val="none"/>
              </w:rPr>
              <w:t>，按货物价格占采购项目投标报价的比例，分别给予技术一级评标因素权重分4%和价格一级评标因素权重分4%的加分。计算公式为：</w:t>
            </w:r>
          </w:p>
          <w:p w14:paraId="41C987E7">
            <w:pPr>
              <w:adjustRightInd w:val="0"/>
              <w:snapToGrid w:val="0"/>
              <w:spacing w:line="360" w:lineRule="auto"/>
              <w:ind w:firstLine="210" w:firstLineChars="100"/>
              <w:rPr>
                <w:rFonts w:hint="eastAsia"/>
                <w:highlight w:val="none"/>
              </w:rPr>
            </w:pPr>
            <w:r>
              <w:rPr>
                <w:rFonts w:hint="eastAsia"/>
                <w:highlight w:val="none"/>
              </w:rPr>
              <w:t>技术加分=技术分值×加分比例×（节能产品报价÷总报价）；</w:t>
            </w:r>
          </w:p>
          <w:p w14:paraId="5DA5E933">
            <w:pPr>
              <w:adjustRightInd w:val="0"/>
              <w:snapToGrid w:val="0"/>
              <w:spacing w:line="360" w:lineRule="auto"/>
              <w:ind w:firstLine="210" w:firstLineChars="100"/>
              <w:rPr>
                <w:rFonts w:hint="eastAsia"/>
                <w:highlight w:val="none"/>
              </w:rPr>
            </w:pPr>
            <w:r>
              <w:rPr>
                <w:rFonts w:hint="eastAsia"/>
                <w:highlight w:val="none"/>
              </w:rPr>
              <w:t>价格加分=价格分值×加分比例×（节能产品报价÷总报价）。</w:t>
            </w:r>
          </w:p>
          <w:p w14:paraId="374E9548">
            <w:pPr>
              <w:adjustRightInd w:val="0"/>
              <w:snapToGrid w:val="0"/>
              <w:spacing w:line="360" w:lineRule="auto"/>
              <w:ind w:firstLine="210" w:firstLineChars="100"/>
              <w:rPr>
                <w:rFonts w:hint="eastAsia"/>
                <w:highlight w:val="none"/>
              </w:rPr>
            </w:pPr>
            <w:r>
              <w:rPr>
                <w:rFonts w:hint="eastAsia"/>
                <w:highlight w:val="none"/>
                <w:lang w:val="en-US" w:eastAsia="zh-CN"/>
              </w:rPr>
              <w:t>2.</w:t>
            </w:r>
            <w:r>
              <w:rPr>
                <w:rFonts w:hint="eastAsia"/>
                <w:highlight w:val="none"/>
              </w:rPr>
              <w:t>“环境标志产品”：</w:t>
            </w:r>
          </w:p>
          <w:p w14:paraId="1510A228">
            <w:pPr>
              <w:adjustRightInd w:val="0"/>
              <w:snapToGrid w:val="0"/>
              <w:spacing w:line="360" w:lineRule="auto"/>
              <w:ind w:firstLine="210" w:firstLineChars="100"/>
              <w:rPr>
                <w:rFonts w:hint="eastAsia"/>
                <w:highlight w:val="none"/>
              </w:rPr>
            </w:pPr>
            <w:r>
              <w:rPr>
                <w:rFonts w:hint="eastAsia"/>
                <w:highlight w:val="none"/>
              </w:rPr>
              <w:t>采购产品为《环境标志产品政府采购品目清单》内的，依据国家确定的认证机构出具的、处于有效期之内的环境标志产品认证证书，对获得证书的产品实施政府优先采购（采用综合评分法），按货物价格占采购项目投标报价的比例，分别给予技术一级评标因素权重分4%和价格一级评标因素权重分4%的加分。计算公式为：</w:t>
            </w:r>
          </w:p>
          <w:p w14:paraId="1B9B14CF">
            <w:pPr>
              <w:adjustRightInd w:val="0"/>
              <w:snapToGrid w:val="0"/>
              <w:spacing w:line="360" w:lineRule="auto"/>
              <w:ind w:firstLine="210" w:firstLineChars="100"/>
              <w:rPr>
                <w:rFonts w:hint="eastAsia"/>
                <w:highlight w:val="none"/>
              </w:rPr>
            </w:pPr>
            <w:r>
              <w:rPr>
                <w:rFonts w:hint="eastAsia"/>
                <w:highlight w:val="none"/>
              </w:rPr>
              <w:t>技术加分=技术分值×加分比例×（环境标志产品报价÷总报价）；</w:t>
            </w:r>
          </w:p>
          <w:p w14:paraId="0C480DEB">
            <w:pPr>
              <w:adjustRightInd w:val="0"/>
              <w:snapToGrid w:val="0"/>
              <w:spacing w:line="360" w:lineRule="auto"/>
              <w:ind w:firstLine="210" w:firstLineChars="100"/>
              <w:rPr>
                <w:rFonts w:hint="eastAsia"/>
                <w:highlight w:val="none"/>
              </w:rPr>
            </w:pPr>
            <w:r>
              <w:rPr>
                <w:rFonts w:hint="eastAsia"/>
                <w:highlight w:val="none"/>
              </w:rPr>
              <w:t>价格加分=价格分值×加分比例×（环境标志产品报价÷总报价）。</w:t>
            </w:r>
          </w:p>
          <w:p w14:paraId="53A6607F">
            <w:pPr>
              <w:adjustRightInd w:val="0"/>
              <w:snapToGrid w:val="0"/>
              <w:spacing w:line="360" w:lineRule="auto"/>
              <w:ind w:firstLine="210" w:firstLineChars="100"/>
              <w:rPr>
                <w:rFonts w:hint="eastAsia"/>
                <w:highlight w:val="none"/>
              </w:rPr>
            </w:pPr>
            <w:r>
              <w:rPr>
                <w:rFonts w:hint="eastAsia"/>
                <w:highlight w:val="none"/>
                <w:lang w:val="en-US" w:eastAsia="zh-CN"/>
              </w:rPr>
              <w:t>3.</w:t>
            </w:r>
            <w:r>
              <w:rPr>
                <w:rFonts w:hint="eastAsia"/>
                <w:highlight w:val="none"/>
              </w:rPr>
              <w:t>非专门面向中小企业采购，且符合政府采购促进中小企业发展相关规定的：</w:t>
            </w:r>
          </w:p>
          <w:p w14:paraId="56BC0E29">
            <w:pPr>
              <w:adjustRightInd w:val="0"/>
              <w:snapToGrid w:val="0"/>
              <w:spacing w:line="360" w:lineRule="auto"/>
              <w:ind w:firstLine="210" w:firstLineChars="100"/>
              <w:rPr>
                <w:rFonts w:hint="eastAsia"/>
                <w:highlight w:val="none"/>
              </w:rPr>
            </w:pPr>
            <w:r>
              <w:rPr>
                <w:rFonts w:hint="eastAsia"/>
                <w:highlight w:val="none"/>
              </w:rPr>
              <w:t>①给予小型和微型企业产品的价格给予10%-20%的扣除，本项目具体扣除比例为 10％</w:t>
            </w:r>
          </w:p>
          <w:p w14:paraId="2C11D9E0">
            <w:pPr>
              <w:adjustRightInd w:val="0"/>
              <w:snapToGrid w:val="0"/>
              <w:spacing w:line="360" w:lineRule="auto"/>
              <w:ind w:firstLine="210" w:firstLineChars="100"/>
              <w:rPr>
                <w:rFonts w:hint="eastAsia"/>
                <w:highlight w:val="none"/>
              </w:rPr>
            </w:pPr>
            <w:r>
              <w:rPr>
                <w:rFonts w:hint="eastAsia"/>
                <w:highlight w:val="none"/>
              </w:rPr>
              <w:t>②给予联合体2%-3%的价格扣除，用扣除后的价格参与评审，本项目具体扣除比例为  / ％。</w:t>
            </w:r>
          </w:p>
          <w:p w14:paraId="0764914D">
            <w:pPr>
              <w:adjustRightInd w:val="0"/>
              <w:snapToGrid w:val="0"/>
              <w:spacing w:line="360" w:lineRule="auto"/>
              <w:ind w:firstLine="210" w:firstLineChars="100"/>
              <w:rPr>
                <w:rFonts w:hint="eastAsia"/>
                <w:highlight w:val="none"/>
              </w:rPr>
            </w:pPr>
            <w:r>
              <w:rPr>
                <w:rFonts w:hint="eastAsia"/>
                <w:highlight w:val="none"/>
              </w:rPr>
              <w:t>注：（1）在政府采购活动中，残疾人福利性单位视同小型、微型企业，享受预留份额、评审中价格扣除等促进中小企业发展的政府采购政策。向残疾人福利性单位采购的金额，计入面向中小企业采购的统计数据。残疾人福利性单位属于小型、微型企业的，不重复享受政策。</w:t>
            </w:r>
          </w:p>
          <w:p w14:paraId="1ED1923A">
            <w:pPr>
              <w:numPr>
                <w:ilvl w:val="0"/>
                <w:numId w:val="5"/>
              </w:numPr>
              <w:adjustRightInd w:val="0"/>
              <w:snapToGrid w:val="0"/>
              <w:spacing w:line="360" w:lineRule="auto"/>
              <w:ind w:firstLine="210" w:firstLineChars="100"/>
              <w:rPr>
                <w:rFonts w:hint="eastAsia"/>
                <w:highlight w:val="none"/>
              </w:rPr>
            </w:pPr>
            <w:r>
              <w:rPr>
                <w:rFonts w:hint="eastAsia"/>
                <w:highlight w:val="none"/>
              </w:rPr>
              <w:t>提供由省级以上监狱管理局、戒毒管理局（含新疆生产建设兵团）出具的属于监狱企业证明文件的，视同为小型和微型企业。</w:t>
            </w:r>
          </w:p>
          <w:p w14:paraId="218B88F6">
            <w:pPr>
              <w:numPr>
                <w:ilvl w:val="0"/>
                <w:numId w:val="6"/>
              </w:numPr>
              <w:rPr>
                <w:rFonts w:hint="eastAsia" w:ascii="宋体" w:hAnsi="宋体" w:eastAsia="宋体" w:cs="宋体"/>
                <w:color w:val="auto"/>
                <w:kern w:val="0"/>
                <w:sz w:val="21"/>
                <w:szCs w:val="21"/>
                <w:highlight w:val="none"/>
                <w:lang w:val="en-US" w:eastAsia="zh-CN" w:bidi="ar"/>
              </w:rPr>
            </w:pPr>
            <w:r>
              <w:rPr>
                <w:rFonts w:hint="eastAsia"/>
                <w:highlight w:val="none"/>
                <w:lang w:val="en-US" w:eastAsia="zh-CN"/>
              </w:rPr>
              <w:t>4.</w:t>
            </w:r>
            <w:r>
              <w:rPr>
                <w:rFonts w:hint="eastAsia" w:ascii="宋体" w:hAnsi="宋体" w:eastAsia="宋体" w:cs="宋体"/>
                <w:color w:val="auto"/>
                <w:kern w:val="0"/>
                <w:sz w:val="21"/>
                <w:szCs w:val="21"/>
                <w:highlight w:val="none"/>
                <w:lang w:val="en-US" w:eastAsia="zh-CN" w:bidi="ar"/>
              </w:rPr>
              <w:t>本国产品</w:t>
            </w:r>
          </w:p>
          <w:p w14:paraId="5BAAA121">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政府采购活动中既有本国产品又有非本国产品参与竞争的，依法对本国产品给予价格评审优惠，对本国产品的报价给予20%的价格扣除，用扣除后的价格参与评审。当采购项目或者采购包中含有多种产品，供应商为本采购项目本采购包提供的符合本国产品标准的产品成本之和占该供应商提供的全部产品成本之和的比例达到80%以上，并提供《关于符合本国产品标准的声明函》，依法对该供应商提供的全部产品给予20%的价格扣除，用扣除后的价格参与评审。</w:t>
            </w:r>
          </w:p>
          <w:p w14:paraId="7AD5543C">
            <w:pPr>
              <w:pStyle w:val="60"/>
              <w:numPr>
                <w:ilvl w:val="0"/>
                <w:numId w:val="0"/>
              </w:numPr>
              <w:ind w:leftChars="0"/>
              <w:rPr>
                <w:rFonts w:hint="eastAsia"/>
                <w:highlight w:val="none"/>
                <w:lang w:val="en-US" w:eastAsia="zh-CN"/>
              </w:rPr>
            </w:pPr>
          </w:p>
          <w:p w14:paraId="0F0911E6">
            <w:pPr>
              <w:pStyle w:val="60"/>
              <w:numPr>
                <w:ilvl w:val="0"/>
                <w:numId w:val="0"/>
              </w:numPr>
              <w:ind w:leftChars="0"/>
              <w:rPr>
                <w:rFonts w:hint="eastAsia"/>
                <w:highlight w:val="none"/>
              </w:rPr>
            </w:pPr>
            <w:r>
              <w:rPr>
                <w:rFonts w:hint="eastAsia"/>
                <w:highlight w:val="none"/>
              </w:rPr>
              <w:t>说明：</w:t>
            </w:r>
            <w:r>
              <w:rPr>
                <w:rFonts w:hint="eastAsia"/>
                <w:highlight w:val="none"/>
                <w:lang w:val="en-US" w:eastAsia="zh-CN"/>
              </w:rPr>
              <w:t>1、</w:t>
            </w:r>
            <w:r>
              <w:rPr>
                <w:rFonts w:hint="eastAsia"/>
                <w:highlight w:val="none"/>
              </w:rPr>
              <w:t>产品属于“节能产品”或“环境标志产品”的，应如实填写《“节能产品”、“环境标志产品”清单》，且提供国家确定的认证机构出具的并处于有效期内的节能产品、环境标志产品认证证书复印件。否则不予价格扣除或加分。</w:t>
            </w:r>
          </w:p>
          <w:p w14:paraId="08466B40">
            <w:pPr>
              <w:keepNext w:val="0"/>
              <w:keepLines w:val="0"/>
              <w:widowControl/>
              <w:suppressLineNumbers w:val="0"/>
              <w:jc w:val="left"/>
              <w:rPr>
                <w:color w:val="auto"/>
                <w:highlight w:val="none"/>
              </w:rPr>
            </w:pPr>
            <w:r>
              <w:rPr>
                <w:rFonts w:hint="eastAsia" w:ascii="宋体" w:hAnsi="宋体" w:cs="宋体"/>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投标产品</w:t>
            </w:r>
            <w:r>
              <w:rPr>
                <w:rFonts w:hint="eastAsia" w:ascii="宋体" w:hAnsi="宋体" w:cs="宋体"/>
                <w:color w:val="auto"/>
                <w:kern w:val="0"/>
                <w:sz w:val="21"/>
                <w:szCs w:val="21"/>
                <w:highlight w:val="none"/>
                <w:lang w:val="en-US" w:eastAsia="zh-CN" w:bidi="ar"/>
              </w:rPr>
              <w:t>同时</w:t>
            </w:r>
            <w:r>
              <w:rPr>
                <w:rFonts w:hint="eastAsia" w:ascii="宋体" w:hAnsi="宋体" w:eastAsia="宋体" w:cs="宋体"/>
                <w:color w:val="auto"/>
                <w:kern w:val="0"/>
                <w:sz w:val="21"/>
                <w:szCs w:val="21"/>
                <w:highlight w:val="none"/>
                <w:lang w:val="en-US" w:eastAsia="zh-CN" w:bidi="ar"/>
              </w:rPr>
              <w:t>取得</w:t>
            </w:r>
            <w:r>
              <w:rPr>
                <w:rFonts w:hint="eastAsia"/>
                <w:highlight w:val="none"/>
              </w:rPr>
              <w:t>“节能产品”或“环境标志产品”</w:t>
            </w:r>
            <w:r>
              <w:rPr>
                <w:rFonts w:hint="eastAsia" w:ascii="宋体" w:hAnsi="宋体" w:eastAsia="宋体" w:cs="宋体"/>
                <w:color w:val="auto"/>
                <w:kern w:val="0"/>
                <w:sz w:val="21"/>
                <w:szCs w:val="21"/>
                <w:highlight w:val="none"/>
                <w:lang w:val="en-US" w:eastAsia="zh-CN" w:bidi="ar"/>
              </w:rPr>
              <w:t>认证的，评审时只享受其中一项优惠。（投标人自行选择，并在投标文件中按要求填报相关信息及数据、提供相关证明资料，否则不享受此优惠政策）</w:t>
            </w:r>
            <w:r>
              <w:rPr>
                <w:rFonts w:hint="eastAsia" w:ascii="宋体" w:hAnsi="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 xml:space="preserve"> </w:t>
            </w:r>
          </w:p>
          <w:p w14:paraId="7DB08952">
            <w:pPr>
              <w:pStyle w:val="60"/>
              <w:numPr>
                <w:ilvl w:val="0"/>
                <w:numId w:val="0"/>
              </w:numPr>
              <w:ind w:leftChars="0"/>
              <w:rPr>
                <w:rFonts w:hint="eastAsia"/>
                <w:highlight w:val="none"/>
                <w:lang w:eastAsia="zh-CN"/>
              </w:rPr>
            </w:pPr>
            <w:r>
              <w:rPr>
                <w:rFonts w:hint="eastAsia" w:ascii="宋体" w:hAnsi="宋体" w:cs="宋体"/>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小型和微型企业的价格评审优惠</w:t>
            </w:r>
            <w:r>
              <w:rPr>
                <w:rFonts w:hint="eastAsia" w:ascii="宋体" w:hAnsi="宋体" w:cs="宋体"/>
                <w:color w:val="auto"/>
                <w:kern w:val="0"/>
                <w:sz w:val="21"/>
                <w:szCs w:val="21"/>
                <w:highlight w:val="none"/>
                <w:lang w:val="en-US" w:eastAsia="zh-CN" w:bidi="ar"/>
              </w:rPr>
              <w:t>、本国产品价格优惠、</w:t>
            </w:r>
            <w:r>
              <w:rPr>
                <w:rFonts w:hint="eastAsia" w:ascii="宋体" w:hAnsi="宋体" w:eastAsia="宋体" w:cs="宋体"/>
                <w:color w:val="auto"/>
                <w:kern w:val="0"/>
                <w:sz w:val="21"/>
                <w:szCs w:val="21"/>
                <w:highlight w:val="none"/>
                <w:lang w:val="en-US" w:eastAsia="zh-CN" w:bidi="ar"/>
              </w:rPr>
              <w:t>“节能产品”</w:t>
            </w:r>
            <w:r>
              <w:rPr>
                <w:rFonts w:hint="eastAsia" w:ascii="宋体" w:hAnsi="宋体" w:cs="宋体"/>
                <w:color w:val="auto"/>
                <w:kern w:val="0"/>
                <w:sz w:val="21"/>
                <w:szCs w:val="21"/>
                <w:highlight w:val="none"/>
                <w:lang w:val="en-US" w:eastAsia="zh-CN" w:bidi="ar"/>
              </w:rPr>
              <w:t>或</w:t>
            </w:r>
            <w:r>
              <w:rPr>
                <w:rFonts w:hint="eastAsia" w:ascii="宋体" w:hAnsi="宋体" w:eastAsia="宋体" w:cs="宋体"/>
                <w:color w:val="auto"/>
                <w:kern w:val="0"/>
                <w:sz w:val="21"/>
                <w:szCs w:val="21"/>
                <w:highlight w:val="none"/>
                <w:lang w:val="en-US" w:eastAsia="zh-CN" w:bidi="ar"/>
              </w:rPr>
              <w:t>“环境标志产品”中的一项优惠</w:t>
            </w:r>
            <w:r>
              <w:rPr>
                <w:rFonts w:hint="eastAsia" w:ascii="宋体" w:hAnsi="宋体" w:cs="宋体"/>
                <w:color w:val="auto"/>
                <w:kern w:val="0"/>
                <w:sz w:val="21"/>
                <w:szCs w:val="21"/>
                <w:highlight w:val="none"/>
                <w:lang w:val="en-US" w:eastAsia="zh-CN" w:bidi="ar"/>
              </w:rPr>
              <w:t>，三项优惠应</w:t>
            </w:r>
            <w:r>
              <w:rPr>
                <w:rFonts w:hint="eastAsia" w:ascii="宋体" w:hAnsi="宋体" w:eastAsia="宋体" w:cs="宋体"/>
                <w:color w:val="auto"/>
                <w:kern w:val="0"/>
                <w:sz w:val="21"/>
                <w:szCs w:val="21"/>
                <w:highlight w:val="none"/>
                <w:lang w:val="en-US" w:eastAsia="zh-CN" w:bidi="ar"/>
              </w:rPr>
              <w:t xml:space="preserve">累加计算。 </w:t>
            </w:r>
          </w:p>
        </w:tc>
      </w:tr>
      <w:tr w14:paraId="541835E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1701" w:type="dxa"/>
            <w:tcBorders>
              <w:top w:val="single" w:color="auto" w:sz="6" w:space="0"/>
              <w:bottom w:val="single" w:color="auto" w:sz="6" w:space="0"/>
            </w:tcBorders>
            <w:vAlign w:val="center"/>
          </w:tcPr>
          <w:p w14:paraId="363E652A">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第6.1</w:t>
            </w:r>
            <w:r>
              <w:rPr>
                <w:rFonts w:hint="eastAsia" w:cs="宋体" w:asciiTheme="minorEastAsia" w:hAnsiTheme="minorEastAsia" w:eastAsiaTheme="minorEastAsia"/>
                <w:kern w:val="0"/>
                <w:szCs w:val="21"/>
                <w:highlight w:val="none"/>
                <w:lang w:val="zh-CN"/>
              </w:rPr>
              <w:t>款</w:t>
            </w:r>
          </w:p>
        </w:tc>
        <w:tc>
          <w:tcPr>
            <w:tcW w:w="2268" w:type="dxa"/>
            <w:gridSpan w:val="2"/>
            <w:tcBorders>
              <w:top w:val="single" w:color="auto" w:sz="6" w:space="0"/>
              <w:bottom w:val="single" w:color="auto" w:sz="6" w:space="0"/>
              <w:right w:val="single" w:color="auto" w:sz="6" w:space="0"/>
            </w:tcBorders>
            <w:vAlign w:val="center"/>
          </w:tcPr>
          <w:p w14:paraId="6DB7821B">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中标候选人并列的确定中标人的方式</w:t>
            </w:r>
          </w:p>
        </w:tc>
        <w:tc>
          <w:tcPr>
            <w:tcW w:w="4820" w:type="dxa"/>
            <w:tcBorders>
              <w:top w:val="single" w:color="auto" w:sz="6" w:space="0"/>
              <w:left w:val="single" w:color="auto" w:sz="6" w:space="0"/>
              <w:bottom w:val="single" w:color="auto" w:sz="6" w:space="0"/>
              <w:right w:val="double" w:color="auto" w:sz="4" w:space="0"/>
            </w:tcBorders>
            <w:vAlign w:val="center"/>
          </w:tcPr>
          <w:p w14:paraId="4F70B338">
            <w:pPr>
              <w:adjustRightInd w:val="0"/>
              <w:snapToGrid w:val="0"/>
              <w:spacing w:line="420" w:lineRule="exact"/>
              <w:rPr>
                <w:rFonts w:asciiTheme="minorEastAsia" w:hAnsiTheme="minorEastAsia" w:eastAsiaTheme="minorEastAsia"/>
                <w:szCs w:val="21"/>
                <w:highlight w:val="none"/>
              </w:rPr>
            </w:pPr>
            <w:r>
              <w:rPr>
                <w:rFonts w:hint="eastAsia"/>
                <w:szCs w:val="21"/>
                <w:highlight w:val="none"/>
              </w:rPr>
              <w:t>/</w:t>
            </w:r>
          </w:p>
        </w:tc>
      </w:tr>
      <w:tr w14:paraId="6978938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27" w:hRule="atLeast"/>
        </w:trPr>
        <w:tc>
          <w:tcPr>
            <w:tcW w:w="1701" w:type="dxa"/>
            <w:tcBorders>
              <w:top w:val="single" w:color="auto" w:sz="6" w:space="0"/>
              <w:bottom w:val="double" w:color="auto" w:sz="4" w:space="0"/>
            </w:tcBorders>
            <w:vAlign w:val="center"/>
          </w:tcPr>
          <w:p w14:paraId="6F1237ED">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第6.2</w:t>
            </w:r>
            <w:r>
              <w:rPr>
                <w:rFonts w:hint="eastAsia" w:cs="宋体" w:asciiTheme="minorEastAsia" w:hAnsiTheme="minorEastAsia" w:eastAsiaTheme="minorEastAsia"/>
                <w:kern w:val="0"/>
                <w:szCs w:val="21"/>
                <w:highlight w:val="none"/>
                <w:lang w:val="zh-CN"/>
              </w:rPr>
              <w:t>款</w:t>
            </w:r>
          </w:p>
        </w:tc>
        <w:tc>
          <w:tcPr>
            <w:tcW w:w="2268" w:type="dxa"/>
            <w:gridSpan w:val="2"/>
            <w:tcBorders>
              <w:top w:val="single" w:color="auto" w:sz="6" w:space="0"/>
              <w:bottom w:val="double" w:color="auto" w:sz="4" w:space="0"/>
              <w:right w:val="single" w:color="auto" w:sz="6" w:space="0"/>
            </w:tcBorders>
            <w:vAlign w:val="center"/>
          </w:tcPr>
          <w:p w14:paraId="7A9D752B">
            <w:pPr>
              <w:adjustRightInd w:val="0"/>
              <w:snapToGrid w:val="0"/>
              <w:spacing w:before="120" w:beforeLines="50" w:line="360" w:lineRule="auto"/>
              <w:jc w:val="center"/>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中标候选人并列的确定中标人的方式</w:t>
            </w:r>
          </w:p>
        </w:tc>
        <w:tc>
          <w:tcPr>
            <w:tcW w:w="4820" w:type="dxa"/>
            <w:tcBorders>
              <w:top w:val="single" w:color="auto" w:sz="6" w:space="0"/>
              <w:left w:val="single" w:color="auto" w:sz="6" w:space="0"/>
              <w:bottom w:val="double" w:color="auto" w:sz="4" w:space="0"/>
              <w:right w:val="double" w:color="auto" w:sz="4" w:space="0"/>
            </w:tcBorders>
            <w:vAlign w:val="center"/>
          </w:tcPr>
          <w:p w14:paraId="09AA3CE0">
            <w:pPr>
              <w:adjustRightInd w:val="0"/>
              <w:snapToGrid w:val="0"/>
              <w:spacing w:line="420" w:lineRule="exac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评审得分相同的，报价最低的获得中标候选人推荐资格。报价且评审得分相同的，由评标委员会随机抽取方式确定。</w:t>
            </w:r>
          </w:p>
        </w:tc>
      </w:tr>
    </w:tbl>
    <w:p w14:paraId="6BB63728">
      <w:pPr>
        <w:pStyle w:val="3"/>
        <w:keepNext w:val="0"/>
        <w:keepLines w:val="0"/>
        <w:adjustRightInd w:val="0"/>
        <w:snapToGrid w:val="0"/>
        <w:spacing w:before="120" w:beforeLines="50"/>
        <w:jc w:val="center"/>
        <w:rPr>
          <w:rFonts w:ascii="黑体" w:hAnsi="华文中宋" w:eastAsia="黑体"/>
          <w:sz w:val="28"/>
          <w:szCs w:val="28"/>
          <w:highlight w:val="none"/>
        </w:rPr>
      </w:pPr>
      <w:r>
        <w:rPr>
          <w:rFonts w:asciiTheme="minorEastAsia" w:hAnsiTheme="minorEastAsia" w:eastAsiaTheme="minorEastAsia"/>
          <w:highlight w:val="none"/>
        </w:rPr>
        <w:br w:type="page"/>
      </w:r>
      <w:bookmarkStart w:id="39" w:name="_Toc27718"/>
      <w:r>
        <w:rPr>
          <w:rFonts w:hint="eastAsia" w:ascii="黑体" w:hAnsi="华文中宋" w:eastAsia="黑体"/>
          <w:sz w:val="28"/>
          <w:szCs w:val="28"/>
          <w:highlight w:val="none"/>
        </w:rPr>
        <w:t>第二节 评标方法及标准</w:t>
      </w:r>
      <w:bookmarkEnd w:id="39"/>
    </w:p>
    <w:p w14:paraId="612A8942">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1．评标方法</w:t>
      </w:r>
    </w:p>
    <w:p w14:paraId="35AE3D7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1.1综合评分法，指投标文件满足招标文件全部实质性要求，且按照评审因素的量化指标评审得分最高的投标人为中标候选人的评标方法。</w:t>
      </w:r>
    </w:p>
    <w:p w14:paraId="18EADB2D">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1.2最低评标价，是指投标文件满足招标文件全部实质性要求，且投标报价最低的投标人为中标候选人的评标方法。</w:t>
      </w:r>
    </w:p>
    <w:p w14:paraId="31591F9F">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1.3本采购项目评标方法见本章第一节“评标规范前附表”</w:t>
      </w:r>
      <w:r>
        <w:rPr>
          <w:rFonts w:hint="eastAsia" w:ascii="华文中宋" w:hAnsi="华文中宋" w:eastAsia="华文中宋"/>
          <w:bCs/>
          <w:szCs w:val="21"/>
          <w:highlight w:val="none"/>
        </w:rPr>
        <w:t>（</w:t>
      </w:r>
      <w:r>
        <w:rPr>
          <w:rFonts w:hint="eastAsia" w:asciiTheme="minorEastAsia" w:hAnsiTheme="minorEastAsia" w:eastAsiaTheme="minorEastAsia"/>
          <w:bCs/>
          <w:szCs w:val="21"/>
          <w:highlight w:val="none"/>
        </w:rPr>
        <w:t>以下简称</w:t>
      </w:r>
      <w:r>
        <w:rPr>
          <w:rFonts w:hint="eastAsia" w:asciiTheme="minorEastAsia" w:hAnsiTheme="minorEastAsia" w:eastAsiaTheme="minorEastAsia"/>
          <w:b/>
          <w:szCs w:val="21"/>
          <w:highlight w:val="none"/>
        </w:rPr>
        <w:t>【评标方法及标准前附表】）</w:t>
      </w:r>
      <w:r>
        <w:rPr>
          <w:rFonts w:hint="eastAsia" w:asciiTheme="minorEastAsia" w:hAnsiTheme="minorEastAsia" w:eastAsiaTheme="minorEastAsia"/>
          <w:szCs w:val="21"/>
          <w:highlight w:val="none"/>
        </w:rPr>
        <w:t>。</w:t>
      </w:r>
    </w:p>
    <w:p w14:paraId="667B9190">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2．评标程序</w:t>
      </w:r>
    </w:p>
    <w:p w14:paraId="397F664D">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2.1评标程序分为投标文件符合性审查、澄清有关问题、比较和评价、推荐中标候选人。</w:t>
      </w:r>
    </w:p>
    <w:p w14:paraId="4ACE2822">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3．投标文件的符合性审查</w:t>
      </w:r>
    </w:p>
    <w:p w14:paraId="79EBD4D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3.1资格审查结束后，评标委员会依法按照本章第三节“投标文件的符合性审查”规定进行投标文件符合性。</w:t>
      </w:r>
    </w:p>
    <w:p w14:paraId="27DC5898">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3.2符合性审查合格投标人少于3家的，应予废标。</w:t>
      </w:r>
    </w:p>
    <w:p w14:paraId="559EB72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3.3单一产品采购项目：提供相同品牌产品的不同投标人参加同一合同项下投标的，按一家投标人计算。提供不同品牌产品的投标人不足三家的，应予废标。</w:t>
      </w:r>
    </w:p>
    <w:p w14:paraId="4BBD713E">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3.4非单一产品采购项目：采购人或者采购代理机构将在</w:t>
      </w:r>
      <w:r>
        <w:rPr>
          <w:rFonts w:hint="eastAsia" w:asciiTheme="minorEastAsia" w:hAnsiTheme="minorEastAsia" w:eastAsiaTheme="minorEastAsia"/>
          <w:b/>
          <w:szCs w:val="21"/>
          <w:highlight w:val="none"/>
        </w:rPr>
        <w:t>【评标方法及标准前附表】</w:t>
      </w:r>
      <w:r>
        <w:rPr>
          <w:rFonts w:hint="eastAsia" w:asciiTheme="minorEastAsia" w:hAnsiTheme="minorEastAsia" w:eastAsiaTheme="minorEastAsia"/>
          <w:szCs w:val="21"/>
          <w:highlight w:val="none"/>
        </w:rPr>
        <w:t>中载明核心产品。多家投标人提供的核心产品品牌相同的，视为相同品牌，按本章本节第3.3款规定处理。</w:t>
      </w:r>
    </w:p>
    <w:p w14:paraId="34DECDF1">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4．投标文件的澄清</w:t>
      </w:r>
    </w:p>
    <w:p w14:paraId="66A45C1C">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4.1对于投标文件中含义不明确、同类问题表述不一致或者有明显文字和计算错误的内容，评标委员会应当以书面形式要求投标人作出必要的澄清、说明或者补正。</w:t>
      </w:r>
    </w:p>
    <w:p w14:paraId="1049936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4.2投标文件的投标报价出现前后不一致的，除</w:t>
      </w:r>
      <w:r>
        <w:rPr>
          <w:rFonts w:hint="eastAsia" w:asciiTheme="minorEastAsia" w:hAnsiTheme="minorEastAsia" w:eastAsiaTheme="minorEastAsia"/>
          <w:b/>
          <w:szCs w:val="21"/>
          <w:highlight w:val="none"/>
        </w:rPr>
        <w:t>【评标方法及标准前附表】</w:t>
      </w:r>
      <w:r>
        <w:rPr>
          <w:rFonts w:hint="eastAsia" w:asciiTheme="minorEastAsia" w:hAnsiTheme="minorEastAsia" w:eastAsiaTheme="minorEastAsia"/>
          <w:szCs w:val="21"/>
          <w:highlight w:val="none"/>
        </w:rPr>
        <w:t>另有规定外，按照下列规定修正：</w:t>
      </w:r>
    </w:p>
    <w:p w14:paraId="4D7DA3C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（1）投标文件中开标一览表内容与投标文件中相应内容不一致的，以开标一览表为准；</w:t>
      </w:r>
    </w:p>
    <w:p w14:paraId="55B8032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（2）大写金额和小写金额不一致的，以大写金额为准；</w:t>
      </w:r>
    </w:p>
    <w:p w14:paraId="757276F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（3）单价金额小数点或者百分比有明显错位的，以开标一览表的总价为准，并修改单价；</w:t>
      </w:r>
    </w:p>
    <w:p w14:paraId="637A364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（4）总价金额与按单价汇总金额不一致的，以单价金额计算结果为准。</w:t>
      </w:r>
    </w:p>
    <w:p w14:paraId="63CA23CF">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4.3投标文件报价同时出现两种以上不一致的，按照前款规定的顺序修正。修正后的报价由投标人代表签字或者加盖单位章确认后产生约束力，投标人不确认的，其投标无效。</w:t>
      </w:r>
    </w:p>
    <w:p w14:paraId="4F904E29">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4.4投标人的澄清、说明或者补正应当采用书面形式，并加盖公章，或者由法定代表人或其授权的代表签字，并按评标委员会的通知要求递交。投标人的澄清、说明或者补正不得超出投标文件的范围或者改变投标文件的实质性内容。</w:t>
      </w:r>
    </w:p>
    <w:p w14:paraId="1C4A755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4.5有效的书面澄清材料，是投标文件的补充材料，成为投标文件的组成部分。</w:t>
      </w:r>
    </w:p>
    <w:p w14:paraId="7D7DAB0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4.6评标委员会认为投标人的报价明显低于其他通过符合性审查投标人的报价，有可能影响产品质量或者不能诚信履约的，应当要求其在评标现场合理的时间内提供数据电文说明，必要时提交相关证明材料（提交电子扫描件）；投标人不能证明其报价合理性的，评标委员会应当将其作为投标无效处理。</w:t>
      </w:r>
    </w:p>
    <w:p w14:paraId="57954FBE">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5．投标文件的比较与评价</w:t>
      </w:r>
    </w:p>
    <w:p w14:paraId="1F5EA1BA">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5.1评标委员会依法按照本章第三节“投标文件的比较与评价”规定，对资格性检查和符合性检查合格的投标文件进行比较和评价。</w:t>
      </w:r>
    </w:p>
    <w:p w14:paraId="274EB4B2">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5.2单一产品采购项目：</w:t>
      </w:r>
    </w:p>
    <w:p w14:paraId="10228D2F">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szCs w:val="21"/>
          <w:highlight w:val="none"/>
        </w:rPr>
        <w:t>（1）最低评标价法：</w:t>
      </w:r>
      <w:r>
        <w:rPr>
          <w:rFonts w:hint="eastAsia" w:asciiTheme="minorEastAsia" w:hAnsiTheme="minorEastAsia" w:eastAsiaTheme="minorEastAsia"/>
          <w:bCs/>
          <w:szCs w:val="21"/>
          <w:highlight w:val="none"/>
        </w:rPr>
        <w:t>提供相同品牌产品的不同投标人参加同一合同项下投标的，以其中通过资格审查、符合性审查且报价最低的参加评标，其他投标无效；报价相同的，按照</w:t>
      </w:r>
      <w:r>
        <w:rPr>
          <w:rFonts w:hint="eastAsia" w:asciiTheme="minorEastAsia" w:hAnsiTheme="minorEastAsia" w:eastAsiaTheme="minorEastAsia"/>
          <w:b/>
          <w:bCs/>
          <w:szCs w:val="21"/>
          <w:highlight w:val="none"/>
        </w:rPr>
        <w:t>【评标方法及标准前附表】</w:t>
      </w:r>
      <w:r>
        <w:rPr>
          <w:rFonts w:hint="eastAsia" w:asciiTheme="minorEastAsia" w:hAnsiTheme="minorEastAsia" w:eastAsiaTheme="minorEastAsia"/>
          <w:bCs/>
          <w:szCs w:val="21"/>
          <w:highlight w:val="none"/>
        </w:rPr>
        <w:t>规定的方式确定一个参加评标的投标人，招标文件未规定的采取随机抽取方式确定，其他</w:t>
      </w:r>
      <w:r>
        <w:rPr>
          <w:rFonts w:hint="eastAsia" w:asciiTheme="minorEastAsia" w:hAnsiTheme="minorEastAsia" w:eastAsiaTheme="minorEastAsia"/>
          <w:b/>
          <w:bCs/>
          <w:szCs w:val="21"/>
          <w:highlight w:val="none"/>
        </w:rPr>
        <w:t>投标无效</w:t>
      </w:r>
      <w:r>
        <w:rPr>
          <w:rFonts w:hint="eastAsia" w:asciiTheme="minorEastAsia" w:hAnsiTheme="minorEastAsia" w:eastAsiaTheme="minorEastAsia"/>
          <w:bCs/>
          <w:szCs w:val="21"/>
          <w:highlight w:val="none"/>
        </w:rPr>
        <w:t>。</w:t>
      </w:r>
    </w:p>
    <w:p w14:paraId="18552C96">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（2）综合评分法：提供相同品牌产品且通过资格审查、符合性审查的不同投标人参加同一合同项下投标的，评审后得分最高的同品牌投标人获得中标人推荐资格；评审得分相同的，按照</w:t>
      </w:r>
      <w:r>
        <w:rPr>
          <w:rFonts w:hint="eastAsia" w:asciiTheme="minorEastAsia" w:hAnsiTheme="minorEastAsia" w:eastAsiaTheme="minorEastAsia"/>
          <w:b/>
          <w:szCs w:val="21"/>
          <w:highlight w:val="none"/>
        </w:rPr>
        <w:t>【评标方法及标准前附表】</w:t>
      </w:r>
      <w:r>
        <w:rPr>
          <w:rFonts w:hint="eastAsia" w:asciiTheme="minorEastAsia" w:hAnsiTheme="minorEastAsia" w:eastAsiaTheme="minorEastAsia"/>
          <w:szCs w:val="21"/>
          <w:highlight w:val="none"/>
        </w:rPr>
        <w:t>规定的方式确定一个投标人获得中标人推荐资格，招标文件未规定的采取随机抽取方式确定，其他同品牌投标人</w:t>
      </w:r>
      <w:r>
        <w:rPr>
          <w:rFonts w:hint="eastAsia" w:asciiTheme="minorEastAsia" w:hAnsiTheme="minorEastAsia" w:eastAsiaTheme="minorEastAsia"/>
          <w:b/>
          <w:szCs w:val="21"/>
          <w:highlight w:val="none"/>
        </w:rPr>
        <w:t>不作为中标候选人</w:t>
      </w:r>
      <w:r>
        <w:rPr>
          <w:rFonts w:hint="eastAsia" w:asciiTheme="minorEastAsia" w:hAnsiTheme="minorEastAsia" w:eastAsiaTheme="minorEastAsia"/>
          <w:szCs w:val="21"/>
          <w:highlight w:val="none"/>
        </w:rPr>
        <w:t>。</w:t>
      </w:r>
    </w:p>
    <w:p w14:paraId="1000B25E">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（3）非单一产品采购项目：多家投标人提供的核心产品品牌相同的，视为相同品牌，按本章本节第 5.2（1）、5.2（2） 款规定处理。</w:t>
      </w:r>
    </w:p>
    <w:p w14:paraId="5D0B3555">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5.3政府采购政策：</w:t>
      </w:r>
    </w:p>
    <w:p w14:paraId="0AE45CE7">
      <w:pPr>
        <w:adjustRightInd w:val="0"/>
        <w:snapToGrid w:val="0"/>
        <w:spacing w:before="120" w:beforeLines="50" w:line="360" w:lineRule="auto"/>
        <w:ind w:firstLine="420" w:firstLineChars="200"/>
        <w:jc w:val="left"/>
        <w:rPr>
          <w:rFonts w:ascii="宋体" w:hAnsi="宋体"/>
          <w:highlight w:val="none"/>
        </w:rPr>
      </w:pPr>
      <w:r>
        <w:rPr>
          <w:rFonts w:hint="eastAsia" w:ascii="宋体" w:hAnsi="宋体"/>
          <w:szCs w:val="21"/>
          <w:highlight w:val="none"/>
        </w:rPr>
        <w:t>（1）</w:t>
      </w:r>
      <w:r>
        <w:rPr>
          <w:rFonts w:hint="eastAsia" w:ascii="宋体" w:hAnsi="宋体"/>
          <w:bCs/>
          <w:szCs w:val="21"/>
          <w:highlight w:val="none"/>
        </w:rPr>
        <w:t>价格评审优惠：</w:t>
      </w:r>
      <w:r>
        <w:rPr>
          <w:rFonts w:hint="eastAsia" w:ascii="宋体" w:hAnsi="宋体"/>
          <w:szCs w:val="21"/>
          <w:highlight w:val="none"/>
        </w:rPr>
        <w:t>按</w:t>
      </w:r>
      <w:r>
        <w:rPr>
          <w:rFonts w:hint="eastAsia" w:ascii="宋体" w:hAnsi="宋体"/>
          <w:b/>
          <w:szCs w:val="21"/>
          <w:highlight w:val="none"/>
        </w:rPr>
        <w:t>【评标方法及标准前附表】</w:t>
      </w:r>
      <w:r>
        <w:rPr>
          <w:rFonts w:hint="eastAsia" w:ascii="宋体" w:hAnsi="宋体"/>
          <w:szCs w:val="21"/>
          <w:highlight w:val="none"/>
        </w:rPr>
        <w:t>及第二章“投标须知”的相关规定给予一定的价格折扣。</w:t>
      </w:r>
    </w:p>
    <w:p w14:paraId="5564C71B">
      <w:pPr>
        <w:adjustRightInd w:val="0"/>
        <w:snapToGrid w:val="0"/>
        <w:spacing w:before="120" w:beforeLines="50" w:line="360" w:lineRule="auto"/>
        <w:ind w:firstLine="420" w:firstLineChars="200"/>
        <w:jc w:val="left"/>
        <w:rPr>
          <w:rFonts w:hint="eastAsia" w:asciiTheme="minorEastAsia" w:hAnsiTheme="minorEastAsia" w:eastAsiaTheme="minorEastAsia"/>
          <w:bCs/>
          <w:szCs w:val="21"/>
          <w:highlight w:val="none"/>
        </w:rPr>
      </w:pPr>
      <w:r>
        <w:rPr>
          <w:rFonts w:hint="eastAsia" w:asciiTheme="minorEastAsia" w:hAnsiTheme="minorEastAsia" w:eastAsiaTheme="minorEastAsia"/>
          <w:szCs w:val="21"/>
          <w:highlight w:val="none"/>
        </w:rPr>
        <w:t>（2）优先采购：</w:t>
      </w:r>
      <w:r>
        <w:rPr>
          <w:rFonts w:hint="eastAsia" w:asciiTheme="minorEastAsia" w:hAnsiTheme="minorEastAsia" w:eastAsiaTheme="minorEastAsia"/>
          <w:bCs/>
          <w:szCs w:val="21"/>
          <w:highlight w:val="none"/>
        </w:rPr>
        <w:t>评审时按</w:t>
      </w:r>
      <w:r>
        <w:rPr>
          <w:rFonts w:hint="eastAsia" w:asciiTheme="minorEastAsia" w:hAnsiTheme="minorEastAsia" w:eastAsiaTheme="minorEastAsia"/>
          <w:b/>
          <w:szCs w:val="21"/>
          <w:highlight w:val="none"/>
        </w:rPr>
        <w:t>【评标方法及标准前附表】</w:t>
      </w:r>
      <w:r>
        <w:rPr>
          <w:rFonts w:hint="eastAsia" w:asciiTheme="minorEastAsia" w:hAnsiTheme="minorEastAsia" w:eastAsiaTheme="minorEastAsia"/>
          <w:bCs/>
          <w:szCs w:val="21"/>
          <w:highlight w:val="none"/>
        </w:rPr>
        <w:t>及第二章</w:t>
      </w:r>
      <w:r>
        <w:rPr>
          <w:rFonts w:hint="eastAsia" w:asciiTheme="minorEastAsia" w:hAnsiTheme="minorEastAsia" w:eastAsiaTheme="minorEastAsia"/>
          <w:szCs w:val="21"/>
          <w:highlight w:val="none"/>
        </w:rPr>
        <w:t>“投标须知”</w:t>
      </w:r>
      <w:r>
        <w:rPr>
          <w:rFonts w:hint="eastAsia" w:asciiTheme="minorEastAsia" w:hAnsiTheme="minorEastAsia" w:eastAsiaTheme="minorEastAsia"/>
          <w:bCs/>
          <w:szCs w:val="21"/>
          <w:highlight w:val="none"/>
        </w:rPr>
        <w:t>的相关规定给予价格折扣或者加分。</w:t>
      </w:r>
    </w:p>
    <w:p w14:paraId="2E06C69A">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6．推荐中标候选人</w:t>
      </w:r>
    </w:p>
    <w:p w14:paraId="7B2F6284">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szCs w:val="21"/>
          <w:highlight w:val="none"/>
        </w:rPr>
        <w:t>6.1最低评标价法：</w:t>
      </w:r>
      <w:r>
        <w:rPr>
          <w:rFonts w:hint="eastAsia" w:asciiTheme="minorEastAsia" w:hAnsiTheme="minorEastAsia" w:eastAsiaTheme="minorEastAsia"/>
          <w:bCs/>
          <w:szCs w:val="21"/>
          <w:highlight w:val="none"/>
        </w:rPr>
        <w:t>评标结果按算术修正和落实政府采购政策需进行的价格扣除后的投标报价由低到高顺序排列。报价相同的并列，按</w:t>
      </w:r>
      <w:r>
        <w:rPr>
          <w:rFonts w:hint="eastAsia" w:asciiTheme="minorEastAsia" w:hAnsiTheme="minorEastAsia" w:eastAsiaTheme="minorEastAsia"/>
          <w:b/>
          <w:szCs w:val="21"/>
          <w:highlight w:val="none"/>
        </w:rPr>
        <w:t>【评标方法及标准前附表】</w:t>
      </w:r>
      <w:r>
        <w:rPr>
          <w:rFonts w:hint="eastAsia" w:asciiTheme="minorEastAsia" w:hAnsiTheme="minorEastAsia" w:eastAsiaTheme="minorEastAsia"/>
          <w:szCs w:val="21"/>
          <w:highlight w:val="none"/>
        </w:rPr>
        <w:t>规定的方式确定中标人；</w:t>
      </w:r>
      <w:r>
        <w:rPr>
          <w:rFonts w:hint="eastAsia" w:asciiTheme="minorEastAsia" w:hAnsiTheme="minorEastAsia" w:eastAsiaTheme="minorEastAsia"/>
          <w:bCs/>
          <w:szCs w:val="21"/>
          <w:highlight w:val="none"/>
        </w:rPr>
        <w:t>招标文件未规定的，采取随机抽取的方式确定。</w:t>
      </w:r>
    </w:p>
    <w:p w14:paraId="071CD2B7">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6.2综合评分法：评标结果按评审后得分由高到低顺序排列。得分相同的，按投标报价由低到高顺序排列。得分且投标报价相同的并列，按</w:t>
      </w:r>
      <w:r>
        <w:rPr>
          <w:rFonts w:hint="eastAsia" w:asciiTheme="minorEastAsia" w:hAnsiTheme="minorEastAsia" w:eastAsiaTheme="minorEastAsia"/>
          <w:b/>
          <w:bCs/>
          <w:szCs w:val="21"/>
          <w:highlight w:val="none"/>
        </w:rPr>
        <w:t>【评标方法及标准前附表】</w:t>
      </w:r>
      <w:r>
        <w:rPr>
          <w:rFonts w:hint="eastAsia" w:asciiTheme="minorEastAsia" w:hAnsiTheme="minorEastAsia" w:eastAsiaTheme="minorEastAsia"/>
          <w:bCs/>
          <w:szCs w:val="21"/>
          <w:highlight w:val="none"/>
        </w:rPr>
        <w:t>规定的方式确定中标人；招标文件未规定的，采取随机抽取的方式确定。</w:t>
      </w:r>
    </w:p>
    <w:p w14:paraId="53F32738">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7．编写评标报告</w:t>
      </w:r>
    </w:p>
    <w:p w14:paraId="16D899D9">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7.1评标</w:t>
      </w:r>
      <w:r>
        <w:rPr>
          <w:rFonts w:hint="eastAsia" w:asciiTheme="minorEastAsia" w:hAnsiTheme="minorEastAsia" w:eastAsiaTheme="minorEastAsia"/>
          <w:bCs/>
          <w:szCs w:val="21"/>
          <w:highlight w:val="none"/>
        </w:rPr>
        <w:t>委员会</w:t>
      </w:r>
      <w:r>
        <w:rPr>
          <w:rFonts w:hint="eastAsia" w:asciiTheme="minorEastAsia" w:hAnsiTheme="minorEastAsia" w:eastAsiaTheme="minorEastAsia"/>
          <w:szCs w:val="21"/>
          <w:highlight w:val="none"/>
        </w:rPr>
        <w:t>根据全体评标成员签字的原始评标记录和评标结果编写评标报告。</w:t>
      </w:r>
    </w:p>
    <w:p w14:paraId="44F50857">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szCs w:val="21"/>
          <w:highlight w:val="none"/>
        </w:rPr>
        <w:t>7.2</w:t>
      </w:r>
      <w:r>
        <w:rPr>
          <w:rFonts w:hint="eastAsia" w:asciiTheme="minorEastAsia" w:hAnsiTheme="minorEastAsia" w:eastAsiaTheme="minorEastAsia"/>
          <w:bCs/>
          <w:szCs w:val="21"/>
          <w:highlight w:val="none"/>
        </w:rPr>
        <w:t>评标委员会成员对需要共同认定的事项存在争议的，应当按照少数服从多数的原则作出结论。持不同意见的评标委员会成员应当在评标报告上签署不同意见及理由，否则视为同意评标报告。</w:t>
      </w:r>
    </w:p>
    <w:p w14:paraId="57EF9BD1">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8．评标报告复核</w:t>
      </w:r>
    </w:p>
    <w:p w14:paraId="657475AE">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8.1汇总结束后，评标委员会应当进行复核，特别要对拟推荐为中标候选供应商的、报价最低的、投标文件被认定为无效的进行重点复核。</w:t>
      </w:r>
    </w:p>
    <w:p w14:paraId="47C4C0EC">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8.2汇总完成后，除下列情形外，任何人不得修改评标结果：</w:t>
      </w:r>
    </w:p>
    <w:p w14:paraId="4B712922">
      <w:pPr>
        <w:adjustRightInd w:val="0"/>
        <w:snapToGrid w:val="0"/>
        <w:spacing w:before="120" w:beforeLines="50" w:line="360" w:lineRule="auto"/>
        <w:ind w:firstLine="420" w:firstLineChars="200"/>
        <w:jc w:val="left"/>
        <w:rPr>
          <w:rFonts w:cs="宋体" w:asciiTheme="minorEastAsia" w:hAnsiTheme="minorEastAsia" w:eastAsiaTheme="minorEastAsia"/>
          <w:kern w:val="0"/>
          <w:szCs w:val="21"/>
          <w:highlight w:val="none"/>
        </w:rPr>
      </w:pPr>
      <w:r>
        <w:rPr>
          <w:rFonts w:hint="eastAsia" w:cs="宋体" w:asciiTheme="minorEastAsia" w:hAnsiTheme="minorEastAsia" w:eastAsiaTheme="minorEastAsia"/>
          <w:kern w:val="0"/>
          <w:szCs w:val="21"/>
          <w:highlight w:val="none"/>
        </w:rPr>
        <w:t>（1）分值汇总计算错误的；</w:t>
      </w:r>
    </w:p>
    <w:p w14:paraId="3F851116">
      <w:pPr>
        <w:adjustRightInd w:val="0"/>
        <w:snapToGrid w:val="0"/>
        <w:spacing w:before="120" w:beforeLines="50" w:line="360" w:lineRule="auto"/>
        <w:ind w:firstLine="420" w:firstLineChars="200"/>
        <w:jc w:val="left"/>
        <w:rPr>
          <w:rFonts w:cs="宋体" w:asciiTheme="minorEastAsia" w:hAnsiTheme="minorEastAsia" w:eastAsiaTheme="minorEastAsia"/>
          <w:kern w:val="0"/>
          <w:szCs w:val="21"/>
          <w:highlight w:val="none"/>
        </w:rPr>
      </w:pPr>
      <w:r>
        <w:rPr>
          <w:rFonts w:hint="eastAsia" w:cs="宋体" w:asciiTheme="minorEastAsia" w:hAnsiTheme="minorEastAsia" w:eastAsiaTheme="minorEastAsia"/>
          <w:kern w:val="0"/>
          <w:szCs w:val="21"/>
          <w:highlight w:val="none"/>
        </w:rPr>
        <w:t>（2）分项评分超出评分标准范围的；</w:t>
      </w:r>
    </w:p>
    <w:p w14:paraId="01B2CB4A">
      <w:pPr>
        <w:adjustRightInd w:val="0"/>
        <w:snapToGrid w:val="0"/>
        <w:spacing w:before="120" w:beforeLines="50" w:line="360" w:lineRule="auto"/>
        <w:ind w:firstLine="420" w:firstLineChars="200"/>
        <w:jc w:val="left"/>
        <w:rPr>
          <w:rFonts w:cs="宋体" w:asciiTheme="minorEastAsia" w:hAnsiTheme="minorEastAsia" w:eastAsiaTheme="minorEastAsia"/>
          <w:kern w:val="0"/>
          <w:szCs w:val="21"/>
          <w:highlight w:val="none"/>
        </w:rPr>
      </w:pPr>
      <w:r>
        <w:rPr>
          <w:rFonts w:hint="eastAsia" w:cs="宋体" w:asciiTheme="minorEastAsia" w:hAnsiTheme="minorEastAsia" w:eastAsiaTheme="minorEastAsia"/>
          <w:kern w:val="0"/>
          <w:szCs w:val="21"/>
          <w:highlight w:val="none"/>
        </w:rPr>
        <w:t>（3）评标委员会成员对客观评审因素评分不一致的；</w:t>
      </w:r>
    </w:p>
    <w:p w14:paraId="4B1519F6">
      <w:pPr>
        <w:adjustRightInd w:val="0"/>
        <w:snapToGrid w:val="0"/>
        <w:spacing w:before="120" w:beforeLines="50" w:line="360" w:lineRule="auto"/>
        <w:ind w:firstLine="420" w:firstLineChars="200"/>
        <w:jc w:val="left"/>
        <w:rPr>
          <w:rFonts w:cs="宋体" w:asciiTheme="minorEastAsia" w:hAnsiTheme="minorEastAsia" w:eastAsiaTheme="minorEastAsia"/>
          <w:kern w:val="0"/>
          <w:szCs w:val="21"/>
          <w:highlight w:val="none"/>
        </w:rPr>
      </w:pPr>
      <w:r>
        <w:rPr>
          <w:rFonts w:hint="eastAsia" w:cs="宋体" w:asciiTheme="minorEastAsia" w:hAnsiTheme="minorEastAsia" w:eastAsiaTheme="minorEastAsia"/>
          <w:kern w:val="0"/>
          <w:szCs w:val="21"/>
          <w:highlight w:val="none"/>
        </w:rPr>
        <w:t>（4）经评标委员会认定评分畸高、畸低的。</w:t>
      </w:r>
    </w:p>
    <w:p w14:paraId="63ABD734">
      <w:pPr>
        <w:adjustRightInd w:val="0"/>
        <w:snapToGrid w:val="0"/>
        <w:spacing w:before="120" w:beforeLines="50" w:line="360" w:lineRule="auto"/>
        <w:ind w:firstLine="420" w:firstLineChars="200"/>
        <w:jc w:val="left"/>
        <w:rPr>
          <w:rFonts w:asciiTheme="minorEastAsia" w:hAnsiTheme="minorEastAsia" w:eastAsiaTheme="minorEastAsia"/>
          <w:b/>
          <w:bCs/>
          <w:szCs w:val="21"/>
          <w:highlight w:val="none"/>
        </w:rPr>
      </w:pPr>
      <w:r>
        <w:rPr>
          <w:rFonts w:hint="eastAsia" w:asciiTheme="minorEastAsia" w:hAnsiTheme="minorEastAsia" w:eastAsiaTheme="minorEastAsia"/>
          <w:bCs/>
          <w:szCs w:val="21"/>
          <w:highlight w:val="none"/>
        </w:rPr>
        <w:t>8.3评标报告签署前，经复核发现存在以上情形之一的，评标委员会应当当场修改评标结果，并在评标报告中记载；评标报告签署后，采购人或者采购代理机构发现存在以上情形之一的，应当组织原评标委员会进行重新评审。重新评审改变评标结果的，书面报告本级财政部门。</w:t>
      </w:r>
    </w:p>
    <w:p w14:paraId="5FA18CCE">
      <w:pPr>
        <w:adjustRightInd w:val="0"/>
        <w:snapToGrid w:val="0"/>
        <w:spacing w:before="120" w:beforeLines="50" w:line="360" w:lineRule="auto"/>
        <w:rPr>
          <w:rFonts w:ascii="黑体" w:hAnsi="黑体" w:eastAsia="黑体"/>
          <w:sz w:val="24"/>
          <w:highlight w:val="none"/>
        </w:rPr>
      </w:pPr>
      <w:r>
        <w:rPr>
          <w:rFonts w:hint="eastAsia" w:ascii="黑体" w:hAnsi="黑体" w:eastAsia="黑体"/>
          <w:sz w:val="24"/>
          <w:highlight w:val="none"/>
        </w:rPr>
        <w:t>9．停止评标</w:t>
      </w:r>
    </w:p>
    <w:p w14:paraId="2E395442">
      <w:pPr>
        <w:adjustRightInd w:val="0"/>
        <w:snapToGrid w:val="0"/>
        <w:spacing w:before="120" w:beforeLines="50" w:line="360" w:lineRule="auto"/>
        <w:ind w:firstLine="420" w:firstLineChars="200"/>
        <w:jc w:val="left"/>
        <w:rPr>
          <w:rFonts w:cs="宋体" w:asciiTheme="minorEastAsia" w:hAnsiTheme="minorEastAsia" w:eastAsiaTheme="minorEastAsia"/>
          <w:kern w:val="0"/>
          <w:szCs w:val="21"/>
          <w:highlight w:val="none"/>
        </w:rPr>
      </w:pPr>
      <w:r>
        <w:rPr>
          <w:rFonts w:hint="eastAsia" w:asciiTheme="minorEastAsia" w:hAnsiTheme="minorEastAsia" w:eastAsiaTheme="minorEastAsia"/>
          <w:bCs/>
          <w:szCs w:val="21"/>
          <w:highlight w:val="none"/>
        </w:rPr>
        <w:t>9.1</w:t>
      </w:r>
      <w:r>
        <w:rPr>
          <w:rFonts w:hint="eastAsia" w:cs="宋体" w:asciiTheme="minorEastAsia" w:hAnsiTheme="minorEastAsia" w:eastAsiaTheme="minorEastAsia"/>
          <w:kern w:val="0"/>
          <w:szCs w:val="21"/>
          <w:highlight w:val="none"/>
        </w:rPr>
        <w:t>评标委员会发现招标文件存在歧义、重大缺陷导致评标工作无法进行，或者招标文件内容违反国家有关强制性规定的，应当停止评标工作，与采购人、采购代理机构沟通并作书面记录。采购人、采购代理机构确认后，应当修改招标文件，重新组织采购活动。</w:t>
      </w:r>
    </w:p>
    <w:p w14:paraId="139CF080">
      <w:pPr>
        <w:adjustRightInd w:val="0"/>
        <w:snapToGrid w:val="0"/>
        <w:spacing w:before="120" w:beforeLines="50" w:line="360" w:lineRule="auto"/>
        <w:rPr>
          <w:rFonts w:ascii="黑体" w:hAnsi="黑体" w:eastAsia="黑体" w:cs="宋体"/>
          <w:kern w:val="0"/>
          <w:sz w:val="24"/>
          <w:highlight w:val="none"/>
        </w:rPr>
      </w:pPr>
      <w:r>
        <w:rPr>
          <w:rFonts w:hint="eastAsia" w:ascii="黑体" w:hAnsi="黑体" w:eastAsia="黑体"/>
          <w:sz w:val="24"/>
          <w:highlight w:val="none"/>
        </w:rPr>
        <w:t>10．</w:t>
      </w:r>
      <w:r>
        <w:rPr>
          <w:rFonts w:hint="eastAsia" w:ascii="黑体" w:hAnsi="黑体" w:eastAsia="黑体" w:cs="宋体"/>
          <w:kern w:val="0"/>
          <w:sz w:val="24"/>
          <w:highlight w:val="none"/>
        </w:rPr>
        <w:t>废标</w:t>
      </w:r>
    </w:p>
    <w:p w14:paraId="5EB60C1B">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10.1 根据有关法律法规和招标文件的有关规定，如出现下列情况之一的，应予以废标：</w:t>
      </w:r>
    </w:p>
    <w:p w14:paraId="35F97BE2">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（1）符合专业条件的投标人或者对招标文件作实质响应的投标人不足三家的；</w:t>
      </w:r>
    </w:p>
    <w:p w14:paraId="5863F80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（2）出现影响采购公正的违法、违规行为的；</w:t>
      </w:r>
    </w:p>
    <w:p w14:paraId="11F1D99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（3）投标人的报价均超过招标人项目采购预算，招标人不能支付的；</w:t>
      </w:r>
    </w:p>
    <w:p w14:paraId="07169C1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（4）因重大变故，采购任务取消的。</w:t>
      </w:r>
    </w:p>
    <w:p w14:paraId="1A64C099">
      <w:pPr>
        <w:adjustRightInd w:val="0"/>
        <w:snapToGrid w:val="0"/>
        <w:spacing w:before="120" w:beforeLines="50" w:line="360" w:lineRule="auto"/>
        <w:rPr>
          <w:rFonts w:ascii="黑体" w:hAnsi="黑体" w:eastAsia="黑体"/>
          <w:sz w:val="24"/>
          <w:highlight w:val="none"/>
        </w:rPr>
      </w:pPr>
      <w:r>
        <w:rPr>
          <w:rFonts w:hint="eastAsia" w:ascii="黑体" w:hAnsi="黑体" w:eastAsia="黑体" w:cs="宋体"/>
          <w:kern w:val="0"/>
          <w:sz w:val="24"/>
          <w:highlight w:val="none"/>
        </w:rPr>
        <w:t>11．重新组建评标委员会进行评标</w:t>
      </w:r>
    </w:p>
    <w:p w14:paraId="3E56F080">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11.1评标委员会或者其成员存在下列情形导致评标结果无效的，采购人、采购代理机构可以重新组建评标委员会进行评标，并书面报告本级财政部门，但采购合同已经履行的除外：</w:t>
      </w:r>
    </w:p>
    <w:p w14:paraId="6F01673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（1）评标委员会组成不符合《政府采购货物和服务招标投标管理办法》规定的；</w:t>
      </w:r>
    </w:p>
    <w:p w14:paraId="7B7EA9C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（2）有《政府采购货物和服务招标投标管理办法》第六十二条第一至五项情形的；</w:t>
      </w:r>
    </w:p>
    <w:p w14:paraId="3F33D476">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（3）评标委员会及其成员独立评标受到非法干预的；</w:t>
      </w:r>
    </w:p>
    <w:p w14:paraId="3672B5F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（4）有政府采购法实施条例第七十五条规定的违法行为的。</w:t>
      </w:r>
    </w:p>
    <w:p w14:paraId="4680A40B">
      <w:pPr>
        <w:adjustRightInd w:val="0"/>
        <w:snapToGrid w:val="0"/>
        <w:spacing w:before="120" w:beforeLines="50" w:line="360" w:lineRule="auto"/>
        <w:ind w:firstLine="420" w:firstLineChars="200"/>
        <w:jc w:val="left"/>
        <w:rPr>
          <w:rFonts w:ascii="黑体" w:hAnsi="华文中宋" w:eastAsia="黑体"/>
          <w:b/>
          <w:sz w:val="32"/>
          <w:szCs w:val="32"/>
          <w:highlight w:val="none"/>
        </w:rPr>
      </w:pPr>
      <w:r>
        <w:rPr>
          <w:rFonts w:hint="eastAsia" w:asciiTheme="minorEastAsia" w:hAnsiTheme="minorEastAsia" w:eastAsiaTheme="minorEastAsia"/>
          <w:szCs w:val="21"/>
          <w:highlight w:val="none"/>
        </w:rPr>
        <w:t>11.2有违法违规行为的原评标委员会成员不得参加重新组建的评标委员会。</w:t>
      </w:r>
      <w:r>
        <w:rPr>
          <w:rFonts w:ascii="黑体" w:hAnsi="华文中宋" w:eastAsia="黑体"/>
          <w:b/>
          <w:sz w:val="32"/>
          <w:szCs w:val="32"/>
          <w:highlight w:val="none"/>
        </w:rPr>
        <w:br w:type="page"/>
      </w:r>
    </w:p>
    <w:p w14:paraId="656C9DD5">
      <w:pPr>
        <w:pStyle w:val="3"/>
        <w:adjustRightInd w:val="0"/>
        <w:snapToGrid w:val="0"/>
        <w:jc w:val="center"/>
        <w:rPr>
          <w:rFonts w:ascii="黑体" w:hAnsi="华文中宋" w:eastAsia="黑体"/>
          <w:sz w:val="28"/>
          <w:szCs w:val="28"/>
          <w:highlight w:val="none"/>
        </w:rPr>
      </w:pPr>
      <w:bookmarkStart w:id="40" w:name="_Toc21491"/>
      <w:r>
        <w:rPr>
          <w:rFonts w:hint="eastAsia" w:ascii="黑体" w:hAnsi="华文中宋" w:eastAsia="黑体"/>
          <w:sz w:val="28"/>
          <w:szCs w:val="28"/>
          <w:highlight w:val="none"/>
        </w:rPr>
        <w:t>第三节 投标文件的符合性审查</w:t>
      </w:r>
      <w:bookmarkEnd w:id="40"/>
    </w:p>
    <w:p w14:paraId="5EE98A4C">
      <w:pPr>
        <w:adjustRightInd w:val="0"/>
        <w:snapToGrid w:val="0"/>
        <w:spacing w:before="120" w:beforeLines="50" w:line="360" w:lineRule="auto"/>
        <w:rPr>
          <w:rFonts w:ascii="黑体" w:hAnsi="黑体" w:eastAsia="黑体"/>
          <w:b/>
          <w:sz w:val="24"/>
          <w:highlight w:val="none"/>
        </w:rPr>
      </w:pPr>
      <w:r>
        <w:rPr>
          <w:rFonts w:hint="eastAsia" w:ascii="黑体" w:hAnsi="黑体" w:eastAsia="黑体"/>
          <w:b/>
          <w:sz w:val="24"/>
          <w:highlight w:val="none"/>
        </w:rPr>
        <w:t>1.符合性审查</w:t>
      </w:r>
    </w:p>
    <w:p w14:paraId="33DA915F">
      <w:pPr>
        <w:adjustRightInd w:val="0"/>
        <w:snapToGrid w:val="0"/>
        <w:spacing w:before="120" w:beforeLines="50" w:line="360" w:lineRule="auto"/>
        <w:ind w:firstLine="420" w:firstLineChars="200"/>
        <w:rPr>
          <w:rFonts w:asciiTheme="minorEastAsia" w:hAnsiTheme="minorEastAsia" w:eastAsiaTheme="minorEastAsia"/>
          <w:highlight w:val="none"/>
        </w:rPr>
      </w:pPr>
      <w:r>
        <w:rPr>
          <w:rFonts w:hint="eastAsia" w:asciiTheme="minorEastAsia" w:hAnsiTheme="minorEastAsia" w:eastAsiaTheme="minorEastAsia"/>
          <w:highlight w:val="none"/>
        </w:rPr>
        <w:t>1.1</w:t>
      </w:r>
      <w:r>
        <w:rPr>
          <w:rFonts w:hint="eastAsia" w:asciiTheme="minorEastAsia" w:hAnsiTheme="minorEastAsia" w:eastAsiaTheme="minorEastAsia"/>
          <w:szCs w:val="21"/>
          <w:highlight w:val="none"/>
        </w:rPr>
        <w:t>评标委员会应按本章本节附表1“符合性审查表”所列审查项目及审查标准，</w:t>
      </w:r>
      <w:r>
        <w:rPr>
          <w:rFonts w:hint="eastAsia" w:asciiTheme="minorEastAsia" w:hAnsiTheme="minorEastAsia" w:eastAsiaTheme="minorEastAsia"/>
          <w:highlight w:val="none"/>
        </w:rPr>
        <w:t>对符合资格条件的投标人的投标文件进行符合性审查，以确定其是否满足招标文件的实质性要求。</w:t>
      </w:r>
    </w:p>
    <w:p w14:paraId="0961CA96">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依据招标文件的规定，从投标文件的有效性、完整性和对招标文件的响应程度进行审查，以确定是否对招标文件的实质性要求作出响应。评标委员会判断投标文件的响应性只根据投标文件的内容，而不依据外部的证据。</w:t>
      </w:r>
    </w:p>
    <w:p w14:paraId="6CF6D818">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（2）投标人不得通过修正或撤销不合要求的偏离从而使其投标成为实质上响应的投标。</w:t>
      </w:r>
    </w:p>
    <w:p w14:paraId="005F3B60">
      <w:pPr>
        <w:adjustRightInd w:val="0"/>
        <w:snapToGrid w:val="0"/>
        <w:spacing w:before="120" w:beforeLines="50" w:line="360" w:lineRule="auto"/>
        <w:ind w:firstLine="420" w:firstLineChars="200"/>
        <w:jc w:val="left"/>
        <w:rPr>
          <w:rFonts w:asciiTheme="minorEastAsia" w:hAnsiTheme="minorEastAsia" w:eastAsiaTheme="minorEastAsia"/>
          <w:highlight w:val="none"/>
        </w:rPr>
      </w:pPr>
      <w:r>
        <w:rPr>
          <w:rFonts w:hint="eastAsia" w:asciiTheme="minorEastAsia" w:hAnsiTheme="minorEastAsia" w:eastAsiaTheme="minorEastAsia"/>
          <w:kern w:val="0"/>
          <w:szCs w:val="21"/>
          <w:highlight w:val="none"/>
        </w:rPr>
        <w:t>1.2</w:t>
      </w:r>
      <w:r>
        <w:rPr>
          <w:rFonts w:hint="eastAsia" w:asciiTheme="minorEastAsia" w:hAnsiTheme="minorEastAsia" w:eastAsiaTheme="minorEastAsia"/>
          <w:highlight w:val="none"/>
        </w:rPr>
        <w:t>未通过符合性审查的投标人，其投标将被认定为投标无效，不能进入下一阶段评审。通过符合性审查的投标人数量不足 3 家的，不得作进一步的比较和评价。</w:t>
      </w:r>
    </w:p>
    <w:p w14:paraId="3832CD82">
      <w:pPr>
        <w:adjustRightInd w:val="0"/>
        <w:snapToGrid w:val="0"/>
        <w:spacing w:before="120" w:beforeLines="50" w:line="360" w:lineRule="auto"/>
        <w:jc w:val="left"/>
        <w:rPr>
          <w:rFonts w:ascii="黑体" w:hAnsi="黑体" w:eastAsia="黑体"/>
          <w:b/>
          <w:sz w:val="24"/>
          <w:highlight w:val="none"/>
        </w:rPr>
      </w:pPr>
      <w:r>
        <w:rPr>
          <w:rFonts w:hint="eastAsia" w:ascii="黑体" w:hAnsi="黑体" w:eastAsia="黑体"/>
          <w:b/>
          <w:sz w:val="24"/>
          <w:highlight w:val="none"/>
        </w:rPr>
        <w:t>2.投标无效</w:t>
      </w:r>
    </w:p>
    <w:p w14:paraId="0A0CAE1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2.1投标人存在下列情况之一的，符合性审查不合格，投标无效：</w:t>
      </w:r>
    </w:p>
    <w:p w14:paraId="17C4DD31">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（1）投标文件中商务技术文件未按照招标文件规定要求签署、盖章的；</w:t>
      </w:r>
    </w:p>
    <w:p w14:paraId="5FC56B3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（2）投标文件没有对招标文件的实质性要求和条件作出响应，或者对招标文件的偏离超出招标文件规定的偏离</w:t>
      </w:r>
      <w:r>
        <w:rPr>
          <w:rFonts w:hint="eastAsia" w:asciiTheme="minorEastAsia" w:hAnsiTheme="minorEastAsia" w:eastAsiaTheme="minorEastAsia"/>
          <w:highlight w:val="none"/>
        </w:rPr>
        <w:t>范围和幅度</w:t>
      </w:r>
      <w:r>
        <w:rPr>
          <w:rFonts w:hint="eastAsia" w:asciiTheme="minorEastAsia" w:hAnsiTheme="minorEastAsia" w:eastAsiaTheme="minorEastAsia"/>
          <w:szCs w:val="21"/>
          <w:highlight w:val="none"/>
        </w:rPr>
        <w:t>；</w:t>
      </w:r>
    </w:p>
    <w:p w14:paraId="4828DD84">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（3）投标有效期不足的；</w:t>
      </w:r>
    </w:p>
    <w:p w14:paraId="6FCA0AA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（4）投标文件含有采购人不能接受的附加条件的；</w:t>
      </w:r>
    </w:p>
    <w:p w14:paraId="55A8AE97">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（5）不符合本节第1.1款规定符合性审查标准的；</w:t>
      </w:r>
    </w:p>
    <w:p w14:paraId="6164B97D">
      <w:pPr>
        <w:adjustRightInd w:val="0"/>
        <w:snapToGrid w:val="0"/>
        <w:spacing w:before="120"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（6）法律、法规和招标文件规定的其他投标无效情形的。</w:t>
      </w:r>
    </w:p>
    <w:p w14:paraId="309D3420">
      <w:pPr>
        <w:adjustRightInd w:val="0"/>
        <w:snapToGrid w:val="0"/>
        <w:spacing w:before="120" w:beforeLines="50" w:line="360" w:lineRule="auto"/>
        <w:ind w:firstLine="420" w:firstLineChars="200"/>
        <w:jc w:val="left"/>
        <w:rPr>
          <w:rFonts w:asciiTheme="minorEastAsia" w:hAnsiTheme="minorEastAsia" w:eastAsiaTheme="minorEastAsia"/>
          <w:kern w:val="0"/>
          <w:szCs w:val="21"/>
          <w:highlight w:val="none"/>
        </w:rPr>
      </w:pPr>
      <w:r>
        <w:rPr>
          <w:rFonts w:hint="eastAsia" w:asciiTheme="minorEastAsia" w:hAnsiTheme="minorEastAsia" w:eastAsiaTheme="minorEastAsia"/>
          <w:kern w:val="0"/>
          <w:szCs w:val="21"/>
          <w:highlight w:val="none"/>
        </w:rPr>
        <w:t>2.2在评标过程中发现投标人有不遵循公平竞争的原则，恶意串通，妨碍其他投标人的竞争行为，损害采购人或者其他投标人的合法权益的，评标委员会应当认定其</w:t>
      </w:r>
      <w:r>
        <w:rPr>
          <w:rFonts w:hint="eastAsia" w:asciiTheme="minorEastAsia" w:hAnsiTheme="minorEastAsia" w:eastAsiaTheme="minorEastAsia"/>
          <w:b/>
          <w:kern w:val="0"/>
          <w:szCs w:val="21"/>
          <w:highlight w:val="none"/>
        </w:rPr>
        <w:t>投标无效</w:t>
      </w:r>
      <w:r>
        <w:rPr>
          <w:rFonts w:hint="eastAsia" w:asciiTheme="minorEastAsia" w:hAnsiTheme="minorEastAsia" w:eastAsiaTheme="minorEastAsia"/>
          <w:kern w:val="0"/>
          <w:szCs w:val="21"/>
          <w:highlight w:val="none"/>
        </w:rPr>
        <w:t>，并书面报告本级财政部门。</w:t>
      </w:r>
    </w:p>
    <w:p w14:paraId="3E2B7A03">
      <w:pPr>
        <w:rPr>
          <w:highlight w:val="none"/>
        </w:rPr>
      </w:pPr>
    </w:p>
    <w:p w14:paraId="3154066B">
      <w:pPr>
        <w:rPr>
          <w:highlight w:val="none"/>
        </w:rPr>
      </w:pPr>
    </w:p>
    <w:p w14:paraId="1884EF12">
      <w:pPr>
        <w:widowControl/>
        <w:jc w:val="left"/>
        <w:rPr>
          <w:rFonts w:ascii="黑体" w:hAnsi="黑体"/>
          <w:b/>
          <w:szCs w:val="21"/>
          <w:highlight w:val="none"/>
        </w:rPr>
      </w:pPr>
      <w:r>
        <w:rPr>
          <w:rFonts w:ascii="黑体" w:hAnsi="黑体"/>
          <w:b/>
          <w:szCs w:val="21"/>
          <w:highlight w:val="none"/>
        </w:rPr>
        <w:br w:type="page"/>
      </w:r>
    </w:p>
    <w:p w14:paraId="111A52A0">
      <w:pPr>
        <w:adjustRightInd w:val="0"/>
        <w:snapToGrid w:val="0"/>
        <w:spacing w:before="120" w:beforeLines="50" w:line="360" w:lineRule="auto"/>
        <w:rPr>
          <w:szCs w:val="21"/>
          <w:highlight w:val="none"/>
        </w:rPr>
      </w:pPr>
      <w:r>
        <w:rPr>
          <w:rFonts w:hint="eastAsia"/>
          <w:szCs w:val="21"/>
          <w:highlight w:val="none"/>
        </w:rPr>
        <w:t>附表1 符合性审查表</w:t>
      </w:r>
    </w:p>
    <w:p w14:paraId="2F0B5593">
      <w:pPr>
        <w:adjustRightInd w:val="0"/>
        <w:snapToGrid w:val="0"/>
        <w:spacing w:before="120" w:beforeLines="50" w:line="360" w:lineRule="auto"/>
        <w:jc w:val="center"/>
        <w:rPr>
          <w:rFonts w:ascii="黑体" w:hAnsi="黑体" w:eastAsia="黑体"/>
          <w:b/>
          <w:sz w:val="28"/>
          <w:szCs w:val="28"/>
          <w:highlight w:val="none"/>
        </w:rPr>
      </w:pPr>
      <w:r>
        <w:rPr>
          <w:rFonts w:hint="eastAsia" w:ascii="黑体" w:hAnsi="黑体" w:eastAsia="黑体"/>
          <w:b/>
          <w:sz w:val="28"/>
          <w:szCs w:val="28"/>
          <w:highlight w:val="none"/>
        </w:rPr>
        <w:t>符合性审查表</w:t>
      </w:r>
    </w:p>
    <w:p w14:paraId="5F9A6165">
      <w:pPr>
        <w:adjustRightInd w:val="0"/>
        <w:snapToGrid w:val="0"/>
        <w:spacing w:before="120" w:beforeLines="50" w:line="360" w:lineRule="auto"/>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项目名称：                                           采购代理编号：</w:t>
      </w:r>
    </w:p>
    <w:tbl>
      <w:tblPr>
        <w:tblStyle w:val="44"/>
        <w:tblW w:w="9060"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83"/>
        <w:gridCol w:w="3821"/>
        <w:gridCol w:w="4556"/>
      </w:tblGrid>
      <w:tr w14:paraId="023850B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683" w:type="dxa"/>
            <w:vAlign w:val="center"/>
          </w:tcPr>
          <w:p w14:paraId="1E425E41">
            <w:pPr>
              <w:adjustRightInd w:val="0"/>
              <w:snapToGrid w:val="0"/>
              <w:spacing w:before="120" w:beforeLines="50" w:line="360" w:lineRule="auto"/>
              <w:jc w:val="center"/>
              <w:rPr>
                <w:rFonts w:cs="宋体" w:asciiTheme="minorEastAsia" w:hAnsiTheme="minorEastAsia" w:eastAsiaTheme="minorEastAsia"/>
                <w:b/>
                <w:kern w:val="0"/>
                <w:sz w:val="18"/>
                <w:szCs w:val="18"/>
                <w:highlight w:val="none"/>
              </w:rPr>
            </w:pPr>
            <w:r>
              <w:rPr>
                <w:rFonts w:hint="eastAsia" w:cs="宋体" w:asciiTheme="minorEastAsia" w:hAnsiTheme="minorEastAsia" w:eastAsiaTheme="minorEastAsia"/>
                <w:b/>
                <w:kern w:val="0"/>
                <w:sz w:val="18"/>
                <w:szCs w:val="18"/>
                <w:highlight w:val="none"/>
              </w:rPr>
              <w:t>序号</w:t>
            </w:r>
          </w:p>
        </w:tc>
        <w:tc>
          <w:tcPr>
            <w:tcW w:w="3821" w:type="dxa"/>
            <w:vAlign w:val="center"/>
          </w:tcPr>
          <w:p w14:paraId="43B9E2D9">
            <w:pPr>
              <w:adjustRightInd w:val="0"/>
              <w:snapToGrid w:val="0"/>
              <w:spacing w:before="120" w:beforeLines="50" w:line="360" w:lineRule="auto"/>
              <w:jc w:val="center"/>
              <w:rPr>
                <w:rFonts w:cs="宋体" w:asciiTheme="minorEastAsia" w:hAnsiTheme="minorEastAsia" w:eastAsiaTheme="minorEastAsia"/>
                <w:b/>
                <w:kern w:val="0"/>
                <w:sz w:val="18"/>
                <w:szCs w:val="18"/>
                <w:highlight w:val="none"/>
              </w:rPr>
            </w:pPr>
            <w:r>
              <w:rPr>
                <w:rFonts w:hint="eastAsia" w:cs="宋体" w:asciiTheme="minorEastAsia" w:hAnsiTheme="minorEastAsia" w:eastAsiaTheme="minorEastAsia"/>
                <w:b/>
                <w:kern w:val="0"/>
                <w:sz w:val="18"/>
                <w:szCs w:val="18"/>
                <w:highlight w:val="none"/>
              </w:rPr>
              <w:t>审查项目</w:t>
            </w:r>
          </w:p>
        </w:tc>
        <w:tc>
          <w:tcPr>
            <w:tcW w:w="4556" w:type="dxa"/>
            <w:vAlign w:val="center"/>
          </w:tcPr>
          <w:p w14:paraId="7D3652DD">
            <w:pPr>
              <w:adjustRightInd w:val="0"/>
              <w:snapToGrid w:val="0"/>
              <w:spacing w:before="120" w:beforeLines="50" w:line="360" w:lineRule="auto"/>
              <w:jc w:val="center"/>
              <w:rPr>
                <w:rFonts w:cs="宋体" w:asciiTheme="minorEastAsia" w:hAnsiTheme="minorEastAsia" w:eastAsiaTheme="minorEastAsia"/>
                <w:b/>
                <w:kern w:val="0"/>
                <w:sz w:val="18"/>
                <w:szCs w:val="18"/>
                <w:highlight w:val="none"/>
              </w:rPr>
            </w:pPr>
            <w:r>
              <w:rPr>
                <w:rFonts w:hint="eastAsia" w:cs="宋体" w:asciiTheme="minorEastAsia" w:hAnsiTheme="minorEastAsia" w:eastAsiaTheme="minorEastAsia"/>
                <w:b/>
                <w:kern w:val="0"/>
                <w:sz w:val="18"/>
                <w:szCs w:val="18"/>
                <w:highlight w:val="none"/>
              </w:rPr>
              <w:t>审查标准</w:t>
            </w:r>
          </w:p>
        </w:tc>
      </w:tr>
      <w:tr w14:paraId="7F95BF4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5820FC1F">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r>
              <w:rPr>
                <w:rFonts w:hint="eastAsia" w:cs="宋体" w:asciiTheme="minorEastAsia" w:hAnsiTheme="minorEastAsia" w:eastAsiaTheme="minorEastAsia"/>
                <w:kern w:val="0"/>
                <w:sz w:val="18"/>
                <w:szCs w:val="18"/>
                <w:highlight w:val="none"/>
              </w:rPr>
              <w:t>1</w:t>
            </w:r>
          </w:p>
        </w:tc>
        <w:tc>
          <w:tcPr>
            <w:tcW w:w="3821" w:type="dxa"/>
          </w:tcPr>
          <w:p w14:paraId="377690F2">
            <w:pPr>
              <w:adjustRightInd w:val="0"/>
              <w:snapToGrid w:val="0"/>
              <w:spacing w:before="120" w:beforeLines="50" w:line="360" w:lineRule="auto"/>
              <w:jc w:val="left"/>
              <w:rPr>
                <w:rFonts w:ascii="宋体" w:cs="宋体"/>
                <w:kern w:val="0"/>
                <w:sz w:val="18"/>
                <w:szCs w:val="18"/>
                <w:highlight w:val="none"/>
              </w:rPr>
            </w:pPr>
            <w:r>
              <w:rPr>
                <w:rFonts w:hint="eastAsia" w:ascii="宋体" w:hAnsi="宋体"/>
                <w:sz w:val="18"/>
                <w:szCs w:val="18"/>
                <w:highlight w:val="none"/>
              </w:rPr>
              <w:t>投标文件中商务技术文件按照招标文件规定要求签署、盖章</w:t>
            </w:r>
          </w:p>
        </w:tc>
        <w:tc>
          <w:tcPr>
            <w:tcW w:w="4556" w:type="dxa"/>
            <w:vAlign w:val="center"/>
          </w:tcPr>
          <w:p w14:paraId="7A54A0B8">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0FDEA7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582EBFE7">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r>
              <w:rPr>
                <w:rFonts w:hint="eastAsia" w:cs="宋体" w:asciiTheme="minorEastAsia" w:hAnsiTheme="minorEastAsia" w:eastAsiaTheme="minorEastAsia"/>
                <w:kern w:val="0"/>
                <w:sz w:val="18"/>
                <w:szCs w:val="18"/>
                <w:highlight w:val="none"/>
              </w:rPr>
              <w:t>2</w:t>
            </w:r>
          </w:p>
        </w:tc>
        <w:tc>
          <w:tcPr>
            <w:tcW w:w="3821" w:type="dxa"/>
          </w:tcPr>
          <w:p w14:paraId="764AC89B">
            <w:pPr>
              <w:adjustRightInd w:val="0"/>
              <w:snapToGrid w:val="0"/>
              <w:spacing w:before="120" w:beforeLines="50" w:line="360" w:lineRule="auto"/>
              <w:jc w:val="left"/>
              <w:rPr>
                <w:rFonts w:ascii="宋体" w:cs="宋体"/>
                <w:kern w:val="0"/>
                <w:sz w:val="18"/>
                <w:szCs w:val="18"/>
                <w:highlight w:val="none"/>
              </w:rPr>
            </w:pPr>
            <w:r>
              <w:rPr>
                <w:rFonts w:hint="eastAsia" w:ascii="宋体" w:hAnsi="宋体" w:cs="宋体"/>
                <w:kern w:val="0"/>
                <w:sz w:val="18"/>
                <w:szCs w:val="18"/>
                <w:highlight w:val="none"/>
              </w:rPr>
              <w:t>投标文件对招标文件的实质性要求和条件作出响应，或者对招标文件的偏离</w:t>
            </w:r>
            <w:r>
              <w:rPr>
                <w:rFonts w:hint="eastAsia" w:ascii="宋体" w:hAnsi="宋体"/>
                <w:sz w:val="18"/>
                <w:szCs w:val="18"/>
                <w:highlight w:val="none"/>
              </w:rPr>
              <w:t>未</w:t>
            </w:r>
            <w:r>
              <w:rPr>
                <w:rFonts w:hint="eastAsia" w:ascii="宋体" w:hAnsi="宋体" w:cs="宋体"/>
                <w:kern w:val="0"/>
                <w:sz w:val="18"/>
                <w:szCs w:val="18"/>
                <w:highlight w:val="none"/>
              </w:rPr>
              <w:t>超出招标文件规定的偏离范围和幅度</w:t>
            </w:r>
          </w:p>
        </w:tc>
        <w:tc>
          <w:tcPr>
            <w:tcW w:w="4556" w:type="dxa"/>
            <w:vAlign w:val="center"/>
          </w:tcPr>
          <w:p w14:paraId="6EF16A13">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062E0F9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09CCD3ED">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r>
              <w:rPr>
                <w:rFonts w:hint="eastAsia" w:cs="宋体" w:asciiTheme="minorEastAsia" w:hAnsiTheme="minorEastAsia" w:eastAsiaTheme="minorEastAsia"/>
                <w:kern w:val="0"/>
                <w:sz w:val="18"/>
                <w:szCs w:val="18"/>
                <w:highlight w:val="none"/>
              </w:rPr>
              <w:t>3</w:t>
            </w:r>
          </w:p>
        </w:tc>
        <w:tc>
          <w:tcPr>
            <w:tcW w:w="3821" w:type="dxa"/>
          </w:tcPr>
          <w:p w14:paraId="66B89054">
            <w:pPr>
              <w:adjustRightInd w:val="0"/>
              <w:snapToGrid w:val="0"/>
              <w:spacing w:before="120" w:beforeLines="50" w:line="360" w:lineRule="auto"/>
              <w:jc w:val="left"/>
              <w:rPr>
                <w:rFonts w:ascii="宋体" w:cs="宋体"/>
                <w:kern w:val="0"/>
                <w:sz w:val="18"/>
                <w:szCs w:val="18"/>
                <w:highlight w:val="none"/>
              </w:rPr>
            </w:pPr>
            <w:r>
              <w:rPr>
                <w:rFonts w:hint="eastAsia" w:ascii="宋体" w:hAnsi="宋体" w:cs="宋体"/>
                <w:kern w:val="0"/>
                <w:sz w:val="18"/>
                <w:szCs w:val="18"/>
                <w:highlight w:val="none"/>
              </w:rPr>
              <w:t>投标有效期满足招标文件要求；</w:t>
            </w:r>
          </w:p>
        </w:tc>
        <w:tc>
          <w:tcPr>
            <w:tcW w:w="4556" w:type="dxa"/>
            <w:vAlign w:val="center"/>
          </w:tcPr>
          <w:p w14:paraId="61044570">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5FD813C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3DD73270">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r>
              <w:rPr>
                <w:rFonts w:hint="eastAsia" w:cs="宋体" w:asciiTheme="minorEastAsia" w:hAnsiTheme="minorEastAsia" w:eastAsiaTheme="minorEastAsia"/>
                <w:kern w:val="0"/>
                <w:sz w:val="18"/>
                <w:szCs w:val="18"/>
                <w:highlight w:val="none"/>
              </w:rPr>
              <w:t>4</w:t>
            </w:r>
          </w:p>
        </w:tc>
        <w:tc>
          <w:tcPr>
            <w:tcW w:w="3821" w:type="dxa"/>
          </w:tcPr>
          <w:p w14:paraId="7C0C054A">
            <w:pPr>
              <w:adjustRightInd w:val="0"/>
              <w:snapToGrid w:val="0"/>
              <w:spacing w:before="120" w:beforeLines="50" w:line="360" w:lineRule="auto"/>
              <w:jc w:val="left"/>
              <w:rPr>
                <w:rFonts w:ascii="宋体"/>
                <w:kern w:val="0"/>
                <w:sz w:val="18"/>
                <w:szCs w:val="18"/>
                <w:highlight w:val="none"/>
              </w:rPr>
            </w:pPr>
            <w:r>
              <w:rPr>
                <w:rFonts w:hint="eastAsia" w:ascii="宋体" w:hAnsi="宋体" w:cs="宋体"/>
                <w:kern w:val="0"/>
                <w:sz w:val="18"/>
                <w:szCs w:val="18"/>
                <w:highlight w:val="none"/>
              </w:rPr>
              <w:t>投标文件</w:t>
            </w:r>
            <w:r>
              <w:rPr>
                <w:rFonts w:hint="eastAsia" w:ascii="宋体" w:hAnsi="宋体"/>
                <w:sz w:val="18"/>
                <w:szCs w:val="18"/>
                <w:highlight w:val="none"/>
              </w:rPr>
              <w:t>没有</w:t>
            </w:r>
            <w:r>
              <w:rPr>
                <w:rFonts w:hint="eastAsia" w:ascii="宋体" w:hAnsi="宋体" w:cs="宋体"/>
                <w:kern w:val="0"/>
                <w:sz w:val="18"/>
                <w:szCs w:val="18"/>
                <w:highlight w:val="none"/>
              </w:rPr>
              <w:t>采购人不能接受的附加条件的</w:t>
            </w:r>
          </w:p>
        </w:tc>
        <w:tc>
          <w:tcPr>
            <w:tcW w:w="4556" w:type="dxa"/>
            <w:vAlign w:val="center"/>
          </w:tcPr>
          <w:p w14:paraId="2043AC3F">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79D4E5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355E0E1A">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r>
              <w:rPr>
                <w:rFonts w:hint="eastAsia" w:cs="宋体" w:asciiTheme="minorEastAsia" w:hAnsiTheme="minorEastAsia" w:eastAsiaTheme="minorEastAsia"/>
                <w:kern w:val="0"/>
                <w:sz w:val="18"/>
                <w:szCs w:val="18"/>
                <w:highlight w:val="none"/>
              </w:rPr>
              <w:t>5</w:t>
            </w:r>
          </w:p>
        </w:tc>
        <w:tc>
          <w:tcPr>
            <w:tcW w:w="3821" w:type="dxa"/>
          </w:tcPr>
          <w:p w14:paraId="17D314E6">
            <w:pPr>
              <w:adjustRightInd w:val="0"/>
              <w:snapToGrid w:val="0"/>
              <w:spacing w:before="120" w:beforeLines="50" w:line="360" w:lineRule="auto"/>
              <w:jc w:val="left"/>
              <w:rPr>
                <w:rFonts w:ascii="宋体"/>
                <w:kern w:val="0"/>
                <w:sz w:val="18"/>
                <w:szCs w:val="18"/>
                <w:highlight w:val="none"/>
              </w:rPr>
            </w:pPr>
            <w:r>
              <w:rPr>
                <w:rFonts w:hint="eastAsia" w:ascii="宋体" w:hAnsi="宋体" w:cs="宋体"/>
                <w:kern w:val="0"/>
                <w:sz w:val="18"/>
                <w:szCs w:val="18"/>
                <w:highlight w:val="none"/>
              </w:rPr>
              <w:t>无法律、法规和招标文件规定的其他投标无效情形的</w:t>
            </w:r>
          </w:p>
        </w:tc>
        <w:tc>
          <w:tcPr>
            <w:tcW w:w="4556" w:type="dxa"/>
            <w:vAlign w:val="center"/>
          </w:tcPr>
          <w:p w14:paraId="6CA46F42">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57B5827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0AEBB4B4">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r>
              <w:rPr>
                <w:rFonts w:hint="eastAsia" w:cs="宋体" w:asciiTheme="minorEastAsia" w:hAnsiTheme="minorEastAsia" w:eastAsiaTheme="minorEastAsia"/>
                <w:kern w:val="0"/>
                <w:sz w:val="18"/>
                <w:szCs w:val="18"/>
                <w:highlight w:val="none"/>
              </w:rPr>
              <w:t>6</w:t>
            </w:r>
          </w:p>
        </w:tc>
        <w:tc>
          <w:tcPr>
            <w:tcW w:w="3821" w:type="dxa"/>
            <w:vAlign w:val="center"/>
          </w:tcPr>
          <w:p w14:paraId="2F3DDE7A">
            <w:pPr>
              <w:adjustRightInd w:val="0"/>
              <w:snapToGrid w:val="0"/>
              <w:spacing w:before="120" w:beforeLines="50" w:line="360" w:lineRule="auto"/>
              <w:jc w:val="left"/>
              <w:rPr>
                <w:rFonts w:ascii="宋体" w:hAnsi="宋体" w:cs="宋体" w:eastAsiaTheme="minorEastAsia"/>
                <w:kern w:val="0"/>
                <w:sz w:val="18"/>
                <w:szCs w:val="18"/>
                <w:highlight w:val="none"/>
              </w:rPr>
            </w:pPr>
            <w:r>
              <w:rPr>
                <w:rFonts w:hint="eastAsia" w:ascii="宋体" w:hAnsi="宋体" w:cs="宋体"/>
                <w:kern w:val="0"/>
                <w:sz w:val="18"/>
                <w:szCs w:val="18"/>
                <w:highlight w:val="none"/>
              </w:rPr>
              <w:t>是否满足招标文件</w:t>
            </w:r>
            <w:r>
              <w:rPr>
                <w:rFonts w:hint="eastAsia" w:cs="宋体" w:asciiTheme="minorEastAsia" w:hAnsiTheme="minorEastAsia" w:eastAsiaTheme="minorEastAsia"/>
                <w:kern w:val="0"/>
                <w:sz w:val="18"/>
                <w:szCs w:val="18"/>
                <w:highlight w:val="none"/>
              </w:rPr>
              <w:t>★条款</w:t>
            </w:r>
          </w:p>
        </w:tc>
        <w:tc>
          <w:tcPr>
            <w:tcW w:w="4556" w:type="dxa"/>
            <w:vAlign w:val="center"/>
          </w:tcPr>
          <w:p w14:paraId="11CA3E2A">
            <w:pPr>
              <w:pStyle w:val="13"/>
              <w:ind w:firstLine="0"/>
              <w:rPr>
                <w:highlight w:val="none"/>
              </w:rPr>
            </w:pPr>
          </w:p>
        </w:tc>
      </w:tr>
      <w:tr w14:paraId="183FDDA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3A4CF440">
            <w:pPr>
              <w:adjustRightInd w:val="0"/>
              <w:snapToGrid w:val="0"/>
              <w:spacing w:before="120" w:beforeLines="50" w:line="360" w:lineRule="auto"/>
              <w:jc w:val="center"/>
              <w:rPr>
                <w:rFonts w:hint="eastAsia" w:cs="宋体" w:asciiTheme="minorEastAsia" w:hAnsiTheme="minorEastAsia" w:eastAsiaTheme="minorEastAsia"/>
                <w:color w:val="FF0000"/>
                <w:kern w:val="0"/>
                <w:sz w:val="18"/>
                <w:szCs w:val="18"/>
                <w:highlight w:val="none"/>
                <w:lang w:val="en-US" w:eastAsia="zh-CN"/>
              </w:rPr>
            </w:pPr>
          </w:p>
        </w:tc>
        <w:tc>
          <w:tcPr>
            <w:tcW w:w="3821" w:type="dxa"/>
          </w:tcPr>
          <w:p w14:paraId="1AB673A6">
            <w:pPr>
              <w:adjustRightInd w:val="0"/>
              <w:snapToGrid w:val="0"/>
              <w:spacing w:before="120" w:beforeLines="50" w:line="360" w:lineRule="auto"/>
              <w:jc w:val="left"/>
              <w:rPr>
                <w:rFonts w:hint="eastAsia" w:ascii="宋体" w:hAnsi="宋体" w:eastAsia="宋体" w:cs="宋体"/>
                <w:color w:val="FF0000"/>
                <w:kern w:val="0"/>
                <w:sz w:val="18"/>
                <w:szCs w:val="18"/>
                <w:highlight w:val="none"/>
                <w:lang w:eastAsia="zh-CN"/>
              </w:rPr>
            </w:pPr>
          </w:p>
        </w:tc>
        <w:tc>
          <w:tcPr>
            <w:tcW w:w="4556" w:type="dxa"/>
            <w:vAlign w:val="center"/>
          </w:tcPr>
          <w:p w14:paraId="752500C7">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r w14:paraId="367B6B3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683" w:type="dxa"/>
            <w:vAlign w:val="center"/>
          </w:tcPr>
          <w:p w14:paraId="2222F7B1">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r>
              <w:rPr>
                <w:rFonts w:hint="eastAsia" w:cs="宋体" w:asciiTheme="minorEastAsia" w:hAnsiTheme="minorEastAsia" w:eastAsiaTheme="minorEastAsia"/>
                <w:kern w:val="0"/>
                <w:sz w:val="18"/>
                <w:szCs w:val="18"/>
                <w:highlight w:val="none"/>
              </w:rPr>
              <w:t>结论</w:t>
            </w:r>
          </w:p>
        </w:tc>
        <w:tc>
          <w:tcPr>
            <w:tcW w:w="8377" w:type="dxa"/>
            <w:gridSpan w:val="2"/>
            <w:vAlign w:val="center"/>
          </w:tcPr>
          <w:p w14:paraId="7FCD3E68">
            <w:pPr>
              <w:adjustRightInd w:val="0"/>
              <w:snapToGrid w:val="0"/>
              <w:spacing w:before="120" w:beforeLines="50" w:line="360" w:lineRule="auto"/>
              <w:jc w:val="center"/>
              <w:rPr>
                <w:rFonts w:cs="宋体" w:asciiTheme="minorEastAsia" w:hAnsiTheme="minorEastAsia" w:eastAsiaTheme="minorEastAsia"/>
                <w:kern w:val="0"/>
                <w:sz w:val="18"/>
                <w:szCs w:val="18"/>
                <w:highlight w:val="none"/>
              </w:rPr>
            </w:pPr>
          </w:p>
        </w:tc>
      </w:tr>
    </w:tbl>
    <w:p w14:paraId="598DA8C7">
      <w:pPr>
        <w:adjustRightInd w:val="0"/>
        <w:snapToGrid w:val="0"/>
        <w:spacing w:line="360" w:lineRule="auto"/>
        <w:rPr>
          <w:rFonts w:asciiTheme="minorEastAsia" w:hAnsiTheme="minorEastAsia" w:eastAsiaTheme="minorEastAsia"/>
          <w:szCs w:val="21"/>
          <w:highlight w:val="none"/>
        </w:rPr>
      </w:pPr>
    </w:p>
    <w:p w14:paraId="1A970E85">
      <w:pPr>
        <w:widowControl/>
        <w:jc w:val="center"/>
        <w:rPr>
          <w:rFonts w:ascii="黑体" w:hAnsi="华文中宋" w:eastAsia="黑体"/>
          <w:sz w:val="28"/>
          <w:szCs w:val="28"/>
          <w:highlight w:val="none"/>
        </w:rPr>
      </w:pPr>
      <w:r>
        <w:rPr>
          <w:rFonts w:asciiTheme="minorEastAsia" w:hAnsiTheme="minorEastAsia" w:eastAsiaTheme="minorEastAsia"/>
          <w:szCs w:val="21"/>
          <w:highlight w:val="none"/>
        </w:rPr>
        <w:br w:type="page"/>
      </w:r>
      <w:r>
        <w:rPr>
          <w:rFonts w:hint="eastAsia" w:ascii="黑体" w:hAnsi="华文中宋" w:eastAsia="黑体"/>
          <w:sz w:val="28"/>
          <w:szCs w:val="28"/>
          <w:highlight w:val="none"/>
        </w:rPr>
        <w:t>第四节 投标文件的比较与评价（综合评分法）</w:t>
      </w:r>
    </w:p>
    <w:p w14:paraId="7C74354F">
      <w:pPr>
        <w:widowControl/>
        <w:adjustRightInd w:val="0"/>
        <w:snapToGrid w:val="0"/>
        <w:spacing w:before="156" w:beforeLines="50" w:line="360" w:lineRule="auto"/>
        <w:jc w:val="left"/>
        <w:rPr>
          <w:rFonts w:ascii="黑体" w:hAnsi="黑体" w:eastAsia="黑体"/>
          <w:b/>
          <w:sz w:val="24"/>
          <w:highlight w:val="none"/>
        </w:rPr>
      </w:pPr>
      <w:r>
        <w:rPr>
          <w:rFonts w:hint="eastAsia" w:ascii="黑体" w:hAnsi="黑体" w:eastAsia="黑体"/>
          <w:b/>
          <w:sz w:val="24"/>
          <w:highlight w:val="none"/>
        </w:rPr>
        <w:t>1.综合评分法</w:t>
      </w:r>
    </w:p>
    <w:p w14:paraId="75ED6930">
      <w:pPr>
        <w:adjustRightInd w:val="0"/>
        <w:snapToGrid w:val="0"/>
        <w:spacing w:before="156"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1.1综合评分法，指投标文件满足招标文件全部实质性要求，且按照评审因素的量化指标评审得分最高的投标人为中标候选人的评标方法。</w:t>
      </w:r>
    </w:p>
    <w:p w14:paraId="5E898CE4">
      <w:pPr>
        <w:adjustRightInd w:val="0"/>
        <w:snapToGrid w:val="0"/>
        <w:spacing w:before="156"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1.2评标因素：评审因素的设定应当与投标人所提供货物服务的质量相关，包括投标报价、技术或者服务水平、履约能力、售后服务等，但不包括第一章投标人的资格要求。本采购项目的评标因素和标准见本章本节附页1“评标方法及标准表”。</w:t>
      </w:r>
    </w:p>
    <w:p w14:paraId="317D8D82">
      <w:pPr>
        <w:adjustRightInd w:val="0"/>
        <w:snapToGrid w:val="0"/>
        <w:spacing w:before="156"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1.3未通过符合性审查的投标文件不得进入比较与评价。</w:t>
      </w:r>
    </w:p>
    <w:p w14:paraId="6E51C9BD">
      <w:pPr>
        <w:adjustRightInd w:val="0"/>
        <w:snapToGrid w:val="0"/>
        <w:spacing w:before="156" w:beforeLines="50" w:line="360" w:lineRule="auto"/>
        <w:jc w:val="left"/>
        <w:rPr>
          <w:rFonts w:ascii="黑体" w:hAnsi="黑体" w:eastAsia="黑体"/>
          <w:b/>
          <w:bCs/>
          <w:sz w:val="24"/>
          <w:highlight w:val="none"/>
        </w:rPr>
      </w:pPr>
      <w:r>
        <w:rPr>
          <w:rFonts w:hint="eastAsia" w:ascii="黑体" w:hAnsi="黑体" w:eastAsia="黑体"/>
          <w:b/>
          <w:bCs/>
          <w:sz w:val="24"/>
          <w:highlight w:val="none"/>
        </w:rPr>
        <w:t>2.投标报价的算术修正及政府采购政策调整</w:t>
      </w:r>
    </w:p>
    <w:p w14:paraId="327A5EEC">
      <w:pPr>
        <w:adjustRightInd w:val="0"/>
        <w:snapToGrid w:val="0"/>
        <w:spacing w:before="156"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2.1如果有算术错误，投标报价将按本章第二节第4.2款、第4.3款规定进行算术修正。</w:t>
      </w:r>
    </w:p>
    <w:p w14:paraId="404AC081">
      <w:pPr>
        <w:adjustRightInd w:val="0"/>
        <w:snapToGrid w:val="0"/>
        <w:spacing w:before="156"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2.2需落实政府采购政策（价格评审优惠）的，按第二章“投标须知”及本章第二节第</w:t>
      </w:r>
      <w:r>
        <w:rPr>
          <w:rFonts w:asciiTheme="minorEastAsia" w:hAnsiTheme="minorEastAsia" w:eastAsiaTheme="minorEastAsia"/>
          <w:bCs/>
          <w:szCs w:val="21"/>
          <w:highlight w:val="none"/>
        </w:rPr>
        <w:t>5.3</w:t>
      </w:r>
      <w:r>
        <w:rPr>
          <w:rFonts w:hint="eastAsia" w:asciiTheme="minorEastAsia" w:hAnsiTheme="minorEastAsia" w:eastAsiaTheme="minorEastAsia"/>
          <w:bCs/>
          <w:szCs w:val="21"/>
          <w:highlight w:val="none"/>
        </w:rPr>
        <w:t>（1）项的相关规定进行价格调整。</w:t>
      </w:r>
    </w:p>
    <w:p w14:paraId="1E9521A8">
      <w:pPr>
        <w:adjustRightInd w:val="0"/>
        <w:snapToGrid w:val="0"/>
        <w:spacing w:before="156"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2.3按本章本节第2.1款、第2.2款规定，以修正或调整后的价格确定投标人的投标报价和评标基准价，用于投标报价评价。</w:t>
      </w:r>
    </w:p>
    <w:p w14:paraId="62B4E65E">
      <w:pPr>
        <w:adjustRightInd w:val="0"/>
        <w:snapToGrid w:val="0"/>
        <w:spacing w:before="156" w:beforeLines="50" w:line="360" w:lineRule="auto"/>
        <w:jc w:val="left"/>
        <w:rPr>
          <w:rFonts w:hint="eastAsia" w:ascii="黑体" w:hAnsi="黑体" w:eastAsia="黑体"/>
          <w:b/>
          <w:bCs/>
          <w:sz w:val="24"/>
          <w:highlight w:val="none"/>
          <w:lang w:eastAsia="zh-CN"/>
        </w:rPr>
      </w:pPr>
      <w:r>
        <w:rPr>
          <w:rFonts w:hint="eastAsia" w:ascii="黑体" w:hAnsi="黑体" w:eastAsia="黑体"/>
          <w:b/>
          <w:bCs/>
          <w:sz w:val="24"/>
          <w:highlight w:val="none"/>
        </w:rPr>
        <w:t>3.投标报价评价</w:t>
      </w:r>
      <w:r>
        <w:rPr>
          <w:rFonts w:hint="eastAsia" w:ascii="黑体" w:hAnsi="黑体" w:eastAsia="黑体"/>
          <w:b/>
          <w:bCs/>
          <w:sz w:val="24"/>
          <w:highlight w:val="none"/>
          <w:lang w:eastAsia="zh-CN"/>
        </w:rPr>
        <w:t>及异常低价审查</w:t>
      </w:r>
    </w:p>
    <w:p w14:paraId="4E7D2EF2">
      <w:pPr>
        <w:adjustRightInd w:val="0"/>
        <w:snapToGrid w:val="0"/>
        <w:spacing w:before="156"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3.1投标报价评价：价格分应当采用低价优先法计算，即满足招标文件要求且投标价格最低的投标报价为评标基准价，其价格分为满分（报价权重分）。其他投标人的价格分统一按照下列公式计算：</w:t>
      </w:r>
    </w:p>
    <w:p w14:paraId="3BD3F513">
      <w:pPr>
        <w:adjustRightInd w:val="0"/>
        <w:snapToGrid w:val="0"/>
        <w:spacing w:before="156" w:beforeLines="50" w:line="360" w:lineRule="auto"/>
        <w:ind w:firstLine="420" w:firstLineChars="200"/>
        <w:jc w:val="left"/>
        <w:rPr>
          <w:rFonts w:hint="eastAsia" w:asciiTheme="minorEastAsia" w:hAnsiTheme="minorEastAsia" w:eastAsiaTheme="minorEastAsia"/>
          <w:szCs w:val="21"/>
          <w:highlight w:val="none"/>
        </w:rPr>
      </w:pPr>
      <w:r>
        <w:rPr>
          <w:rFonts w:hint="eastAsia" w:asciiTheme="minorEastAsia" w:hAnsiTheme="minorEastAsia" w:eastAsiaTheme="minorEastAsia"/>
          <w:szCs w:val="21"/>
          <w:highlight w:val="none"/>
        </w:rPr>
        <w:t>投标报价得分=（评标基准价</w:t>
      </w:r>
      <w:r>
        <w:rPr>
          <w:rFonts w:hint="eastAsia" w:asciiTheme="minorEastAsia" w:hAnsiTheme="minorEastAsia" w:eastAsiaTheme="minorEastAsia"/>
          <w:szCs w:val="21"/>
          <w:highlight w:val="none"/>
          <w:vertAlign w:val="subscript"/>
        </w:rPr>
        <w:t>修正或调整</w:t>
      </w:r>
      <w:r>
        <w:rPr>
          <w:rFonts w:hint="eastAsia" w:asciiTheme="minorEastAsia" w:hAnsiTheme="minorEastAsia" w:eastAsiaTheme="minorEastAsia"/>
          <w:szCs w:val="21"/>
          <w:highlight w:val="none"/>
        </w:rPr>
        <w:t>／投标报价</w:t>
      </w:r>
      <w:r>
        <w:rPr>
          <w:rFonts w:hint="eastAsia" w:asciiTheme="minorEastAsia" w:hAnsiTheme="minorEastAsia" w:eastAsiaTheme="minorEastAsia"/>
          <w:szCs w:val="21"/>
          <w:highlight w:val="none"/>
          <w:vertAlign w:val="subscript"/>
        </w:rPr>
        <w:t>修正或调整</w:t>
      </w:r>
      <w:r>
        <w:rPr>
          <w:rFonts w:hint="eastAsia" w:asciiTheme="minorEastAsia" w:hAnsiTheme="minorEastAsia" w:eastAsiaTheme="minorEastAsia"/>
          <w:szCs w:val="21"/>
          <w:highlight w:val="none"/>
        </w:rPr>
        <w:t>）×报价权重分</w:t>
      </w:r>
    </w:p>
    <w:p w14:paraId="2162F7B7">
      <w:pPr>
        <w:adjustRightInd w:val="0"/>
        <w:snapToGrid w:val="0"/>
        <w:spacing w:before="156" w:beforeLines="50" w:line="360" w:lineRule="auto"/>
        <w:ind w:firstLine="420" w:firstLineChars="200"/>
        <w:jc w:val="left"/>
        <w:rPr>
          <w:rFonts w:hint="eastAsia"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3.2政府采购异常低价审查：政府采购评审中出现下列情形之一的，评审委员会应当启动异常低价投标（响应）审查程序：</w:t>
      </w:r>
    </w:p>
    <w:p w14:paraId="1D2CB014">
      <w:pPr>
        <w:adjustRightInd w:val="0"/>
        <w:snapToGrid w:val="0"/>
        <w:spacing w:before="156" w:beforeLines="50" w:line="360" w:lineRule="auto"/>
        <w:ind w:firstLine="420" w:firstLineChars="200"/>
        <w:jc w:val="left"/>
        <w:rPr>
          <w:rFonts w:hint="default"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w:t>
      </w:r>
      <w:r>
        <w:rPr>
          <w:rFonts w:hint="default" w:asciiTheme="minorEastAsia" w:hAnsiTheme="minorEastAsia" w:eastAsiaTheme="minorEastAsia"/>
          <w:szCs w:val="21"/>
          <w:highlight w:val="none"/>
          <w:lang w:val="en-US" w:eastAsia="zh-CN"/>
        </w:rPr>
        <w:t>1投标（响应）报价低于全部通过符合性审查供应商投标（响应）报价平均值</w:t>
      </w:r>
      <w:r>
        <w:rPr>
          <w:rFonts w:hint="eastAsia" w:asciiTheme="minorEastAsia" w:hAnsiTheme="minorEastAsia" w:eastAsiaTheme="minorEastAsia"/>
          <w:szCs w:val="21"/>
          <w:highlight w:val="none"/>
          <w:u w:val="single"/>
          <w:lang w:val="en-US" w:eastAsia="zh-CN"/>
        </w:rPr>
        <w:t>65</w:t>
      </w:r>
      <w:r>
        <w:rPr>
          <w:rFonts w:hint="default" w:asciiTheme="minorEastAsia" w:hAnsiTheme="minorEastAsia" w:eastAsiaTheme="minorEastAsia"/>
          <w:szCs w:val="21"/>
          <w:highlight w:val="none"/>
          <w:u w:val="single"/>
          <w:lang w:val="en-US" w:eastAsia="zh-CN"/>
        </w:rPr>
        <w:t>%</w:t>
      </w:r>
      <w:r>
        <w:rPr>
          <w:rFonts w:hint="default" w:asciiTheme="minorEastAsia" w:hAnsiTheme="minorEastAsia" w:eastAsiaTheme="minorEastAsia"/>
          <w:szCs w:val="21"/>
          <w:highlight w:val="none"/>
          <w:lang w:val="en-US" w:eastAsia="zh-CN"/>
        </w:rPr>
        <w:t>的，即投标（响应）报价</w:t>
      </w:r>
      <w:r>
        <w:rPr>
          <w:rFonts w:hint="eastAsia" w:asciiTheme="minorEastAsia" w:hAnsiTheme="minorEastAsia" w:eastAsiaTheme="minorEastAsia"/>
          <w:szCs w:val="21"/>
          <w:highlight w:val="none"/>
          <w:lang w:val="en-US" w:eastAsia="zh-CN"/>
        </w:rPr>
        <w:t>＜</w:t>
      </w:r>
      <w:r>
        <w:rPr>
          <w:rFonts w:hint="default" w:asciiTheme="minorEastAsia" w:hAnsiTheme="minorEastAsia" w:eastAsiaTheme="minorEastAsia"/>
          <w:szCs w:val="21"/>
          <w:highlight w:val="none"/>
          <w:lang w:val="en-US" w:eastAsia="zh-CN"/>
        </w:rPr>
        <w:t>全部通过符合性审查供应商投标（响应）报价平均值×</w:t>
      </w:r>
      <w:r>
        <w:rPr>
          <w:rFonts w:hint="eastAsia" w:asciiTheme="minorEastAsia" w:hAnsiTheme="minorEastAsia" w:eastAsiaTheme="minorEastAsia"/>
          <w:szCs w:val="21"/>
          <w:highlight w:val="none"/>
          <w:u w:val="single"/>
          <w:lang w:val="en-US" w:eastAsia="zh-CN"/>
        </w:rPr>
        <w:t>65</w:t>
      </w:r>
      <w:r>
        <w:rPr>
          <w:rFonts w:hint="default" w:asciiTheme="minorEastAsia" w:hAnsiTheme="minorEastAsia" w:eastAsiaTheme="minorEastAsia"/>
          <w:szCs w:val="21"/>
          <w:highlight w:val="none"/>
          <w:lang w:val="en-US" w:eastAsia="zh-CN"/>
        </w:rPr>
        <w:t>%；</w:t>
      </w:r>
    </w:p>
    <w:p w14:paraId="013FCFA4">
      <w:pPr>
        <w:adjustRightInd w:val="0"/>
        <w:snapToGrid w:val="0"/>
        <w:spacing w:before="156" w:beforeLines="50" w:line="360" w:lineRule="auto"/>
        <w:ind w:firstLine="420" w:firstLineChars="200"/>
        <w:jc w:val="left"/>
        <w:rPr>
          <w:rFonts w:hint="default"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w:t>
      </w:r>
      <w:r>
        <w:rPr>
          <w:rFonts w:hint="default" w:asciiTheme="minorEastAsia" w:hAnsiTheme="minorEastAsia" w:eastAsiaTheme="minorEastAsia"/>
          <w:szCs w:val="21"/>
          <w:highlight w:val="none"/>
          <w:lang w:val="en-US" w:eastAsia="zh-CN"/>
        </w:rPr>
        <w:t>2投标（响应）报价低于通过符合性审查的次低报价供应商投标（响应）报价</w:t>
      </w:r>
      <w:r>
        <w:rPr>
          <w:rFonts w:hint="eastAsia" w:asciiTheme="minorEastAsia" w:hAnsiTheme="minorEastAsia" w:eastAsiaTheme="minorEastAsia"/>
          <w:szCs w:val="21"/>
          <w:highlight w:val="none"/>
          <w:u w:val="single"/>
          <w:lang w:val="en-US" w:eastAsia="zh-CN"/>
        </w:rPr>
        <w:t>65</w:t>
      </w:r>
      <w:r>
        <w:rPr>
          <w:rFonts w:hint="default" w:asciiTheme="minorEastAsia" w:hAnsiTheme="minorEastAsia" w:eastAsiaTheme="minorEastAsia"/>
          <w:szCs w:val="21"/>
          <w:highlight w:val="none"/>
          <w:u w:val="single"/>
          <w:lang w:val="en-US" w:eastAsia="zh-CN"/>
        </w:rPr>
        <w:t>%</w:t>
      </w:r>
      <w:r>
        <w:rPr>
          <w:rFonts w:hint="default" w:asciiTheme="minorEastAsia" w:hAnsiTheme="minorEastAsia" w:eastAsiaTheme="minorEastAsia"/>
          <w:szCs w:val="21"/>
          <w:highlight w:val="none"/>
          <w:lang w:val="en-US" w:eastAsia="zh-CN"/>
        </w:rPr>
        <w:t>的，即投标（响应）报价</w:t>
      </w:r>
      <w:r>
        <w:rPr>
          <w:rFonts w:hint="eastAsia" w:asciiTheme="minorEastAsia" w:hAnsiTheme="minorEastAsia" w:eastAsiaTheme="minorEastAsia"/>
          <w:szCs w:val="21"/>
          <w:highlight w:val="none"/>
          <w:lang w:val="en-US" w:eastAsia="zh-CN"/>
        </w:rPr>
        <w:t>＜</w:t>
      </w:r>
      <w:r>
        <w:rPr>
          <w:rFonts w:hint="default" w:asciiTheme="minorEastAsia" w:hAnsiTheme="minorEastAsia" w:eastAsiaTheme="minorEastAsia"/>
          <w:szCs w:val="21"/>
          <w:highlight w:val="none"/>
          <w:lang w:val="en-US" w:eastAsia="zh-CN"/>
        </w:rPr>
        <w:t>通过符合性审查的次低报价供应商投标（响应）报价×</w:t>
      </w:r>
      <w:r>
        <w:rPr>
          <w:rFonts w:hint="eastAsia" w:asciiTheme="minorEastAsia" w:hAnsiTheme="minorEastAsia" w:eastAsiaTheme="minorEastAsia"/>
          <w:szCs w:val="21"/>
          <w:highlight w:val="none"/>
          <w:u w:val="single"/>
          <w:lang w:val="en-US" w:eastAsia="zh-CN"/>
        </w:rPr>
        <w:t>65</w:t>
      </w:r>
      <w:r>
        <w:rPr>
          <w:rFonts w:hint="default" w:asciiTheme="minorEastAsia" w:hAnsiTheme="minorEastAsia" w:eastAsiaTheme="minorEastAsia"/>
          <w:szCs w:val="21"/>
          <w:highlight w:val="none"/>
          <w:lang w:val="en-US" w:eastAsia="zh-CN"/>
        </w:rPr>
        <w:t>%；</w:t>
      </w:r>
    </w:p>
    <w:p w14:paraId="10CA4945">
      <w:pPr>
        <w:adjustRightInd w:val="0"/>
        <w:snapToGrid w:val="0"/>
        <w:spacing w:before="156" w:beforeLines="50" w:line="360" w:lineRule="auto"/>
        <w:ind w:firstLine="420" w:firstLineChars="200"/>
        <w:jc w:val="left"/>
        <w:rPr>
          <w:rFonts w:hint="default"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w:t>
      </w:r>
      <w:r>
        <w:rPr>
          <w:rFonts w:hint="default" w:asciiTheme="minorEastAsia" w:hAnsiTheme="minorEastAsia" w:eastAsiaTheme="minorEastAsia"/>
          <w:szCs w:val="21"/>
          <w:highlight w:val="none"/>
          <w:lang w:val="en-US" w:eastAsia="zh-CN"/>
        </w:rPr>
        <w:t>3投标（响应）报价低于采购项目最高限价</w:t>
      </w:r>
      <w:r>
        <w:rPr>
          <w:rFonts w:hint="eastAsia" w:asciiTheme="minorEastAsia" w:hAnsiTheme="minorEastAsia" w:eastAsiaTheme="minorEastAsia"/>
          <w:szCs w:val="21"/>
          <w:highlight w:val="none"/>
          <w:u w:val="single"/>
          <w:lang w:val="en-US" w:eastAsia="zh-CN"/>
        </w:rPr>
        <w:t>65</w:t>
      </w:r>
      <w:r>
        <w:rPr>
          <w:rFonts w:hint="default" w:asciiTheme="minorEastAsia" w:hAnsiTheme="minorEastAsia" w:eastAsiaTheme="minorEastAsia"/>
          <w:szCs w:val="21"/>
          <w:highlight w:val="none"/>
          <w:u w:val="single"/>
          <w:lang w:val="en-US" w:eastAsia="zh-CN"/>
        </w:rPr>
        <w:t>%</w:t>
      </w:r>
      <w:r>
        <w:rPr>
          <w:rFonts w:hint="default" w:asciiTheme="minorEastAsia" w:hAnsiTheme="minorEastAsia" w:eastAsiaTheme="minorEastAsia"/>
          <w:szCs w:val="21"/>
          <w:highlight w:val="none"/>
          <w:lang w:val="en-US" w:eastAsia="zh-CN"/>
        </w:rPr>
        <w:t>的，即投标（响应）报价</w:t>
      </w:r>
      <w:r>
        <w:rPr>
          <w:rFonts w:hint="eastAsia" w:asciiTheme="minorEastAsia" w:hAnsiTheme="minorEastAsia" w:eastAsiaTheme="minorEastAsia"/>
          <w:szCs w:val="21"/>
          <w:highlight w:val="none"/>
          <w:lang w:val="en-US" w:eastAsia="zh-CN"/>
        </w:rPr>
        <w:t>＜</w:t>
      </w:r>
      <w:r>
        <w:rPr>
          <w:rFonts w:hint="default" w:asciiTheme="minorEastAsia" w:hAnsiTheme="minorEastAsia" w:eastAsiaTheme="minorEastAsia"/>
          <w:szCs w:val="21"/>
          <w:highlight w:val="none"/>
          <w:lang w:val="en-US" w:eastAsia="zh-CN"/>
        </w:rPr>
        <w:t>采购项目最高限价×</w:t>
      </w:r>
      <w:r>
        <w:rPr>
          <w:rFonts w:hint="eastAsia" w:asciiTheme="minorEastAsia" w:hAnsiTheme="minorEastAsia" w:eastAsiaTheme="minorEastAsia"/>
          <w:szCs w:val="21"/>
          <w:highlight w:val="none"/>
          <w:u w:val="single"/>
          <w:lang w:val="en-US" w:eastAsia="zh-CN"/>
        </w:rPr>
        <w:t>65</w:t>
      </w:r>
      <w:r>
        <w:rPr>
          <w:rFonts w:hint="default" w:asciiTheme="minorEastAsia" w:hAnsiTheme="minorEastAsia" w:eastAsiaTheme="minorEastAsia"/>
          <w:szCs w:val="21"/>
          <w:highlight w:val="none"/>
          <w:lang w:val="en-US" w:eastAsia="zh-CN"/>
        </w:rPr>
        <w:t>%；</w:t>
      </w:r>
    </w:p>
    <w:p w14:paraId="41EF9F93">
      <w:pPr>
        <w:adjustRightInd w:val="0"/>
        <w:snapToGrid w:val="0"/>
        <w:spacing w:before="156" w:beforeLines="50" w:line="360" w:lineRule="auto"/>
        <w:ind w:firstLine="420" w:firstLineChars="200"/>
        <w:jc w:val="left"/>
        <w:rPr>
          <w:rFonts w:hint="default"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w:t>
      </w:r>
      <w:r>
        <w:rPr>
          <w:rFonts w:hint="default" w:asciiTheme="minorEastAsia" w:hAnsiTheme="minorEastAsia" w:eastAsiaTheme="minorEastAsia"/>
          <w:szCs w:val="21"/>
          <w:highlight w:val="none"/>
          <w:lang w:val="en-US" w:eastAsia="zh-CN"/>
        </w:rPr>
        <w:t>4评审委员会基于专业判断，认为供应商报价过低，有可能影响产品质量或者不能诚信履约的其他情形。</w:t>
      </w:r>
    </w:p>
    <w:p w14:paraId="0A148878">
      <w:pPr>
        <w:adjustRightInd w:val="0"/>
        <w:snapToGrid w:val="0"/>
        <w:spacing w:before="156" w:beforeLines="50" w:line="360" w:lineRule="auto"/>
        <w:ind w:firstLine="420" w:firstLineChars="200"/>
        <w:jc w:val="left"/>
        <w:rPr>
          <w:rFonts w:hint="default"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3.2.5</w:t>
      </w:r>
      <w:r>
        <w:rPr>
          <w:rFonts w:hint="default" w:asciiTheme="minorEastAsia" w:hAnsiTheme="minorEastAsia" w:eastAsiaTheme="minorEastAsia"/>
          <w:szCs w:val="21"/>
          <w:highlight w:val="none"/>
          <w:lang w:val="en-US" w:eastAsia="zh-CN"/>
        </w:rPr>
        <w:t>评审委员会启动异常低价投标（响应）审查后，属于前述第</w:t>
      </w:r>
      <w:r>
        <w:rPr>
          <w:rFonts w:hint="eastAsia" w:asciiTheme="minorEastAsia" w:hAnsiTheme="minorEastAsia" w:eastAsiaTheme="minorEastAsia"/>
          <w:szCs w:val="21"/>
          <w:highlight w:val="none"/>
          <w:lang w:val="en-US" w:eastAsia="zh-CN"/>
        </w:rPr>
        <w:t>3.2.</w:t>
      </w:r>
      <w:r>
        <w:rPr>
          <w:rFonts w:hint="default" w:asciiTheme="minorEastAsia" w:hAnsiTheme="minorEastAsia" w:eastAsiaTheme="minorEastAsia"/>
          <w:szCs w:val="21"/>
          <w:highlight w:val="none"/>
          <w:lang w:val="en-US" w:eastAsia="zh-CN"/>
        </w:rPr>
        <w:t>1项至第</w:t>
      </w:r>
      <w:r>
        <w:rPr>
          <w:rFonts w:hint="eastAsia" w:asciiTheme="minorEastAsia" w:hAnsiTheme="minorEastAsia" w:eastAsiaTheme="minorEastAsia"/>
          <w:szCs w:val="21"/>
          <w:highlight w:val="none"/>
          <w:lang w:val="en-US" w:eastAsia="zh-CN"/>
        </w:rPr>
        <w:t>3.2.</w:t>
      </w:r>
      <w:r>
        <w:rPr>
          <w:rFonts w:hint="default" w:asciiTheme="minorEastAsia" w:hAnsiTheme="minorEastAsia" w:eastAsiaTheme="minorEastAsia"/>
          <w:szCs w:val="21"/>
          <w:highlight w:val="none"/>
          <w:lang w:val="en-US" w:eastAsia="zh-CN"/>
        </w:rPr>
        <w:t>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3.2.3项情形，供应商已随投标（响应）文件一并提交相关书面说明及必要的证明材料的，在评审现场可不再重复提交。</w:t>
      </w:r>
    </w:p>
    <w:p w14:paraId="26A29073">
      <w:pPr>
        <w:adjustRightInd w:val="0"/>
        <w:snapToGrid w:val="0"/>
        <w:spacing w:before="156" w:beforeLines="50" w:line="360" w:lineRule="auto"/>
        <w:ind w:firstLine="420" w:firstLineChars="200"/>
        <w:jc w:val="left"/>
        <w:rPr>
          <w:rFonts w:hint="eastAsia"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3.2.6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66CFA128">
      <w:pPr>
        <w:adjustRightInd w:val="0"/>
        <w:snapToGrid w:val="0"/>
        <w:spacing w:before="156" w:beforeLines="50" w:line="360" w:lineRule="auto"/>
        <w:ind w:firstLine="420" w:firstLineChars="200"/>
        <w:jc w:val="left"/>
        <w:rPr>
          <w:rFonts w:hint="eastAsia"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3.2.7采购人、采购代理机构应当为评审委员会在评审现场及时获取同类项目中标（成交）价格、类似产品市场价格水平、行业人工费用标准、国家有关部门指导行业协会发布的行业平均成本等相关信息资料提供便利。评审委员会借助互联网等渠道查询相关信息的，应当严格遵守评审工作纪律，不得实施影响评审公正的行为。</w:t>
      </w:r>
    </w:p>
    <w:p w14:paraId="33EEB676">
      <w:pPr>
        <w:adjustRightInd w:val="0"/>
        <w:snapToGrid w:val="0"/>
        <w:spacing w:before="156" w:beforeLines="50" w:line="360" w:lineRule="auto"/>
        <w:ind w:firstLine="420" w:firstLineChars="200"/>
        <w:jc w:val="left"/>
        <w:rPr>
          <w:rFonts w:hint="default" w:asciiTheme="minorEastAsia" w:hAnsiTheme="minorEastAsia" w:eastAsiaTheme="minorEastAsia"/>
          <w:szCs w:val="21"/>
          <w:highlight w:val="none"/>
          <w:lang w:val="en-US" w:eastAsia="zh-CN"/>
        </w:rPr>
      </w:pPr>
      <w:r>
        <w:rPr>
          <w:rFonts w:hint="eastAsia" w:asciiTheme="minorEastAsia" w:hAnsiTheme="minorEastAsia" w:eastAsiaTheme="minorEastAsia"/>
          <w:szCs w:val="21"/>
          <w:highlight w:val="none"/>
          <w:lang w:val="en-US" w:eastAsia="zh-CN"/>
        </w:rPr>
        <w:t>3.2.8异常低价投标（响应）审查的启动原因、审查意见和审查结果应当在评审报告中记录，并随供应商提供的相关书面说明及证明材料，以及评审委员会有关互联网浏览、查询历史一并归档。</w:t>
      </w:r>
    </w:p>
    <w:p w14:paraId="3ECD7744">
      <w:pPr>
        <w:adjustRightInd w:val="0"/>
        <w:snapToGrid w:val="0"/>
        <w:spacing w:before="156" w:beforeLines="50" w:line="360" w:lineRule="auto"/>
        <w:jc w:val="left"/>
        <w:rPr>
          <w:rFonts w:hint="eastAsia" w:ascii="黑体" w:hAnsi="黑体" w:eastAsia="黑体"/>
          <w:b/>
          <w:bCs/>
          <w:sz w:val="24"/>
          <w:highlight w:val="none"/>
        </w:rPr>
      </w:pPr>
      <w:r>
        <w:rPr>
          <w:rFonts w:hint="eastAsia" w:ascii="黑体" w:hAnsi="黑体" w:eastAsia="黑体"/>
          <w:b/>
          <w:bCs/>
          <w:sz w:val="24"/>
          <w:highlight w:val="none"/>
        </w:rPr>
        <w:t>4.技术、商务等评分项响应评价及政府采购政策加分</w:t>
      </w:r>
    </w:p>
    <w:p w14:paraId="538B6D74">
      <w:pPr>
        <w:adjustRightInd w:val="0"/>
        <w:snapToGrid w:val="0"/>
        <w:spacing w:before="156"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4.1技术、商务等评分项响应评分。按</w:t>
      </w:r>
      <w:r>
        <w:rPr>
          <w:rFonts w:hint="eastAsia" w:asciiTheme="minorEastAsia" w:hAnsiTheme="minorEastAsia" w:eastAsiaTheme="minorEastAsia"/>
          <w:bCs/>
          <w:szCs w:val="21"/>
          <w:highlight w:val="none"/>
        </w:rPr>
        <w:t>本章</w:t>
      </w:r>
      <w:r>
        <w:rPr>
          <w:rFonts w:hint="eastAsia" w:asciiTheme="minorEastAsia" w:hAnsiTheme="minorEastAsia" w:eastAsiaTheme="minorEastAsia"/>
          <w:szCs w:val="21"/>
          <w:highlight w:val="none"/>
        </w:rPr>
        <w:t>本节附页1“评标方法及标准表”规定的评标因素和标准，对技术、商务等评分项计算得分。</w:t>
      </w:r>
    </w:p>
    <w:p w14:paraId="0F1A052E">
      <w:pPr>
        <w:adjustRightInd w:val="0"/>
        <w:snapToGrid w:val="0"/>
        <w:spacing w:before="156"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4.2需落实政府采购政策（优先采购）的，按第二章、本章第二节第5.3（2）项以及本节附页1“评标方法及标准表”的相关规定进行技术、价格、商务项得分(加分)计算。</w:t>
      </w:r>
    </w:p>
    <w:p w14:paraId="3B619A43">
      <w:pPr>
        <w:adjustRightInd w:val="0"/>
        <w:snapToGrid w:val="0"/>
        <w:spacing w:before="156" w:beforeLines="50" w:line="360" w:lineRule="auto"/>
        <w:jc w:val="left"/>
        <w:rPr>
          <w:rFonts w:ascii="黑体" w:hAnsi="黑体" w:eastAsia="黑体"/>
          <w:b/>
          <w:sz w:val="24"/>
          <w:highlight w:val="none"/>
        </w:rPr>
      </w:pPr>
      <w:r>
        <w:rPr>
          <w:rFonts w:hint="eastAsia" w:ascii="黑体" w:hAnsi="黑体" w:eastAsia="黑体"/>
          <w:b/>
          <w:sz w:val="24"/>
          <w:highlight w:val="none"/>
        </w:rPr>
        <w:t>5.评标总得分</w:t>
      </w:r>
    </w:p>
    <w:p w14:paraId="43E86ECA">
      <w:pPr>
        <w:adjustRightInd w:val="0"/>
        <w:snapToGrid w:val="0"/>
        <w:spacing w:before="156"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5.1评标总得分为投标报价、技术、商务等评分项得分(含优先采购政策加分)之和。</w:t>
      </w:r>
    </w:p>
    <w:p w14:paraId="05641279">
      <w:pPr>
        <w:adjustRightInd w:val="0"/>
        <w:snapToGrid w:val="0"/>
        <w:spacing w:line="460" w:lineRule="exact"/>
        <w:ind w:firstLine="420" w:firstLineChars="200"/>
        <w:rPr>
          <w:rFonts w:ascii="宋体" w:hAnsi="宋体" w:cs="宋体"/>
          <w:kern w:val="0"/>
          <w:szCs w:val="21"/>
          <w:highlight w:val="none"/>
          <w:lang w:val="ru-RU" w:eastAsia="ru-RU"/>
        </w:rPr>
      </w:pPr>
      <w:r>
        <w:rPr>
          <w:rFonts w:hint="eastAsia" w:ascii="宋体" w:hAnsi="宋体" w:cs="宋体"/>
          <w:kern w:val="0"/>
          <w:szCs w:val="21"/>
          <w:highlight w:val="none"/>
          <w:lang w:val="ru-RU" w:eastAsia="ru-RU"/>
        </w:rPr>
        <w:t>评标总得分＝F</w:t>
      </w:r>
      <w:r>
        <w:rPr>
          <w:rFonts w:hint="eastAsia" w:ascii="宋体" w:hAnsi="宋体" w:cs="宋体"/>
          <w:kern w:val="0"/>
          <w:szCs w:val="21"/>
          <w:highlight w:val="none"/>
          <w:vertAlign w:val="subscript"/>
          <w:lang w:val="ru-RU" w:eastAsia="ru-RU"/>
        </w:rPr>
        <w:t>1</w:t>
      </w: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1</w:t>
      </w:r>
      <w:r>
        <w:rPr>
          <w:rFonts w:hint="eastAsia" w:ascii="宋体" w:hAnsi="宋体" w:cs="宋体"/>
          <w:kern w:val="0"/>
          <w:szCs w:val="21"/>
          <w:highlight w:val="none"/>
          <w:lang w:val="ru-RU" w:eastAsia="ru-RU"/>
        </w:rPr>
        <w:t>＋F</w:t>
      </w:r>
      <w:r>
        <w:rPr>
          <w:rFonts w:hint="eastAsia" w:ascii="宋体" w:hAnsi="宋体" w:cs="宋体"/>
          <w:kern w:val="0"/>
          <w:szCs w:val="21"/>
          <w:highlight w:val="none"/>
          <w:vertAlign w:val="subscript"/>
          <w:lang w:val="ru-RU" w:eastAsia="ru-RU"/>
        </w:rPr>
        <w:t>2</w:t>
      </w: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2</w:t>
      </w:r>
      <w:r>
        <w:rPr>
          <w:rFonts w:hint="eastAsia" w:ascii="宋体" w:hAnsi="宋体" w:cs="宋体"/>
          <w:kern w:val="0"/>
          <w:szCs w:val="21"/>
          <w:highlight w:val="none"/>
          <w:lang w:val="ru-RU" w:eastAsia="ru-RU"/>
        </w:rPr>
        <w:t>＋……＋F</w:t>
      </w:r>
      <w:r>
        <w:rPr>
          <w:rFonts w:hint="eastAsia" w:ascii="宋体" w:hAnsi="宋体" w:cs="宋体"/>
          <w:kern w:val="0"/>
          <w:szCs w:val="21"/>
          <w:highlight w:val="none"/>
          <w:vertAlign w:val="subscript"/>
          <w:lang w:val="ru-RU" w:eastAsia="ru-RU"/>
        </w:rPr>
        <w:t>n</w:t>
      </w: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n</w:t>
      </w:r>
    </w:p>
    <w:p w14:paraId="77A97C3C">
      <w:pPr>
        <w:adjustRightInd w:val="0"/>
        <w:snapToGrid w:val="0"/>
        <w:spacing w:line="460" w:lineRule="exact"/>
        <w:ind w:firstLine="420" w:firstLineChars="200"/>
        <w:rPr>
          <w:rFonts w:ascii="宋体" w:hAnsi="宋体" w:cs="宋体"/>
          <w:kern w:val="0"/>
          <w:szCs w:val="21"/>
          <w:highlight w:val="none"/>
          <w:lang w:val="ru-RU" w:eastAsia="ru-RU"/>
        </w:rPr>
      </w:pPr>
      <w:r>
        <w:rPr>
          <w:rFonts w:hint="eastAsia" w:ascii="宋体" w:hAnsi="宋体" w:cs="宋体"/>
          <w:kern w:val="0"/>
          <w:szCs w:val="21"/>
          <w:highlight w:val="none"/>
          <w:lang w:val="ru-RU" w:eastAsia="ru-RU"/>
        </w:rPr>
        <w:t>F</w:t>
      </w:r>
      <w:r>
        <w:rPr>
          <w:rFonts w:hint="eastAsia" w:ascii="宋体" w:hAnsi="宋体" w:cs="宋体"/>
          <w:kern w:val="0"/>
          <w:szCs w:val="21"/>
          <w:highlight w:val="none"/>
          <w:vertAlign w:val="subscript"/>
          <w:lang w:val="ru-RU" w:eastAsia="ru-RU"/>
        </w:rPr>
        <w:t>1</w:t>
      </w:r>
      <w:r>
        <w:rPr>
          <w:rFonts w:hint="eastAsia" w:ascii="宋体" w:hAnsi="宋体" w:cs="宋体"/>
          <w:kern w:val="0"/>
          <w:szCs w:val="21"/>
          <w:highlight w:val="none"/>
          <w:lang w:val="ru-RU" w:eastAsia="ru-RU"/>
        </w:rPr>
        <w:t>、F</w:t>
      </w:r>
      <w:r>
        <w:rPr>
          <w:rFonts w:hint="eastAsia" w:ascii="宋体" w:hAnsi="宋体" w:cs="宋体"/>
          <w:kern w:val="0"/>
          <w:szCs w:val="21"/>
          <w:highlight w:val="none"/>
          <w:vertAlign w:val="subscript"/>
          <w:lang w:val="ru-RU" w:eastAsia="ru-RU"/>
        </w:rPr>
        <w:t>2</w:t>
      </w:r>
      <w:r>
        <w:rPr>
          <w:rFonts w:hint="eastAsia" w:ascii="宋体" w:hAnsi="宋体" w:cs="宋体"/>
          <w:kern w:val="0"/>
          <w:szCs w:val="21"/>
          <w:highlight w:val="none"/>
          <w:lang w:val="ru-RU" w:eastAsia="ru-RU"/>
        </w:rPr>
        <w:t>……F</w:t>
      </w:r>
      <w:r>
        <w:rPr>
          <w:rFonts w:hint="eastAsia" w:ascii="宋体" w:hAnsi="宋体" w:cs="宋体"/>
          <w:kern w:val="0"/>
          <w:szCs w:val="21"/>
          <w:highlight w:val="none"/>
          <w:vertAlign w:val="subscript"/>
          <w:lang w:val="ru-RU" w:eastAsia="ru-RU"/>
        </w:rPr>
        <w:t>n</w:t>
      </w:r>
      <w:r>
        <w:rPr>
          <w:rFonts w:hint="eastAsia" w:ascii="宋体" w:hAnsi="宋体" w:cs="宋体"/>
          <w:kern w:val="0"/>
          <w:szCs w:val="21"/>
          <w:highlight w:val="none"/>
          <w:lang w:val="ru-RU" w:eastAsia="ru-RU"/>
        </w:rPr>
        <w:t>分别为各项评审因素的得分；</w:t>
      </w:r>
    </w:p>
    <w:p w14:paraId="42083380">
      <w:pPr>
        <w:adjustRightInd w:val="0"/>
        <w:snapToGrid w:val="0"/>
        <w:spacing w:before="156" w:beforeLines="50" w:line="360" w:lineRule="auto"/>
        <w:ind w:firstLine="420" w:firstLineChars="200"/>
        <w:jc w:val="left"/>
        <w:rPr>
          <w:rFonts w:ascii="宋体" w:hAnsi="宋体" w:cs="宋体"/>
          <w:kern w:val="0"/>
          <w:szCs w:val="21"/>
          <w:highlight w:val="none"/>
          <w:lang w:val="ru-RU" w:eastAsia="ru-RU"/>
        </w:rPr>
      </w:pP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1</w:t>
      </w: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2</w:t>
      </w: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n</w:t>
      </w:r>
      <w:r>
        <w:rPr>
          <w:rFonts w:hint="eastAsia" w:ascii="宋体" w:hAnsi="宋体" w:cs="宋体"/>
          <w:kern w:val="0"/>
          <w:szCs w:val="21"/>
          <w:highlight w:val="none"/>
          <w:lang w:val="ru-RU" w:eastAsia="ru-RU"/>
        </w:rPr>
        <w:t>分别为各项评审因素所占的权重（A</w:t>
      </w:r>
      <w:r>
        <w:rPr>
          <w:rFonts w:hint="eastAsia" w:ascii="宋体" w:hAnsi="宋体" w:cs="宋体"/>
          <w:kern w:val="0"/>
          <w:szCs w:val="21"/>
          <w:highlight w:val="none"/>
          <w:vertAlign w:val="subscript"/>
          <w:lang w:val="ru-RU" w:eastAsia="ru-RU"/>
        </w:rPr>
        <w:t>1</w:t>
      </w: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2</w:t>
      </w:r>
      <w:r>
        <w:rPr>
          <w:rFonts w:hint="eastAsia" w:ascii="宋体" w:hAnsi="宋体" w:cs="宋体"/>
          <w:kern w:val="0"/>
          <w:szCs w:val="21"/>
          <w:highlight w:val="none"/>
          <w:lang w:val="ru-RU" w:eastAsia="ru-RU"/>
        </w:rPr>
        <w:t>＋…＋A</w:t>
      </w:r>
      <w:r>
        <w:rPr>
          <w:rFonts w:hint="eastAsia" w:ascii="宋体" w:hAnsi="宋体" w:cs="宋体"/>
          <w:kern w:val="0"/>
          <w:szCs w:val="21"/>
          <w:highlight w:val="none"/>
          <w:vertAlign w:val="subscript"/>
          <w:lang w:val="ru-RU" w:eastAsia="ru-RU"/>
        </w:rPr>
        <w:t>n</w:t>
      </w:r>
      <w:r>
        <w:rPr>
          <w:rFonts w:hint="eastAsia" w:ascii="宋体" w:hAnsi="宋体" w:cs="宋体"/>
          <w:kern w:val="0"/>
          <w:szCs w:val="21"/>
          <w:highlight w:val="none"/>
          <w:lang w:val="ru-RU" w:eastAsia="ru-RU"/>
        </w:rPr>
        <w:t>＝1）。</w:t>
      </w:r>
    </w:p>
    <w:p w14:paraId="668D76A3">
      <w:pPr>
        <w:adjustRightInd w:val="0"/>
        <w:snapToGrid w:val="0"/>
        <w:spacing w:before="156" w:beforeLines="50" w:line="360" w:lineRule="auto"/>
        <w:ind w:firstLine="420" w:firstLineChars="200"/>
        <w:jc w:val="left"/>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5.2评分分值计算保留小数点后两位，小数点后第三位“四舍五入”。</w:t>
      </w:r>
    </w:p>
    <w:p w14:paraId="0A057D09">
      <w:pPr>
        <w:adjustRightInd w:val="0"/>
        <w:snapToGrid w:val="0"/>
        <w:spacing w:before="156" w:beforeLines="50" w:line="360" w:lineRule="auto"/>
        <w:ind w:firstLine="420" w:firstLineChars="200"/>
        <w:jc w:val="left"/>
        <w:rPr>
          <w:rFonts w:asciiTheme="minorEastAsia" w:hAnsiTheme="minorEastAsia" w:eastAsiaTheme="minorEastAsia"/>
          <w:szCs w:val="21"/>
          <w:highlight w:val="none"/>
        </w:rPr>
      </w:pPr>
      <w:r>
        <w:rPr>
          <w:rFonts w:hint="eastAsia" w:cs="宋体" w:asciiTheme="minorEastAsia" w:hAnsiTheme="minorEastAsia" w:eastAsiaTheme="minorEastAsia"/>
          <w:kern w:val="0"/>
          <w:szCs w:val="21"/>
          <w:highlight w:val="none"/>
        </w:rPr>
        <w:t>5.3</w:t>
      </w:r>
      <w:r>
        <w:rPr>
          <w:rFonts w:hint="eastAsia" w:asciiTheme="minorEastAsia" w:hAnsiTheme="minorEastAsia" w:eastAsiaTheme="minorEastAsia"/>
          <w:szCs w:val="21"/>
          <w:highlight w:val="none"/>
        </w:rPr>
        <w:t>评标时，评标委员会成员应当独立对满足招标文件全部实质性要求投标人的</w:t>
      </w:r>
      <w:r>
        <w:rPr>
          <w:rFonts w:hint="eastAsia" w:asciiTheme="minorEastAsia" w:hAnsiTheme="minorEastAsia" w:eastAsiaTheme="minorEastAsia"/>
          <w:bCs/>
          <w:szCs w:val="21"/>
          <w:highlight w:val="none"/>
        </w:rPr>
        <w:t>投标文件</w:t>
      </w:r>
      <w:r>
        <w:rPr>
          <w:rFonts w:hint="eastAsia" w:asciiTheme="minorEastAsia" w:hAnsiTheme="minorEastAsia" w:eastAsiaTheme="minorEastAsia"/>
          <w:szCs w:val="21"/>
          <w:highlight w:val="none"/>
        </w:rPr>
        <w:t>进行评价、评分，然后汇总每个投标人每项评分因素的得分。每个投标人的最终得分为所有评标委员会成员评分的算术平均值。</w:t>
      </w:r>
    </w:p>
    <w:p w14:paraId="5FC4BAFA">
      <w:pPr>
        <w:adjustRightInd w:val="0"/>
        <w:snapToGrid w:val="0"/>
        <w:spacing w:before="156" w:beforeLines="50" w:line="360" w:lineRule="auto"/>
        <w:jc w:val="left"/>
        <w:rPr>
          <w:rFonts w:ascii="黑体" w:hAnsi="黑体" w:eastAsia="黑体"/>
          <w:b/>
          <w:bCs/>
          <w:sz w:val="24"/>
          <w:highlight w:val="none"/>
        </w:rPr>
      </w:pPr>
      <w:r>
        <w:rPr>
          <w:rFonts w:hint="eastAsia" w:ascii="黑体" w:hAnsi="黑体" w:eastAsia="黑体"/>
          <w:b/>
          <w:bCs/>
          <w:sz w:val="24"/>
          <w:highlight w:val="none"/>
        </w:rPr>
        <w:t>6.中标候选人的推荐方法</w:t>
      </w:r>
    </w:p>
    <w:p w14:paraId="11CBA202">
      <w:pPr>
        <w:adjustRightInd w:val="0"/>
        <w:snapToGrid w:val="0"/>
        <w:spacing w:before="156"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6.1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60D13819">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r>
        <w:rPr>
          <w:rFonts w:hint="eastAsia" w:asciiTheme="minorEastAsia" w:hAnsiTheme="minorEastAsia" w:eastAsiaTheme="minorEastAsia"/>
          <w:bCs/>
          <w:szCs w:val="21"/>
          <w:highlight w:val="none"/>
        </w:rPr>
        <w:t>6.2得分且投标报价相同的并列，按本章第二节规定确定中标候选人。</w:t>
      </w:r>
    </w:p>
    <w:p w14:paraId="4CC6635F">
      <w:pPr>
        <w:adjustRightInd w:val="0"/>
        <w:snapToGrid w:val="0"/>
        <w:spacing w:before="120" w:beforeLines="50" w:line="360" w:lineRule="auto"/>
        <w:ind w:firstLine="420" w:firstLineChars="200"/>
        <w:jc w:val="left"/>
        <w:rPr>
          <w:rFonts w:asciiTheme="minorEastAsia" w:hAnsiTheme="minorEastAsia" w:eastAsiaTheme="minorEastAsia"/>
          <w:bCs/>
          <w:szCs w:val="21"/>
          <w:highlight w:val="none"/>
        </w:rPr>
      </w:pPr>
    </w:p>
    <w:p w14:paraId="35E00EB5">
      <w:pPr>
        <w:pStyle w:val="5"/>
        <w:keepNext w:val="0"/>
        <w:keepLines w:val="0"/>
        <w:widowControl/>
        <w:suppressLineNumbers w:val="0"/>
        <w:spacing w:before="0" w:beforeAutospacing="0" w:after="0" w:afterAutospacing="0" w:line="240" w:lineRule="auto"/>
        <w:ind w:left="0" w:right="0"/>
        <w:jc w:val="both"/>
      </w:pPr>
      <w:r>
        <w:rPr>
          <w:rFonts w:asciiTheme="minorEastAsia" w:hAnsiTheme="minorEastAsia" w:eastAsiaTheme="minorEastAsia"/>
          <w:szCs w:val="21"/>
          <w:highlight w:val="none"/>
        </w:rPr>
        <w:br w:type="page"/>
      </w:r>
      <w:bookmarkStart w:id="41" w:name="_Toc11392"/>
      <w:r>
        <w:rPr>
          <w:rFonts w:hint="eastAsia" w:ascii="宋体" w:hAnsi="宋体" w:eastAsia="宋体" w:cs="宋体"/>
          <w:b/>
          <w:bCs/>
          <w:i w:val="0"/>
          <w:iCs w:val="0"/>
          <w:color w:val="000000"/>
          <w:spacing w:val="0"/>
          <w:w w:val="100"/>
          <w:sz w:val="21"/>
          <w:szCs w:val="21"/>
          <w:vertAlign w:val="baseline"/>
        </w:rPr>
        <w:t>附页1 评标方法及标准表</w:t>
      </w:r>
      <w:bookmarkEnd w:id="41"/>
    </w:p>
    <w:p w14:paraId="477ED441">
      <w:pPr>
        <w:pStyle w:val="38"/>
        <w:keepNext w:val="0"/>
        <w:keepLines w:val="0"/>
        <w:widowControl/>
        <w:suppressLineNumbers w:val="0"/>
        <w:spacing w:before="0" w:beforeAutospacing="0" w:after="0" w:afterAutospacing="0" w:line="23" w:lineRule="atLeast"/>
        <w:ind w:left="0" w:right="0"/>
        <w:jc w:val="center"/>
      </w:pPr>
      <w:r>
        <w:rPr>
          <w:rFonts w:ascii="黑体" w:hAnsi="宋体" w:eastAsia="黑体" w:cs="黑体"/>
          <w:b w:val="0"/>
          <w:bCs w:val="0"/>
          <w:i w:val="0"/>
          <w:iCs w:val="0"/>
          <w:color w:val="000000"/>
          <w:spacing w:val="0"/>
          <w:w w:val="100"/>
          <w:sz w:val="32"/>
          <w:szCs w:val="32"/>
          <w:vertAlign w:val="baseline"/>
        </w:rPr>
        <w:t>评标方法及标准(综合评分法适用</w:t>
      </w:r>
      <w:r>
        <w:rPr>
          <w:rFonts w:hint="eastAsia" w:ascii="黑体" w:hAnsi="宋体" w:eastAsia="黑体" w:cs="黑体"/>
          <w:b w:val="0"/>
          <w:bCs w:val="0"/>
          <w:i w:val="0"/>
          <w:iCs w:val="0"/>
          <w:color w:val="000000"/>
          <w:spacing w:val="0"/>
          <w:w w:val="100"/>
          <w:sz w:val="32"/>
          <w:szCs w:val="32"/>
          <w:vertAlign w:val="baseline"/>
        </w:rPr>
        <w:t>)</w:t>
      </w:r>
    </w:p>
    <w:tbl>
      <w:tblPr>
        <w:tblStyle w:val="4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5308"/>
        <w:gridCol w:w="3418"/>
      </w:tblGrid>
      <w:tr w14:paraId="096E25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05" w:hRule="atLeast"/>
          <w:jc w:val="center"/>
        </w:trPr>
        <w:tc>
          <w:tcPr>
            <w:tcW w:w="8726" w:type="dxa"/>
            <w:gridSpan w:val="2"/>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108527B1">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rPr>
              <w:t>评审因素及权值</w:t>
            </w:r>
          </w:p>
        </w:tc>
      </w:tr>
      <w:tr w14:paraId="098C9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05" w:hRule="atLeast"/>
          <w:jc w:val="center"/>
        </w:trPr>
        <w:tc>
          <w:tcPr>
            <w:tcW w:w="530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3A4412A2">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rPr>
              <w:t>评审因素</w:t>
            </w:r>
          </w:p>
        </w:tc>
        <w:tc>
          <w:tcPr>
            <w:tcW w:w="341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7A8168BF">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rPr>
              <w:t>权值范围</w:t>
            </w:r>
          </w:p>
        </w:tc>
      </w:tr>
      <w:tr w14:paraId="5AB61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05" w:hRule="atLeast"/>
          <w:jc w:val="center"/>
        </w:trPr>
        <w:tc>
          <w:tcPr>
            <w:tcW w:w="530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65E322D3">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rPr>
              <w:t>价格部分（A1）</w:t>
            </w:r>
          </w:p>
        </w:tc>
        <w:tc>
          <w:tcPr>
            <w:tcW w:w="341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2A5441C2">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rPr>
              <w:t>30%</w:t>
            </w:r>
          </w:p>
        </w:tc>
      </w:tr>
      <w:tr w14:paraId="2CEA6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0" w:hRule="atLeast"/>
          <w:jc w:val="center"/>
        </w:trPr>
        <w:tc>
          <w:tcPr>
            <w:tcW w:w="530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63CFE6D1">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rPr>
              <w:t>技术部分（A2）</w:t>
            </w:r>
          </w:p>
        </w:tc>
        <w:tc>
          <w:tcPr>
            <w:tcW w:w="341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2BA60552">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lang w:val="en-US" w:eastAsia="zh-CN"/>
              </w:rPr>
              <w:t>4</w:t>
            </w:r>
            <w:r>
              <w:rPr>
                <w:rFonts w:hint="eastAsia" w:ascii="宋体" w:hAnsi="宋体" w:eastAsia="宋体" w:cs="宋体"/>
                <w:b w:val="0"/>
                <w:bCs w:val="0"/>
                <w:i w:val="0"/>
                <w:iCs w:val="0"/>
                <w:color w:val="000000"/>
                <w:spacing w:val="0"/>
                <w:w w:val="100"/>
                <w:sz w:val="20"/>
                <w:szCs w:val="20"/>
                <w:vertAlign w:val="baseline"/>
              </w:rPr>
              <w:t>0%</w:t>
            </w:r>
          </w:p>
        </w:tc>
      </w:tr>
      <w:tr w14:paraId="2CEA5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05" w:hRule="atLeast"/>
          <w:jc w:val="center"/>
        </w:trPr>
        <w:tc>
          <w:tcPr>
            <w:tcW w:w="530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74D39CB1">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rPr>
              <w:t>商务部分（A3）</w:t>
            </w:r>
          </w:p>
        </w:tc>
        <w:tc>
          <w:tcPr>
            <w:tcW w:w="3418" w:type="dxa"/>
            <w:tcBorders>
              <w:top w:val="single" w:color="000000" w:sz="6" w:space="0"/>
              <w:left w:val="single" w:color="000000" w:sz="6" w:space="0"/>
              <w:bottom w:val="single" w:color="000000" w:sz="6" w:space="0"/>
              <w:right w:val="single" w:color="000000" w:sz="6" w:space="0"/>
            </w:tcBorders>
            <w:noWrap w:val="0"/>
            <w:tcMar>
              <w:top w:w="0" w:type="dxa"/>
              <w:left w:w="0" w:type="dxa"/>
              <w:bottom w:w="0" w:type="dxa"/>
              <w:right w:w="0" w:type="dxa"/>
            </w:tcMar>
            <w:vAlign w:val="center"/>
          </w:tcPr>
          <w:p w14:paraId="372CFC03">
            <w:pPr>
              <w:pStyle w:val="38"/>
              <w:keepNext w:val="0"/>
              <w:keepLines w:val="0"/>
              <w:widowControl/>
              <w:suppressLineNumbers w:val="0"/>
              <w:spacing w:before="0" w:beforeAutospacing="0" w:after="0" w:afterAutospacing="0"/>
              <w:ind w:left="0" w:right="0"/>
              <w:jc w:val="center"/>
            </w:pPr>
            <w:r>
              <w:rPr>
                <w:rFonts w:hint="eastAsia" w:ascii="宋体" w:hAnsi="宋体" w:eastAsia="宋体" w:cs="宋体"/>
                <w:b w:val="0"/>
                <w:bCs w:val="0"/>
                <w:i w:val="0"/>
                <w:iCs w:val="0"/>
                <w:color w:val="000000"/>
                <w:spacing w:val="0"/>
                <w:w w:val="100"/>
                <w:sz w:val="20"/>
                <w:szCs w:val="20"/>
                <w:vertAlign w:val="baseline"/>
                <w:lang w:val="en-US" w:eastAsia="zh-CN"/>
              </w:rPr>
              <w:t>3</w:t>
            </w:r>
            <w:r>
              <w:rPr>
                <w:rFonts w:hint="eastAsia" w:ascii="宋体" w:hAnsi="宋体" w:eastAsia="宋体" w:cs="宋体"/>
                <w:b w:val="0"/>
                <w:bCs w:val="0"/>
                <w:i w:val="0"/>
                <w:iCs w:val="0"/>
                <w:color w:val="000000"/>
                <w:spacing w:val="0"/>
                <w:w w:val="100"/>
                <w:sz w:val="20"/>
                <w:szCs w:val="20"/>
                <w:vertAlign w:val="baseline"/>
              </w:rPr>
              <w:t>0%</w:t>
            </w:r>
          </w:p>
        </w:tc>
      </w:tr>
    </w:tbl>
    <w:p w14:paraId="1A9382C8">
      <w:pPr>
        <w:pStyle w:val="38"/>
        <w:keepNext w:val="0"/>
        <w:keepLines w:val="0"/>
        <w:widowControl/>
        <w:suppressLineNumbers w:val="0"/>
        <w:spacing w:before="156" w:beforeAutospacing="0" w:after="0" w:afterAutospacing="0" w:line="23" w:lineRule="atLeast"/>
        <w:ind w:left="0" w:right="0"/>
        <w:jc w:val="center"/>
      </w:pPr>
      <w:r>
        <w:rPr>
          <w:rFonts w:hint="eastAsia" w:ascii="宋体" w:hAnsi="宋体" w:eastAsia="宋体" w:cs="宋体"/>
          <w:b/>
          <w:bCs/>
          <w:i w:val="0"/>
          <w:iCs w:val="0"/>
          <w:color w:val="000000"/>
          <w:spacing w:val="0"/>
          <w:w w:val="100"/>
          <w:sz w:val="21"/>
          <w:szCs w:val="21"/>
          <w:vertAlign w:val="baseline"/>
        </w:rPr>
        <w:t>附表1.1投标报价评审标准表</w:t>
      </w:r>
    </w:p>
    <w:tbl>
      <w:tblPr>
        <w:tblStyle w:val="4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503"/>
        <w:gridCol w:w="1948"/>
        <w:gridCol w:w="6465"/>
      </w:tblGrid>
      <w:tr w14:paraId="2C478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52" w:hRule="atLeast"/>
          <w:jc w:val="center"/>
        </w:trPr>
        <w:tc>
          <w:tcPr>
            <w:tcW w:w="503" w:type="dxa"/>
            <w:tcBorders>
              <w:top w:val="single" w:color="000000" w:sz="4"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671A39EE">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bCs/>
                <w:i w:val="0"/>
                <w:iCs w:val="0"/>
                <w:color w:val="000000"/>
                <w:spacing w:val="0"/>
                <w:w w:val="100"/>
                <w:sz w:val="20"/>
                <w:szCs w:val="20"/>
                <w:vertAlign w:val="baseline"/>
              </w:rPr>
              <w:t>序号</w:t>
            </w:r>
          </w:p>
        </w:tc>
        <w:tc>
          <w:tcPr>
            <w:tcW w:w="1948" w:type="dxa"/>
            <w:tcBorders>
              <w:top w:val="single" w:color="000000" w:sz="4" w:space="0"/>
              <w:left w:val="single" w:color="auto" w:sz="4" w:space="0"/>
              <w:bottom w:val="single" w:color="000000" w:sz="6" w:space="0"/>
              <w:right w:val="single" w:color="auto" w:sz="4" w:space="0"/>
            </w:tcBorders>
            <w:noWrap w:val="0"/>
            <w:tcMar>
              <w:top w:w="0" w:type="dxa"/>
              <w:left w:w="108" w:type="dxa"/>
              <w:bottom w:w="0" w:type="dxa"/>
              <w:right w:w="108" w:type="dxa"/>
            </w:tcMar>
            <w:vAlign w:val="center"/>
          </w:tcPr>
          <w:p w14:paraId="498E8DB2">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bCs/>
                <w:i w:val="0"/>
                <w:iCs w:val="0"/>
                <w:color w:val="000000"/>
                <w:spacing w:val="0"/>
                <w:w w:val="100"/>
                <w:sz w:val="20"/>
                <w:szCs w:val="20"/>
                <w:vertAlign w:val="baseline"/>
              </w:rPr>
              <w:t>评标因素（分值）</w:t>
            </w:r>
          </w:p>
        </w:tc>
        <w:tc>
          <w:tcPr>
            <w:tcW w:w="6465" w:type="dxa"/>
            <w:tcBorders>
              <w:top w:val="single" w:color="000000" w:sz="4" w:space="0"/>
              <w:left w:val="single" w:color="auto" w:sz="4" w:space="0"/>
              <w:bottom w:val="single" w:color="000000" w:sz="6" w:space="0"/>
              <w:right w:val="single" w:color="000000" w:sz="4" w:space="0"/>
            </w:tcBorders>
            <w:noWrap w:val="0"/>
            <w:tcMar>
              <w:top w:w="0" w:type="dxa"/>
              <w:left w:w="108" w:type="dxa"/>
              <w:bottom w:w="0" w:type="dxa"/>
              <w:right w:w="108" w:type="dxa"/>
            </w:tcMar>
            <w:vAlign w:val="center"/>
          </w:tcPr>
          <w:p w14:paraId="2D36E643">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bCs/>
                <w:i w:val="0"/>
                <w:iCs w:val="0"/>
                <w:color w:val="000000"/>
                <w:spacing w:val="0"/>
                <w:w w:val="100"/>
                <w:sz w:val="20"/>
                <w:szCs w:val="20"/>
                <w:vertAlign w:val="baseline"/>
              </w:rPr>
              <w:t>评标标准</w:t>
            </w:r>
          </w:p>
        </w:tc>
      </w:tr>
      <w:tr w14:paraId="7C293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14" w:hRule="atLeast"/>
          <w:jc w:val="center"/>
        </w:trPr>
        <w:tc>
          <w:tcPr>
            <w:tcW w:w="503" w:type="dxa"/>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26FAE0DF">
            <w:pPr>
              <w:pStyle w:val="38"/>
              <w:keepNext w:val="0"/>
              <w:keepLines w:val="0"/>
              <w:pageBreakBefore w:val="0"/>
              <w:widowControl/>
              <w:suppressLineNumbers w:val="0"/>
              <w:kinsoku/>
              <w:wordWrap/>
              <w:overflowPunct/>
              <w:topLinePunct w:val="0"/>
              <w:autoSpaceDE/>
              <w:autoSpaceDN/>
              <w:bidi w:val="0"/>
              <w:adjustRightInd/>
              <w:snapToGrid/>
              <w:spacing w:before="156"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1</w:t>
            </w:r>
          </w:p>
        </w:tc>
        <w:tc>
          <w:tcPr>
            <w:tcW w:w="1948" w:type="dxa"/>
            <w:tcBorders>
              <w:top w:val="single" w:color="000000" w:sz="6" w:space="0"/>
              <w:left w:val="single" w:color="auto" w:sz="4" w:space="0"/>
              <w:bottom w:val="single" w:color="000000" w:sz="6" w:space="0"/>
              <w:right w:val="single" w:color="auto" w:sz="4" w:space="0"/>
            </w:tcBorders>
            <w:noWrap w:val="0"/>
            <w:tcMar>
              <w:top w:w="0" w:type="dxa"/>
              <w:left w:w="108" w:type="dxa"/>
              <w:bottom w:w="0" w:type="dxa"/>
              <w:right w:w="108" w:type="dxa"/>
            </w:tcMar>
            <w:vAlign w:val="center"/>
          </w:tcPr>
          <w:p w14:paraId="0E2C510E">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价格评价项</w:t>
            </w:r>
          </w:p>
          <w:p w14:paraId="0F7BEAEC">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（F=100分）</w:t>
            </w:r>
          </w:p>
        </w:tc>
        <w:tc>
          <w:tcPr>
            <w:tcW w:w="6465" w:type="dxa"/>
            <w:tcBorders>
              <w:top w:val="single" w:color="000000" w:sz="6" w:space="0"/>
              <w:left w:val="single" w:color="auto" w:sz="4" w:space="0"/>
              <w:bottom w:val="single" w:color="000000" w:sz="6" w:space="0"/>
              <w:right w:val="single" w:color="000000" w:sz="4" w:space="0"/>
            </w:tcBorders>
            <w:noWrap w:val="0"/>
            <w:tcMar>
              <w:top w:w="0" w:type="dxa"/>
              <w:left w:w="108" w:type="dxa"/>
              <w:bottom w:w="0" w:type="dxa"/>
              <w:right w:w="108" w:type="dxa"/>
            </w:tcMar>
            <w:vAlign w:val="center"/>
          </w:tcPr>
          <w:p w14:paraId="49376796">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1、满足招标文件要求且最终评审价格最低的投标人报价为评标基准价，其价格分为满分。其他投标人的价格分统一按照下列公式计算：报价得分＝（评标基准价／投标报价）×100。</w:t>
            </w:r>
          </w:p>
          <w:p w14:paraId="75F9B511">
            <w:pPr>
              <w:keepNext w:val="0"/>
              <w:keepLines w:val="0"/>
              <w:pageBreakBefore w:val="0"/>
              <w:tabs>
                <w:tab w:val="left" w:pos="381"/>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0"/>
                <w:szCs w:val="20"/>
                <w:lang w:val="en-US" w:eastAsia="zh-CN"/>
              </w:rPr>
            </w:pPr>
            <w:r>
              <w:rPr>
                <w:rFonts w:hint="eastAsia" w:ascii="宋体" w:hAnsi="宋体" w:eastAsia="宋体" w:cs="宋体"/>
                <w:color w:val="auto"/>
                <w:sz w:val="20"/>
                <w:szCs w:val="20"/>
                <w:lang w:val="en-US" w:eastAsia="zh-CN"/>
              </w:rPr>
              <w:t>注：一、评审中出现下列情形之一的，评审委员会应当启动异常低价投标(响应)审查程序：</w:t>
            </w:r>
            <w:r>
              <w:rPr>
                <w:rFonts w:hint="eastAsia" w:ascii="宋体" w:hAnsi="宋体" w:eastAsia="宋体" w:cs="宋体"/>
                <w:color w:val="auto"/>
                <w:sz w:val="20"/>
                <w:szCs w:val="20"/>
                <w:lang w:val="en-US" w:eastAsia="zh-CN"/>
              </w:rPr>
              <w:br w:type="textWrapping"/>
            </w:r>
            <w:r>
              <w:rPr>
                <w:rFonts w:hint="eastAsia" w:ascii="宋体" w:hAnsi="宋体" w:eastAsia="宋体" w:cs="宋体"/>
                <w:color w:val="auto"/>
                <w:sz w:val="20"/>
                <w:szCs w:val="20"/>
                <w:lang w:val="en-US" w:eastAsia="zh-CN"/>
              </w:rPr>
              <w:t>1.投标（响应）报价低于全部通过符合性审查供应商投标（响应）报价平均值65%的，即投标（响应）报价&lt;全部通过符合性审查供应商投标（响应）报价平均值×65%；</w:t>
            </w:r>
          </w:p>
          <w:p w14:paraId="471A82CB">
            <w:pPr>
              <w:keepNext w:val="0"/>
              <w:keepLines w:val="0"/>
              <w:pageBreakBefore w:val="0"/>
              <w:tabs>
                <w:tab w:val="left" w:pos="381"/>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0"/>
                <w:szCs w:val="20"/>
                <w:lang w:val="en-US" w:eastAsia="zh-CN"/>
              </w:rPr>
            </w:pPr>
            <w:r>
              <w:rPr>
                <w:rFonts w:hint="eastAsia" w:ascii="宋体" w:hAnsi="宋体" w:eastAsia="宋体" w:cs="宋体"/>
                <w:color w:val="auto"/>
                <w:sz w:val="20"/>
                <w:szCs w:val="20"/>
                <w:lang w:val="en-US" w:eastAsia="zh-CN"/>
              </w:rPr>
              <w:t>2.投标（响应）报价低于通过符合性审查的次低报价供应商投标（响应）报价65%的，即投标（响应）报价&lt;通过符合性审查的次低报价供应商投标（响应）报价×65%；</w:t>
            </w:r>
          </w:p>
          <w:p w14:paraId="5EA15D74">
            <w:pPr>
              <w:keepNext w:val="0"/>
              <w:keepLines w:val="0"/>
              <w:pageBreakBefore w:val="0"/>
              <w:tabs>
                <w:tab w:val="left" w:pos="381"/>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0"/>
                <w:szCs w:val="20"/>
                <w:lang w:val="en-US" w:eastAsia="zh-CN"/>
              </w:rPr>
            </w:pPr>
            <w:r>
              <w:rPr>
                <w:rFonts w:hint="eastAsia" w:ascii="宋体" w:hAnsi="宋体" w:eastAsia="宋体" w:cs="宋体"/>
                <w:color w:val="auto"/>
                <w:sz w:val="20"/>
                <w:szCs w:val="20"/>
                <w:lang w:val="en-US" w:eastAsia="zh-CN"/>
              </w:rPr>
              <w:t>3.投标（响应）报价低于采购项目最高限价65%的，即投标（响应）报价&lt;采购项目最高限价×65%；</w:t>
            </w:r>
          </w:p>
          <w:p w14:paraId="1C1B2B2C">
            <w:pPr>
              <w:keepNext w:val="0"/>
              <w:keepLines w:val="0"/>
              <w:pageBreakBefore w:val="0"/>
              <w:tabs>
                <w:tab w:val="left" w:pos="381"/>
              </w:tabs>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0"/>
                <w:szCs w:val="20"/>
                <w:lang w:val="en-US" w:eastAsia="zh-CN"/>
              </w:rPr>
            </w:pPr>
            <w:r>
              <w:rPr>
                <w:rFonts w:hint="eastAsia" w:ascii="宋体" w:hAnsi="宋体" w:eastAsia="宋体" w:cs="宋体"/>
                <w:color w:val="auto"/>
                <w:sz w:val="20"/>
                <w:szCs w:val="20"/>
                <w:lang w:val="en-US" w:eastAsia="zh-CN"/>
              </w:rPr>
              <w:t>4.评审委员会基于专业判断，认为供应商报价过低，有可能影响产品质量或者不能诚信履约的其他情形。</w:t>
            </w:r>
          </w:p>
          <w:p w14:paraId="060191B4">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auto"/>
                <w:sz w:val="20"/>
                <w:szCs w:val="20"/>
                <w:lang w:val="en-US" w:eastAsia="zh-CN"/>
              </w:rPr>
            </w:pPr>
            <w:r>
              <w:rPr>
                <w:rFonts w:hint="eastAsia" w:ascii="宋体" w:hAnsi="宋体" w:eastAsia="宋体" w:cs="宋体"/>
                <w:color w:val="auto"/>
                <w:sz w:val="20"/>
                <w:szCs w:val="20"/>
                <w:lang w:val="en-US" w:eastAsia="zh-CN"/>
              </w:rPr>
              <w:t>评审委员会启动异常低价投标(响应)审查后，应当要求相关供:应商在评审现场合理的时间内(30分钟)对投标(响应)价格作出解释，提供项目具体成本测算等与报价合理性相关的书面说明及必要:的证明材料，包括但不限于原材料成本、人工成本、制造费用等。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1991C551">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auto"/>
                <w:sz w:val="20"/>
                <w:szCs w:val="20"/>
                <w:lang w:val="en-US" w:eastAsia="zh-CN"/>
              </w:rPr>
            </w:pPr>
            <w:r>
              <w:rPr>
                <w:rFonts w:hint="eastAsia" w:ascii="宋体" w:hAnsi="宋体" w:eastAsia="宋体" w:cs="宋体"/>
                <w:color w:val="auto"/>
                <w:sz w:val="20"/>
                <w:szCs w:val="20"/>
                <w:lang w:val="en-US" w:eastAsia="zh-CN"/>
              </w:rPr>
              <w:t>二、因落实支持中小企业、本国产品、“节能产品”或“环境标志产品”政府采购政策（价格评审优惠）进行价格调整的，以调整后的价格计算评审基准价和投标报价。</w:t>
            </w:r>
          </w:p>
        </w:tc>
      </w:tr>
      <w:tr w14:paraId="214CC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70" w:hRule="atLeast"/>
          <w:jc w:val="center"/>
        </w:trPr>
        <w:tc>
          <w:tcPr>
            <w:tcW w:w="503" w:type="dxa"/>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7BBD0C6E">
            <w:pPr>
              <w:pStyle w:val="38"/>
              <w:keepNext w:val="0"/>
              <w:keepLines w:val="0"/>
              <w:pageBreakBefore w:val="0"/>
              <w:widowControl/>
              <w:suppressLineNumbers w:val="0"/>
              <w:kinsoku/>
              <w:wordWrap/>
              <w:overflowPunct/>
              <w:topLinePunct w:val="0"/>
              <w:autoSpaceDE/>
              <w:autoSpaceDN/>
              <w:bidi w:val="0"/>
              <w:adjustRightInd/>
              <w:snapToGrid/>
              <w:spacing w:before="156"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2</w:t>
            </w:r>
          </w:p>
        </w:tc>
        <w:tc>
          <w:tcPr>
            <w:tcW w:w="1948" w:type="dxa"/>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5D1D3BD0">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优先采购加分（F</w:t>
            </w:r>
            <w:r>
              <w:rPr>
                <w:rFonts w:hint="eastAsia" w:ascii="宋体" w:hAnsi="宋体" w:eastAsia="宋体" w:cs="宋体"/>
                <w:b w:val="0"/>
                <w:bCs w:val="0"/>
                <w:i w:val="0"/>
                <w:iCs w:val="0"/>
                <w:color w:val="000000"/>
                <w:spacing w:val="0"/>
                <w:w w:val="100"/>
                <w:sz w:val="20"/>
                <w:szCs w:val="20"/>
                <w:vertAlign w:val="subscript"/>
              </w:rPr>
              <w:t>优先采购加分</w:t>
            </w:r>
            <w:r>
              <w:rPr>
                <w:rFonts w:hint="eastAsia" w:ascii="宋体" w:hAnsi="宋体" w:eastAsia="宋体" w:cs="宋体"/>
                <w:b w:val="0"/>
                <w:bCs w:val="0"/>
                <w:i w:val="0"/>
                <w:iCs w:val="0"/>
                <w:color w:val="000000"/>
                <w:spacing w:val="0"/>
                <w:w w:val="100"/>
                <w:sz w:val="20"/>
                <w:szCs w:val="20"/>
                <w:vertAlign w:val="baseline"/>
              </w:rPr>
              <w:t>）</w:t>
            </w:r>
          </w:p>
        </w:tc>
        <w:tc>
          <w:tcPr>
            <w:tcW w:w="6465" w:type="dxa"/>
            <w:tcBorders>
              <w:top w:val="single" w:color="000000" w:sz="6" w:space="0"/>
              <w:left w:val="single" w:color="000000" w:sz="6" w:space="0"/>
              <w:bottom w:val="single" w:color="auto" w:sz="4" w:space="0"/>
              <w:right w:val="single" w:color="000000" w:sz="4" w:space="0"/>
            </w:tcBorders>
            <w:noWrap w:val="0"/>
            <w:tcMar>
              <w:top w:w="0" w:type="dxa"/>
              <w:left w:w="108" w:type="dxa"/>
              <w:bottom w:w="0" w:type="dxa"/>
              <w:right w:w="108" w:type="dxa"/>
            </w:tcMar>
            <w:vAlign w:val="center"/>
          </w:tcPr>
          <w:p w14:paraId="133C41E8">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0"/>
                <w:szCs w:val="20"/>
              </w:rPr>
            </w:pPr>
          </w:p>
        </w:tc>
      </w:tr>
      <w:tr w14:paraId="0DBF2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10" w:hRule="atLeast"/>
          <w:jc w:val="center"/>
        </w:trPr>
        <w:tc>
          <w:tcPr>
            <w:tcW w:w="503" w:type="dxa"/>
            <w:tcBorders>
              <w:top w:val="single" w:color="000000" w:sz="6" w:space="0"/>
              <w:left w:val="single" w:color="000000" w:sz="4" w:space="0"/>
              <w:bottom w:val="single" w:color="000000" w:sz="4" w:space="0"/>
              <w:right w:val="single" w:color="auto" w:sz="4" w:space="0"/>
            </w:tcBorders>
            <w:noWrap w:val="0"/>
            <w:tcMar>
              <w:top w:w="0" w:type="dxa"/>
              <w:left w:w="108" w:type="dxa"/>
              <w:bottom w:w="0" w:type="dxa"/>
              <w:right w:w="108" w:type="dxa"/>
            </w:tcMar>
            <w:vAlign w:val="center"/>
          </w:tcPr>
          <w:p w14:paraId="10427264">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w:t>
            </w:r>
          </w:p>
        </w:tc>
        <w:tc>
          <w:tcPr>
            <w:tcW w:w="8413" w:type="dxa"/>
            <w:gridSpan w:val="2"/>
            <w:tcBorders>
              <w:top w:val="single" w:color="000000" w:sz="6" w:space="0"/>
              <w:left w:val="single" w:color="auto" w:sz="4" w:space="0"/>
              <w:bottom w:val="single" w:color="000000" w:sz="4" w:space="0"/>
              <w:right w:val="single" w:color="000000" w:sz="4" w:space="0"/>
            </w:tcBorders>
            <w:noWrap w:val="0"/>
            <w:tcMar>
              <w:top w:w="0" w:type="dxa"/>
              <w:left w:w="108" w:type="dxa"/>
              <w:bottom w:w="0" w:type="dxa"/>
              <w:right w:w="108" w:type="dxa"/>
            </w:tcMar>
            <w:vAlign w:val="center"/>
          </w:tcPr>
          <w:p w14:paraId="60A9A79F">
            <w:pPr>
              <w:pStyle w:val="3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F</w:t>
            </w:r>
            <w:r>
              <w:rPr>
                <w:rFonts w:hint="eastAsia" w:ascii="宋体" w:hAnsi="宋体" w:eastAsia="宋体" w:cs="宋体"/>
                <w:b w:val="0"/>
                <w:bCs w:val="0"/>
                <w:i w:val="0"/>
                <w:iCs w:val="0"/>
                <w:color w:val="000000"/>
                <w:spacing w:val="0"/>
                <w:w w:val="100"/>
                <w:sz w:val="20"/>
                <w:szCs w:val="20"/>
                <w:vertAlign w:val="subscript"/>
              </w:rPr>
              <w:t>1</w:t>
            </w:r>
            <w:r>
              <w:rPr>
                <w:rFonts w:hint="eastAsia" w:ascii="宋体" w:hAnsi="宋体" w:eastAsia="宋体" w:cs="宋体"/>
                <w:b w:val="0"/>
                <w:bCs w:val="0"/>
                <w:i w:val="0"/>
                <w:iCs w:val="0"/>
                <w:color w:val="000000"/>
                <w:spacing w:val="0"/>
                <w:w w:val="100"/>
                <w:sz w:val="20"/>
                <w:szCs w:val="20"/>
                <w:vertAlign w:val="baseline"/>
              </w:rPr>
              <w:t>=F+ F</w:t>
            </w:r>
            <w:r>
              <w:rPr>
                <w:rFonts w:hint="eastAsia" w:ascii="宋体" w:hAnsi="宋体" w:eastAsia="宋体" w:cs="宋体"/>
                <w:b w:val="0"/>
                <w:bCs w:val="0"/>
                <w:i w:val="0"/>
                <w:iCs w:val="0"/>
                <w:color w:val="000000"/>
                <w:spacing w:val="0"/>
                <w:w w:val="100"/>
                <w:sz w:val="20"/>
                <w:szCs w:val="20"/>
                <w:vertAlign w:val="subscript"/>
              </w:rPr>
              <w:t>优先采购加分</w:t>
            </w:r>
          </w:p>
        </w:tc>
      </w:tr>
    </w:tbl>
    <w:p w14:paraId="7194276C">
      <w:pPr>
        <w:pStyle w:val="38"/>
        <w:keepNext w:val="0"/>
        <w:keepLines w:val="0"/>
        <w:widowControl/>
        <w:suppressLineNumbers w:val="0"/>
        <w:spacing w:before="156" w:beforeAutospacing="0" w:after="0" w:afterAutospacing="0" w:line="23" w:lineRule="atLeast"/>
        <w:ind w:left="0" w:right="0"/>
        <w:jc w:val="center"/>
      </w:pPr>
      <w:r>
        <w:rPr>
          <w:rFonts w:hint="eastAsia" w:ascii="宋体" w:hAnsi="宋体" w:eastAsia="宋体" w:cs="宋体"/>
          <w:b/>
          <w:bCs/>
          <w:i w:val="0"/>
          <w:iCs w:val="0"/>
          <w:color w:val="000000"/>
          <w:spacing w:val="0"/>
          <w:w w:val="100"/>
          <w:sz w:val="21"/>
          <w:szCs w:val="21"/>
          <w:vertAlign w:val="baseline"/>
        </w:rPr>
        <w:t>附表1.2技术部分评审标准表</w:t>
      </w:r>
    </w:p>
    <w:tbl>
      <w:tblPr>
        <w:tblStyle w:val="4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503"/>
        <w:gridCol w:w="1383"/>
        <w:gridCol w:w="1207"/>
        <w:gridCol w:w="698"/>
        <w:gridCol w:w="5149"/>
      </w:tblGrid>
      <w:tr w14:paraId="76C3E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52" w:hRule="atLeast"/>
          <w:jc w:val="center"/>
        </w:trPr>
        <w:tc>
          <w:tcPr>
            <w:tcW w:w="503" w:type="dxa"/>
            <w:tcBorders>
              <w:top w:val="single" w:color="000000" w:sz="4"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782C31FB">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bCs/>
                <w:i w:val="0"/>
                <w:iCs w:val="0"/>
                <w:color w:val="auto"/>
                <w:spacing w:val="0"/>
                <w:w w:val="100"/>
                <w:sz w:val="20"/>
                <w:szCs w:val="20"/>
                <w:highlight w:val="none"/>
                <w:vertAlign w:val="baseline"/>
              </w:rPr>
              <w:t>序号</w:t>
            </w:r>
          </w:p>
        </w:tc>
        <w:tc>
          <w:tcPr>
            <w:tcW w:w="3288" w:type="dxa"/>
            <w:gridSpan w:val="3"/>
            <w:tcBorders>
              <w:top w:val="single" w:color="000000" w:sz="4"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20DA5DE3">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bCs/>
                <w:i w:val="0"/>
                <w:iCs w:val="0"/>
                <w:color w:val="auto"/>
                <w:spacing w:val="0"/>
                <w:w w:val="100"/>
                <w:sz w:val="20"/>
                <w:szCs w:val="20"/>
                <w:highlight w:val="none"/>
                <w:vertAlign w:val="baseline"/>
              </w:rPr>
              <w:t>评标因素（分值）</w:t>
            </w:r>
          </w:p>
        </w:tc>
        <w:tc>
          <w:tcPr>
            <w:tcW w:w="5149" w:type="dxa"/>
            <w:tcBorders>
              <w:top w:val="single" w:color="000000" w:sz="4" w:space="0"/>
              <w:left w:val="single" w:color="auto" w:sz="4" w:space="0"/>
              <w:bottom w:val="single" w:color="000000" w:sz="6" w:space="0"/>
              <w:right w:val="single" w:color="000000" w:sz="4" w:space="0"/>
            </w:tcBorders>
            <w:noWrap w:val="0"/>
            <w:tcMar>
              <w:top w:w="0" w:type="dxa"/>
              <w:left w:w="108" w:type="dxa"/>
              <w:bottom w:w="0" w:type="dxa"/>
              <w:right w:w="108" w:type="dxa"/>
            </w:tcMar>
            <w:vAlign w:val="center"/>
          </w:tcPr>
          <w:p w14:paraId="1FDF207A">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bCs/>
                <w:i w:val="0"/>
                <w:iCs w:val="0"/>
                <w:color w:val="auto"/>
                <w:spacing w:val="0"/>
                <w:w w:val="100"/>
                <w:sz w:val="20"/>
                <w:szCs w:val="20"/>
                <w:highlight w:val="none"/>
                <w:vertAlign w:val="baseline"/>
              </w:rPr>
              <w:t>评标标准</w:t>
            </w:r>
          </w:p>
        </w:tc>
      </w:tr>
      <w:tr w14:paraId="18418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0" w:hRule="atLeast"/>
          <w:jc w:val="center"/>
        </w:trPr>
        <w:tc>
          <w:tcPr>
            <w:tcW w:w="503" w:type="dxa"/>
            <w:vMerge w:val="restart"/>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439C20B4">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1</w:t>
            </w:r>
          </w:p>
        </w:tc>
        <w:tc>
          <w:tcPr>
            <w:tcW w:w="1383" w:type="dxa"/>
            <w:vMerge w:val="restart"/>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26289F9A">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技术评价项</w:t>
            </w:r>
          </w:p>
          <w:p w14:paraId="659B78CB">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（F=100分）</w:t>
            </w:r>
          </w:p>
        </w:tc>
        <w:tc>
          <w:tcPr>
            <w:tcW w:w="1207" w:type="dxa"/>
            <w:tcBorders>
              <w:top w:val="single" w:color="000000" w:sz="6" w:space="0"/>
              <w:left w:val="single" w:color="000000" w:sz="6" w:space="0"/>
              <w:bottom w:val="single" w:color="auto" w:sz="4" w:space="0"/>
              <w:right w:val="single" w:color="000000" w:sz="6" w:space="0"/>
            </w:tcBorders>
            <w:noWrap w:val="0"/>
            <w:tcMar>
              <w:top w:w="0" w:type="dxa"/>
              <w:left w:w="108" w:type="dxa"/>
              <w:bottom w:w="0" w:type="dxa"/>
              <w:right w:w="108" w:type="dxa"/>
            </w:tcMar>
            <w:vAlign w:val="center"/>
          </w:tcPr>
          <w:p w14:paraId="52D3EE18">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产品配置及技术参数（</w:t>
            </w:r>
            <w:r>
              <w:rPr>
                <w:rFonts w:hint="eastAsia" w:ascii="宋体" w:hAnsi="宋体" w:eastAsia="宋体" w:cs="宋体"/>
                <w:b w:val="0"/>
                <w:bCs w:val="0"/>
                <w:i w:val="0"/>
                <w:iCs w:val="0"/>
                <w:color w:val="auto"/>
                <w:spacing w:val="0"/>
                <w:w w:val="100"/>
                <w:sz w:val="20"/>
                <w:szCs w:val="20"/>
                <w:highlight w:val="none"/>
                <w:vertAlign w:val="baseline"/>
                <w:lang w:val="en-US" w:eastAsia="zh-CN"/>
              </w:rPr>
              <w:t>50</w:t>
            </w:r>
            <w:r>
              <w:rPr>
                <w:rFonts w:hint="eastAsia" w:ascii="宋体" w:hAnsi="宋体" w:eastAsia="宋体" w:cs="宋体"/>
                <w:b w:val="0"/>
                <w:bCs w:val="0"/>
                <w:i w:val="0"/>
                <w:iCs w:val="0"/>
                <w:color w:val="auto"/>
                <w:spacing w:val="0"/>
                <w:w w:val="100"/>
                <w:sz w:val="20"/>
                <w:szCs w:val="20"/>
                <w:highlight w:val="none"/>
                <w:vertAlign w:val="baseline"/>
              </w:rPr>
              <w:t>分）</w:t>
            </w:r>
          </w:p>
        </w:tc>
        <w:tc>
          <w:tcPr>
            <w:tcW w:w="698" w:type="dxa"/>
            <w:tcBorders>
              <w:top w:val="single" w:color="000000" w:sz="6" w:space="0"/>
              <w:left w:val="single" w:color="000000" w:sz="6" w:space="0"/>
              <w:bottom w:val="single" w:color="auto" w:sz="4" w:space="0"/>
              <w:right w:val="single" w:color="auto" w:sz="4" w:space="0"/>
            </w:tcBorders>
            <w:noWrap w:val="0"/>
            <w:tcMar>
              <w:top w:w="0" w:type="dxa"/>
              <w:left w:w="108" w:type="dxa"/>
              <w:bottom w:w="0" w:type="dxa"/>
              <w:right w:w="108" w:type="dxa"/>
            </w:tcMar>
            <w:vAlign w:val="center"/>
          </w:tcPr>
          <w:p w14:paraId="3CE9DB05">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b w:val="0"/>
                <w:bCs w:val="0"/>
                <w:i w:val="0"/>
                <w:iCs w:val="0"/>
                <w:color w:val="auto"/>
                <w:spacing w:val="0"/>
                <w:w w:val="100"/>
                <w:sz w:val="20"/>
                <w:szCs w:val="20"/>
                <w:highlight w:val="none"/>
                <w:vertAlign w:val="baseline"/>
                <w:lang w:val="en-US" w:eastAsia="zh-CN"/>
              </w:rPr>
            </w:pPr>
            <w:r>
              <w:rPr>
                <w:rFonts w:hint="eastAsia" w:ascii="宋体" w:hAnsi="宋体" w:eastAsia="宋体" w:cs="宋体"/>
                <w:b w:val="0"/>
                <w:bCs w:val="0"/>
                <w:i w:val="0"/>
                <w:iCs w:val="0"/>
                <w:color w:val="auto"/>
                <w:spacing w:val="0"/>
                <w:w w:val="100"/>
                <w:sz w:val="20"/>
                <w:szCs w:val="20"/>
                <w:highlight w:val="none"/>
                <w:vertAlign w:val="baseline"/>
                <w:lang w:val="en-US" w:eastAsia="zh-CN"/>
              </w:rPr>
              <w:t>50</w:t>
            </w:r>
          </w:p>
        </w:tc>
        <w:tc>
          <w:tcPr>
            <w:tcW w:w="5149" w:type="dxa"/>
            <w:tcBorders>
              <w:top w:val="single" w:color="000000" w:sz="6"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0D6C2EC1">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left"/>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lang w:val="en-US" w:eastAsia="zh-CN"/>
              </w:rPr>
              <w:t>投标产品技术参数中带“▲”号条款（共25项）每有一条满足要求的计2分，本项最多计50分。</w:t>
            </w:r>
          </w:p>
          <w:p w14:paraId="4EE01553">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left"/>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lang w:val="en-US" w:eastAsia="zh-CN"/>
              </w:rPr>
              <w:t>（评审依据：招标文件技术参数中需要提供证明材料，按招标文件要求提供，如未按要求提供的，视为负偏离）</w:t>
            </w:r>
          </w:p>
        </w:tc>
      </w:tr>
      <w:tr w14:paraId="34012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67" w:hRule="atLeast"/>
          <w:jc w:val="center"/>
        </w:trPr>
        <w:tc>
          <w:tcPr>
            <w:tcW w:w="503" w:type="dxa"/>
            <w:vMerge w:val="continue"/>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5CEC1F65">
            <w:pPr>
              <w:keepNext w:val="0"/>
              <w:keepLines w:val="0"/>
              <w:pageBreakBefore w:val="0"/>
              <w:kinsoku/>
              <w:wordWrap/>
              <w:overflowPunct/>
              <w:topLinePunct w:val="0"/>
              <w:autoSpaceDE/>
              <w:autoSpaceDN/>
              <w:bidi w:val="0"/>
              <w:adjustRightInd/>
              <w:snapToGrid/>
              <w:spacing w:line="360" w:lineRule="auto"/>
              <w:rPr>
                <w:rFonts w:hint="eastAsia" w:ascii="宋体" w:hAnsi="宋体" w:eastAsia="宋体" w:cs="宋体"/>
                <w:color w:val="auto"/>
                <w:sz w:val="20"/>
                <w:szCs w:val="20"/>
                <w:highlight w:val="none"/>
              </w:rPr>
            </w:pPr>
          </w:p>
        </w:tc>
        <w:tc>
          <w:tcPr>
            <w:tcW w:w="1383" w:type="dxa"/>
            <w:vMerge w:val="continue"/>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56FF4DA8">
            <w:pPr>
              <w:keepNext w:val="0"/>
              <w:keepLines w:val="0"/>
              <w:pageBreakBefore w:val="0"/>
              <w:kinsoku/>
              <w:wordWrap/>
              <w:overflowPunct/>
              <w:topLinePunct w:val="0"/>
              <w:autoSpaceDE/>
              <w:autoSpaceDN/>
              <w:bidi w:val="0"/>
              <w:adjustRightInd/>
              <w:snapToGrid/>
              <w:spacing w:line="360" w:lineRule="auto"/>
              <w:rPr>
                <w:rFonts w:hint="eastAsia" w:ascii="宋体" w:hAnsi="宋体" w:eastAsia="宋体" w:cs="宋体"/>
                <w:color w:val="auto"/>
                <w:sz w:val="20"/>
                <w:szCs w:val="20"/>
                <w:highlight w:val="none"/>
              </w:rPr>
            </w:pPr>
          </w:p>
        </w:tc>
        <w:tc>
          <w:tcPr>
            <w:tcW w:w="1207" w:type="dxa"/>
            <w:tcBorders>
              <w:top w:val="single" w:color="auto" w:sz="4" w:space="0"/>
              <w:left w:val="single" w:color="000000" w:sz="6" w:space="0"/>
              <w:bottom w:val="single" w:color="auto" w:sz="4" w:space="0"/>
              <w:right w:val="single" w:color="000000" w:sz="6" w:space="0"/>
            </w:tcBorders>
            <w:noWrap w:val="0"/>
            <w:tcMar>
              <w:top w:w="0" w:type="dxa"/>
              <w:left w:w="108" w:type="dxa"/>
              <w:bottom w:w="0" w:type="dxa"/>
              <w:right w:w="108" w:type="dxa"/>
            </w:tcMar>
            <w:vAlign w:val="center"/>
          </w:tcPr>
          <w:p w14:paraId="6A72EC50">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产品质量(</w:t>
            </w:r>
            <w:r>
              <w:rPr>
                <w:rFonts w:hint="eastAsia" w:ascii="宋体" w:hAnsi="宋体" w:eastAsia="宋体" w:cs="宋体"/>
                <w:b w:val="0"/>
                <w:bCs w:val="0"/>
                <w:i w:val="0"/>
                <w:iCs w:val="0"/>
                <w:color w:val="auto"/>
                <w:spacing w:val="0"/>
                <w:w w:val="100"/>
                <w:sz w:val="20"/>
                <w:szCs w:val="20"/>
                <w:highlight w:val="none"/>
                <w:vertAlign w:val="baseline"/>
                <w:lang w:val="en-US" w:eastAsia="zh-CN"/>
              </w:rPr>
              <w:t>30</w:t>
            </w:r>
            <w:r>
              <w:rPr>
                <w:rFonts w:hint="eastAsia" w:ascii="宋体" w:hAnsi="宋体" w:eastAsia="宋体" w:cs="宋体"/>
                <w:b w:val="0"/>
                <w:bCs w:val="0"/>
                <w:i w:val="0"/>
                <w:iCs w:val="0"/>
                <w:color w:val="auto"/>
                <w:spacing w:val="0"/>
                <w:w w:val="100"/>
                <w:sz w:val="20"/>
                <w:szCs w:val="20"/>
                <w:highlight w:val="none"/>
                <w:vertAlign w:val="baseline"/>
              </w:rPr>
              <w:t>分)</w:t>
            </w:r>
          </w:p>
        </w:tc>
        <w:tc>
          <w:tcPr>
            <w:tcW w:w="698" w:type="dxa"/>
            <w:tcBorders>
              <w:top w:val="single" w:color="auto" w:sz="4" w:space="0"/>
              <w:left w:val="single" w:color="000000" w:sz="6" w:space="0"/>
              <w:bottom w:val="single" w:color="auto" w:sz="4" w:space="0"/>
              <w:right w:val="single" w:color="auto" w:sz="4" w:space="0"/>
            </w:tcBorders>
            <w:noWrap w:val="0"/>
            <w:tcMar>
              <w:top w:w="0" w:type="dxa"/>
              <w:left w:w="108" w:type="dxa"/>
              <w:bottom w:w="0" w:type="dxa"/>
              <w:right w:w="108" w:type="dxa"/>
            </w:tcMar>
            <w:vAlign w:val="center"/>
          </w:tcPr>
          <w:p w14:paraId="3F1D8142">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lang w:val="en-US"/>
              </w:rPr>
            </w:pPr>
            <w:r>
              <w:rPr>
                <w:rFonts w:hint="eastAsia" w:ascii="宋体" w:hAnsi="宋体" w:eastAsia="宋体" w:cs="宋体"/>
                <w:b w:val="0"/>
                <w:bCs w:val="0"/>
                <w:i w:val="0"/>
                <w:iCs w:val="0"/>
                <w:color w:val="auto"/>
                <w:spacing w:val="0"/>
                <w:w w:val="100"/>
                <w:sz w:val="20"/>
                <w:szCs w:val="20"/>
                <w:highlight w:val="none"/>
                <w:vertAlign w:val="baseline"/>
                <w:lang w:val="en-US" w:eastAsia="zh-CN"/>
              </w:rPr>
              <w:t>30</w:t>
            </w:r>
          </w:p>
        </w:tc>
        <w:tc>
          <w:tcPr>
            <w:tcW w:w="5149" w:type="dxa"/>
            <w:tcBorders>
              <w:top w:val="single" w:color="auto" w:sz="4"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49E224F9">
            <w:pPr>
              <w:keepNext w:val="0"/>
              <w:keepLines w:val="0"/>
              <w:pageBreakBefore w:val="0"/>
              <w:numPr>
                <w:ilvl w:val="0"/>
                <w:numId w:val="7"/>
              </w:numPr>
              <w:kinsoku/>
              <w:wordWrap/>
              <w:overflowPunct/>
              <w:topLinePunct w:val="0"/>
              <w:autoSpaceDE/>
              <w:autoSpaceDN/>
              <w:bidi w:val="0"/>
              <w:adjustRightInd/>
              <w:snapToGrid/>
              <w:spacing w:line="360" w:lineRule="auto"/>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sz w:val="20"/>
                <w:szCs w:val="20"/>
                <w:highlight w:val="none"/>
                <w:u w:val="none"/>
                <w:lang w:val="en-US" w:eastAsia="zh-CN"/>
              </w:rPr>
              <w:t>所投“</w:t>
            </w:r>
            <w:r>
              <w:rPr>
                <w:rFonts w:hint="eastAsia" w:ascii="宋体" w:hAnsi="宋体" w:eastAsia="宋体" w:cs="宋体"/>
                <w:i w:val="0"/>
                <w:iCs w:val="0"/>
                <w:color w:val="auto"/>
                <w:kern w:val="0"/>
                <w:sz w:val="20"/>
                <w:szCs w:val="20"/>
                <w:highlight w:val="none"/>
                <w:u w:val="none"/>
                <w:lang w:val="en-US" w:eastAsia="zh-CN" w:bidi="ar"/>
              </w:rPr>
              <w:t>智慧黑板”整机内置双WiFi6无线网卡（不接受外接），可实现Wi-Fi无线上网连接、AP无线热点发射的计5分。（提供第三方检验报告复印件，报告中需体现该功能内容，否则不计分）</w:t>
            </w:r>
          </w:p>
          <w:p w14:paraId="3179A61A">
            <w:pPr>
              <w:keepNext w:val="0"/>
              <w:keepLines w:val="0"/>
              <w:pageBreakBefore w:val="0"/>
              <w:numPr>
                <w:ilvl w:val="0"/>
                <w:numId w:val="7"/>
              </w:numPr>
              <w:kinsoku/>
              <w:wordWrap/>
              <w:overflowPunct/>
              <w:topLinePunct w:val="0"/>
              <w:autoSpaceDE/>
              <w:autoSpaceDN/>
              <w:bidi w:val="0"/>
              <w:adjustRightInd/>
              <w:snapToGrid/>
              <w:spacing w:line="360" w:lineRule="auto"/>
              <w:rPr>
                <w:rFonts w:hint="eastAsia" w:ascii="宋体" w:hAnsi="宋体" w:eastAsia="宋体" w:cs="宋体"/>
                <w:i w:val="0"/>
                <w:iCs w:val="0"/>
                <w:color w:val="auto"/>
                <w:sz w:val="20"/>
                <w:szCs w:val="20"/>
                <w:highlight w:val="none"/>
                <w:u w:val="none"/>
              </w:rPr>
            </w:pPr>
            <w:r>
              <w:rPr>
                <w:rFonts w:hint="eastAsia" w:ascii="宋体" w:hAnsi="宋体" w:eastAsia="宋体" w:cs="宋体"/>
                <w:color w:val="auto"/>
                <w:sz w:val="20"/>
                <w:szCs w:val="20"/>
                <w:highlight w:val="none"/>
                <w:lang w:eastAsia="zh-CN"/>
              </w:rPr>
              <w:t>所投“</w:t>
            </w:r>
            <w:r>
              <w:rPr>
                <w:rFonts w:hint="eastAsia" w:ascii="宋体" w:hAnsi="宋体" w:eastAsia="宋体" w:cs="宋体"/>
                <w:color w:val="auto"/>
                <w:sz w:val="20"/>
                <w:szCs w:val="20"/>
                <w:highlight w:val="none"/>
              </w:rPr>
              <w:t>全数字会议系统主机</w:t>
            </w:r>
            <w:r>
              <w:rPr>
                <w:rFonts w:hint="eastAsia" w:ascii="宋体" w:hAnsi="宋体" w:eastAsia="宋体" w:cs="宋体"/>
                <w:color w:val="auto"/>
                <w:sz w:val="20"/>
                <w:szCs w:val="20"/>
                <w:highlight w:val="none"/>
                <w:lang w:eastAsia="zh-CN"/>
              </w:rPr>
              <w:t>”会议主机软件融入音频综合管理平台实现音频设备统一管理，平台可扫描数字会议主机、音频处理器、混音器、抑制器、功放类产品在线情况，同款产品多台在线设备也可扫描，并显示设备硬件名称、硬件IP地址、在线、离线状态信息；具备一键上传配置信息至云端或保存本地进行备份功能和一键还原配置信息功能，且客户端、WEB端软件可运行于windows操作系统或国产操作系统或macOS系统或Ubuntu桌面版操作系统</w:t>
            </w:r>
            <w:r>
              <w:rPr>
                <w:rFonts w:hint="eastAsia" w:ascii="宋体" w:hAnsi="宋体" w:eastAsia="宋体" w:cs="宋体"/>
                <w:color w:val="auto"/>
                <w:sz w:val="20"/>
                <w:szCs w:val="20"/>
                <w:highlight w:val="none"/>
                <w:lang w:val="en-US" w:eastAsia="zh-CN"/>
              </w:rPr>
              <w:t>的计5分</w:t>
            </w:r>
            <w:r>
              <w:rPr>
                <w:rFonts w:hint="eastAsia" w:ascii="宋体" w:hAnsi="宋体" w:eastAsia="宋体" w:cs="宋体"/>
                <w:color w:val="auto"/>
                <w:sz w:val="20"/>
                <w:szCs w:val="20"/>
                <w:highlight w:val="none"/>
                <w:lang w:eastAsia="zh-CN"/>
              </w:rPr>
              <w:t>。</w:t>
            </w:r>
            <w:r>
              <w:rPr>
                <w:rFonts w:hint="eastAsia" w:ascii="宋体" w:hAnsi="宋体" w:eastAsia="宋体" w:cs="宋体"/>
                <w:i w:val="0"/>
                <w:iCs w:val="0"/>
                <w:color w:val="auto"/>
                <w:kern w:val="0"/>
                <w:sz w:val="20"/>
                <w:szCs w:val="20"/>
                <w:highlight w:val="none"/>
                <w:u w:val="none"/>
                <w:lang w:val="en-US" w:eastAsia="zh-CN" w:bidi="ar"/>
              </w:rPr>
              <w:t>（提供第三方检验报告复印件，报告中需体现该功能内容，否则不计分）</w:t>
            </w:r>
          </w:p>
          <w:p w14:paraId="217A8221">
            <w:pPr>
              <w:keepNext w:val="0"/>
              <w:keepLines w:val="0"/>
              <w:pageBreakBefore w:val="0"/>
              <w:numPr>
                <w:ilvl w:val="0"/>
                <w:numId w:val="7"/>
              </w:numPr>
              <w:kinsoku/>
              <w:wordWrap/>
              <w:overflowPunct/>
              <w:topLinePunct w:val="0"/>
              <w:autoSpaceDE/>
              <w:autoSpaceDN/>
              <w:bidi w:val="0"/>
              <w:adjustRightInd/>
              <w:snapToGrid/>
              <w:spacing w:line="360" w:lineRule="auto"/>
              <w:rPr>
                <w:rFonts w:hint="eastAsia" w:ascii="宋体" w:hAnsi="宋体" w:eastAsia="宋体" w:cs="宋体"/>
                <w:color w:val="auto"/>
                <w:sz w:val="20"/>
                <w:szCs w:val="20"/>
                <w:highlight w:val="none"/>
                <w:lang w:eastAsia="zh-CN"/>
              </w:rPr>
            </w:pPr>
            <w:r>
              <w:rPr>
                <w:rFonts w:hint="eastAsia" w:ascii="宋体" w:hAnsi="宋体" w:cs="宋体"/>
                <w:color w:val="auto"/>
                <w:sz w:val="20"/>
                <w:szCs w:val="20"/>
                <w:highlight w:val="none"/>
                <w:lang w:eastAsia="zh-CN"/>
              </w:rPr>
              <w:t>“</w:t>
            </w:r>
            <w:r>
              <w:rPr>
                <w:rFonts w:hint="eastAsia" w:ascii="宋体" w:hAnsi="宋体" w:eastAsia="宋体" w:cs="宋体"/>
                <w:color w:val="auto"/>
                <w:sz w:val="20"/>
                <w:szCs w:val="20"/>
                <w:highlight w:val="none"/>
                <w:lang w:eastAsia="zh-CN"/>
              </w:rPr>
              <w:t>户内全彩LED屏”具备支持通过演讲软件，支持满屏操作，可以实现打开白板、打开文件、屏幕录制、编辑主题页功能，并要求这些功能在一级菜单栏可方便快速使用。支持异步显示，可选择单个画面上大屏，软件的其他操作不上大屏。软件打开图片、视频、excel、PPT、Word、PDF类型的文件，并可进行批注、清除、手势操控、文件列表预览等操作；支持打开PPT，可以在同一界面实时预览提前准备好的批注内容</w:t>
            </w:r>
            <w:r>
              <w:rPr>
                <w:rFonts w:hint="eastAsia" w:ascii="宋体" w:hAnsi="宋体" w:eastAsia="宋体" w:cs="宋体"/>
                <w:color w:val="auto"/>
                <w:sz w:val="20"/>
                <w:szCs w:val="20"/>
                <w:highlight w:val="none"/>
                <w:lang w:val="en-US" w:eastAsia="zh-CN"/>
              </w:rPr>
              <w:t>的计5分</w:t>
            </w:r>
            <w:r>
              <w:rPr>
                <w:rFonts w:hint="eastAsia" w:ascii="宋体" w:hAnsi="宋体" w:eastAsia="宋体" w:cs="宋体"/>
                <w:color w:val="auto"/>
                <w:sz w:val="20"/>
                <w:szCs w:val="20"/>
                <w:highlight w:val="none"/>
                <w:lang w:eastAsia="zh-CN"/>
              </w:rPr>
              <w:t>。</w:t>
            </w:r>
            <w:r>
              <w:rPr>
                <w:rFonts w:hint="eastAsia" w:ascii="宋体" w:hAnsi="宋体" w:eastAsia="宋体" w:cs="宋体"/>
                <w:color w:val="auto"/>
                <w:sz w:val="20"/>
                <w:szCs w:val="20"/>
                <w:highlight w:val="none"/>
                <w:lang w:val="en-US" w:eastAsia="zh-CN"/>
              </w:rPr>
              <w:t>（提供第三方检验报告复印件，报告中需体现该功能内容，否则不计分）</w:t>
            </w:r>
          </w:p>
          <w:p w14:paraId="018B68A7">
            <w:pPr>
              <w:keepNext w:val="0"/>
              <w:keepLines w:val="0"/>
              <w:pageBreakBefore w:val="0"/>
              <w:numPr>
                <w:ilvl w:val="0"/>
                <w:numId w:val="7"/>
              </w:numPr>
              <w:kinsoku/>
              <w:wordWrap/>
              <w:overflowPunct/>
              <w:topLinePunct w:val="0"/>
              <w:autoSpaceDE/>
              <w:autoSpaceDN/>
              <w:bidi w:val="0"/>
              <w:adjustRightInd/>
              <w:snapToGrid/>
              <w:spacing w:line="360" w:lineRule="auto"/>
              <w:rPr>
                <w:rFonts w:hint="eastAsia" w:ascii="宋体" w:hAnsi="宋体" w:eastAsia="宋体" w:cs="宋体"/>
                <w:color w:val="auto"/>
                <w:kern w:val="2"/>
                <w:sz w:val="20"/>
                <w:szCs w:val="20"/>
                <w:highlight w:val="none"/>
                <w:lang w:val="en-US" w:eastAsia="zh-CN" w:bidi="ar-SA"/>
              </w:rPr>
            </w:pPr>
            <w:r>
              <w:rPr>
                <w:rFonts w:hint="eastAsia" w:ascii="宋体" w:hAnsi="宋体" w:eastAsia="宋体" w:cs="宋体"/>
                <w:color w:val="auto"/>
                <w:sz w:val="20"/>
                <w:szCs w:val="20"/>
                <w:highlight w:val="none"/>
                <w:lang w:eastAsia="zh-CN"/>
              </w:rPr>
              <w:t>所投“</w:t>
            </w:r>
            <w:r>
              <w:rPr>
                <w:rFonts w:hint="eastAsia" w:ascii="宋体" w:hAnsi="宋体" w:eastAsia="宋体" w:cs="宋体"/>
                <w:color w:val="auto"/>
                <w:sz w:val="20"/>
                <w:szCs w:val="20"/>
                <w:highlight w:val="none"/>
              </w:rPr>
              <w:t>会议音频综合管理平台软件</w:t>
            </w:r>
            <w:r>
              <w:rPr>
                <w:rFonts w:hint="eastAsia" w:ascii="宋体" w:hAnsi="宋体" w:eastAsia="宋体" w:cs="宋体"/>
                <w:color w:val="auto"/>
                <w:sz w:val="20"/>
                <w:szCs w:val="20"/>
                <w:highlight w:val="none"/>
                <w:lang w:eastAsia="zh-CN"/>
              </w:rPr>
              <w:t>”支持部署于国产操作系统，与国产操作系统完成兼容性测试，能够达到通用兼容性要求及性能、可靠性要求，满足用户的关键性应用需求</w:t>
            </w:r>
            <w:r>
              <w:rPr>
                <w:rFonts w:hint="eastAsia" w:ascii="宋体" w:hAnsi="宋体" w:cs="宋体"/>
                <w:color w:val="auto"/>
                <w:sz w:val="20"/>
                <w:szCs w:val="20"/>
                <w:highlight w:val="none"/>
                <w:lang w:val="en-US" w:eastAsia="zh-CN"/>
              </w:rPr>
              <w:t>的计5分</w:t>
            </w:r>
            <w:r>
              <w:rPr>
                <w:rFonts w:hint="eastAsia" w:ascii="宋体" w:hAnsi="宋体" w:eastAsia="宋体" w:cs="宋体"/>
                <w:color w:val="auto"/>
                <w:sz w:val="20"/>
                <w:szCs w:val="20"/>
                <w:highlight w:val="none"/>
                <w:lang w:eastAsia="zh-CN"/>
              </w:rPr>
              <w:t>。（需提供软件适配认证复印件</w:t>
            </w:r>
            <w:r>
              <w:rPr>
                <w:rFonts w:hint="eastAsia" w:ascii="宋体" w:hAnsi="宋体" w:cs="宋体"/>
                <w:color w:val="auto"/>
                <w:sz w:val="20"/>
                <w:szCs w:val="20"/>
                <w:highlight w:val="none"/>
                <w:lang w:eastAsia="zh-CN"/>
              </w:rPr>
              <w:t>，</w:t>
            </w:r>
            <w:r>
              <w:rPr>
                <w:rFonts w:hint="eastAsia" w:ascii="宋体" w:hAnsi="宋体" w:cs="宋体"/>
                <w:color w:val="auto"/>
                <w:sz w:val="20"/>
                <w:szCs w:val="20"/>
                <w:highlight w:val="none"/>
                <w:lang w:val="en-US" w:eastAsia="zh-CN"/>
              </w:rPr>
              <w:t>否则不计分</w:t>
            </w:r>
            <w:r>
              <w:rPr>
                <w:rFonts w:hint="eastAsia" w:ascii="宋体" w:hAnsi="宋体" w:eastAsia="宋体" w:cs="宋体"/>
                <w:color w:val="auto"/>
                <w:sz w:val="20"/>
                <w:szCs w:val="20"/>
                <w:highlight w:val="none"/>
                <w:lang w:eastAsia="zh-CN"/>
              </w:rPr>
              <w:t>）</w:t>
            </w:r>
          </w:p>
          <w:p w14:paraId="23C675F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rPr>
                <w:rFonts w:hint="eastAsia" w:ascii="宋体" w:hAnsi="宋体" w:cs="宋体"/>
                <w:color w:val="auto"/>
                <w:sz w:val="20"/>
                <w:szCs w:val="20"/>
                <w:highlight w:val="none"/>
                <w:lang w:val="en-US" w:eastAsia="zh-CN"/>
              </w:rPr>
            </w:pPr>
            <w:r>
              <w:rPr>
                <w:rFonts w:hint="eastAsia" w:ascii="宋体" w:hAnsi="宋体" w:cs="宋体"/>
                <w:color w:val="auto"/>
                <w:sz w:val="20"/>
                <w:szCs w:val="20"/>
                <w:highlight w:val="none"/>
                <w:lang w:val="en-US" w:eastAsia="zh-CN"/>
              </w:rPr>
              <w:t>5、所投“课堂采集终端（内置双目）”支持分析并统计课堂中每一位学生的抬头率、举手次数、应答次数、上台次数、趴桌子时长，同时以图表的形式与全班整体情况进行对比，以时间轴的方式记录每个学生课堂行为截图的计5分。（提供第三方检验报告复印件，报告中需体现该功能内容，否则不计分）</w:t>
            </w:r>
          </w:p>
          <w:p w14:paraId="6E51F124">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lang w:val="en-US" w:eastAsia="zh-CN"/>
              </w:rPr>
              <w:t>6、所投“AI循证录播主机”支持自动识别人物声音与多媒体声音并动态调节其他音源的音量，避免音源间相互干扰，确保视频教师声音清晰可闻的计5分。（提供第三方检验报告复印件，报告中需体现该功能内容，否则不计分）</w:t>
            </w:r>
          </w:p>
        </w:tc>
      </w:tr>
      <w:tr w14:paraId="7761D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61" w:hRule="atLeast"/>
          <w:jc w:val="center"/>
        </w:trPr>
        <w:tc>
          <w:tcPr>
            <w:tcW w:w="503" w:type="dxa"/>
            <w:vMerge w:val="continue"/>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785B3AE6">
            <w:pPr>
              <w:keepNext w:val="0"/>
              <w:keepLines w:val="0"/>
              <w:pageBreakBefore w:val="0"/>
              <w:kinsoku/>
              <w:wordWrap/>
              <w:overflowPunct/>
              <w:topLinePunct w:val="0"/>
              <w:autoSpaceDE/>
              <w:autoSpaceDN/>
              <w:bidi w:val="0"/>
              <w:adjustRightInd/>
              <w:snapToGrid/>
              <w:spacing w:line="360" w:lineRule="auto"/>
              <w:rPr>
                <w:rFonts w:hint="eastAsia" w:ascii="宋体" w:hAnsi="宋体" w:eastAsia="宋体" w:cs="宋体"/>
                <w:color w:val="auto"/>
                <w:sz w:val="20"/>
                <w:szCs w:val="20"/>
                <w:highlight w:val="none"/>
              </w:rPr>
            </w:pPr>
          </w:p>
        </w:tc>
        <w:tc>
          <w:tcPr>
            <w:tcW w:w="1383" w:type="dxa"/>
            <w:vMerge w:val="continue"/>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53E3428F">
            <w:pPr>
              <w:keepNext w:val="0"/>
              <w:keepLines w:val="0"/>
              <w:pageBreakBefore w:val="0"/>
              <w:kinsoku/>
              <w:wordWrap/>
              <w:overflowPunct/>
              <w:topLinePunct w:val="0"/>
              <w:autoSpaceDE/>
              <w:autoSpaceDN/>
              <w:bidi w:val="0"/>
              <w:adjustRightInd/>
              <w:snapToGrid/>
              <w:spacing w:line="360" w:lineRule="auto"/>
              <w:rPr>
                <w:rFonts w:hint="eastAsia" w:ascii="宋体" w:hAnsi="宋体" w:eastAsia="宋体" w:cs="宋体"/>
                <w:color w:val="auto"/>
                <w:sz w:val="20"/>
                <w:szCs w:val="20"/>
                <w:highlight w:val="none"/>
              </w:rPr>
            </w:pPr>
          </w:p>
        </w:tc>
        <w:tc>
          <w:tcPr>
            <w:tcW w:w="1207" w:type="dxa"/>
            <w:tcBorders>
              <w:top w:val="single" w:color="auto" w:sz="4" w:space="0"/>
              <w:left w:val="single" w:color="000000" w:sz="6" w:space="0"/>
              <w:bottom w:val="single" w:color="auto" w:sz="4" w:space="0"/>
              <w:right w:val="single" w:color="000000" w:sz="6" w:space="0"/>
            </w:tcBorders>
            <w:noWrap w:val="0"/>
            <w:tcMar>
              <w:top w:w="0" w:type="dxa"/>
              <w:left w:w="108" w:type="dxa"/>
              <w:bottom w:w="0" w:type="dxa"/>
              <w:right w:w="108" w:type="dxa"/>
            </w:tcMar>
            <w:vAlign w:val="center"/>
          </w:tcPr>
          <w:p w14:paraId="242E475A">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组织实施方案（</w:t>
            </w:r>
            <w:r>
              <w:rPr>
                <w:rFonts w:hint="eastAsia" w:ascii="宋体" w:hAnsi="宋体" w:eastAsia="宋体" w:cs="宋体"/>
                <w:b w:val="0"/>
                <w:bCs w:val="0"/>
                <w:i w:val="0"/>
                <w:iCs w:val="0"/>
                <w:color w:val="auto"/>
                <w:spacing w:val="0"/>
                <w:w w:val="100"/>
                <w:sz w:val="20"/>
                <w:szCs w:val="20"/>
                <w:highlight w:val="none"/>
                <w:vertAlign w:val="baseline"/>
                <w:lang w:val="en-US" w:eastAsia="zh-CN"/>
              </w:rPr>
              <w:t>20</w:t>
            </w:r>
            <w:r>
              <w:rPr>
                <w:rFonts w:hint="eastAsia" w:ascii="宋体" w:hAnsi="宋体" w:eastAsia="宋体" w:cs="宋体"/>
                <w:b w:val="0"/>
                <w:bCs w:val="0"/>
                <w:i w:val="0"/>
                <w:iCs w:val="0"/>
                <w:color w:val="auto"/>
                <w:spacing w:val="0"/>
                <w:w w:val="100"/>
                <w:sz w:val="20"/>
                <w:szCs w:val="20"/>
                <w:highlight w:val="none"/>
                <w:vertAlign w:val="baseline"/>
              </w:rPr>
              <w:t>分）</w:t>
            </w:r>
          </w:p>
        </w:tc>
        <w:tc>
          <w:tcPr>
            <w:tcW w:w="698" w:type="dxa"/>
            <w:tcBorders>
              <w:top w:val="single" w:color="auto" w:sz="4" w:space="0"/>
              <w:left w:val="single" w:color="000000" w:sz="6" w:space="0"/>
              <w:bottom w:val="single" w:color="auto" w:sz="4" w:space="0"/>
              <w:right w:val="single" w:color="auto" w:sz="4" w:space="0"/>
            </w:tcBorders>
            <w:noWrap w:val="0"/>
            <w:tcMar>
              <w:top w:w="0" w:type="dxa"/>
              <w:left w:w="108" w:type="dxa"/>
              <w:bottom w:w="0" w:type="dxa"/>
              <w:right w:w="108" w:type="dxa"/>
            </w:tcMar>
            <w:vAlign w:val="center"/>
          </w:tcPr>
          <w:p w14:paraId="6FA22B94">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lang w:eastAsia="zh-CN"/>
              </w:rPr>
            </w:pPr>
            <w:r>
              <w:rPr>
                <w:rFonts w:hint="eastAsia" w:ascii="宋体" w:hAnsi="宋体" w:eastAsia="宋体" w:cs="宋体"/>
                <w:b w:val="0"/>
                <w:bCs w:val="0"/>
                <w:i w:val="0"/>
                <w:iCs w:val="0"/>
                <w:color w:val="auto"/>
                <w:spacing w:val="0"/>
                <w:w w:val="100"/>
                <w:sz w:val="20"/>
                <w:szCs w:val="20"/>
                <w:highlight w:val="none"/>
                <w:vertAlign w:val="baseline"/>
                <w:lang w:val="en-US" w:eastAsia="zh-CN"/>
              </w:rPr>
              <w:t>20</w:t>
            </w:r>
          </w:p>
        </w:tc>
        <w:tc>
          <w:tcPr>
            <w:tcW w:w="5149" w:type="dxa"/>
            <w:tcBorders>
              <w:top w:val="single" w:color="auto" w:sz="4"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63002C47">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根据投标人所提供的项目实施方案从以下几个方面进行综合评分：（1）施工组织设计及人员安排，(2)项目进度计划与保证措施，(3)项目质量监督与保证措施，(4)安全文明施工措施，(5)项目文档制作与移交措施。</w:t>
            </w:r>
          </w:p>
          <w:p w14:paraId="1937D575">
            <w:pPr>
              <w:keepNext w:val="0"/>
              <w:keepLines w:val="0"/>
              <w:pageBreakBefore w:val="0"/>
              <w:widowControl/>
              <w:suppressLineNumbers w:val="0"/>
              <w:kinsoku/>
              <w:wordWrap/>
              <w:overflowPunct/>
              <w:topLinePunct w:val="0"/>
              <w:autoSpaceDE/>
              <w:autoSpaceDN/>
              <w:bidi w:val="0"/>
              <w:adjustRightInd/>
              <w:snapToGrid/>
              <w:spacing w:line="360" w:lineRule="auto"/>
              <w:ind w:firstLine="400" w:firstLineChars="200"/>
              <w:jc w:val="left"/>
              <w:textAlignment w:val="center"/>
              <w:rPr>
                <w:rFonts w:hint="eastAsia" w:ascii="宋体" w:hAnsi="宋体" w:eastAsia="宋体" w:cs="宋体"/>
                <w:color w:val="auto"/>
                <w:sz w:val="20"/>
                <w:szCs w:val="20"/>
                <w:highlight w:val="none"/>
                <w:lang w:val="en-US" w:eastAsia="zh-CN"/>
              </w:rPr>
            </w:pPr>
            <w:r>
              <w:rPr>
                <w:rFonts w:hint="eastAsia" w:ascii="宋体" w:hAnsi="宋体" w:eastAsia="宋体" w:cs="宋体"/>
                <w:i w:val="0"/>
                <w:iCs w:val="0"/>
                <w:color w:val="auto"/>
                <w:kern w:val="0"/>
                <w:sz w:val="20"/>
                <w:szCs w:val="20"/>
                <w:highlight w:val="none"/>
                <w:u w:val="none"/>
                <w:lang w:val="en-US" w:eastAsia="zh-CN" w:bidi="ar"/>
              </w:rPr>
              <w:t>方案完整、符合项目需求、可实施性强的计20分，缺漏项每项扣4分，扣完为止；方案不完善、不合理、实施性不强的的每处扣2分。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注：方案不完善、不合理、实施性不强是指符合以下任意一项:1.方案内容与项目需求不一致或没有关联性；2.未涵盖所有必要的实施方案和流程；3.条理不清晰；4.方案内容与本项目实际情况存在差异性；5.内容空洞、语义表述不清 ,前后矛盾，存在歧义、混乱内容不充实。</w:t>
            </w:r>
          </w:p>
        </w:tc>
      </w:tr>
      <w:tr w14:paraId="546C5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70" w:hRule="atLeast"/>
          <w:jc w:val="center"/>
        </w:trPr>
        <w:tc>
          <w:tcPr>
            <w:tcW w:w="503" w:type="dxa"/>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22833DE7">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2</w:t>
            </w:r>
          </w:p>
        </w:tc>
        <w:tc>
          <w:tcPr>
            <w:tcW w:w="1383" w:type="dxa"/>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72D1FEA9">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优先采购加分（F</w:t>
            </w:r>
            <w:r>
              <w:rPr>
                <w:rFonts w:hint="eastAsia" w:ascii="宋体" w:hAnsi="宋体" w:eastAsia="宋体" w:cs="宋体"/>
                <w:b w:val="0"/>
                <w:bCs w:val="0"/>
                <w:i w:val="0"/>
                <w:iCs w:val="0"/>
                <w:color w:val="auto"/>
                <w:spacing w:val="0"/>
                <w:w w:val="100"/>
                <w:sz w:val="20"/>
                <w:szCs w:val="20"/>
                <w:highlight w:val="none"/>
                <w:vertAlign w:val="subscript"/>
              </w:rPr>
              <w:t>优先采购加分</w:t>
            </w:r>
            <w:r>
              <w:rPr>
                <w:rFonts w:hint="eastAsia" w:ascii="宋体" w:hAnsi="宋体" w:eastAsia="宋体" w:cs="宋体"/>
                <w:b w:val="0"/>
                <w:bCs w:val="0"/>
                <w:i w:val="0"/>
                <w:iCs w:val="0"/>
                <w:color w:val="auto"/>
                <w:spacing w:val="0"/>
                <w:w w:val="100"/>
                <w:sz w:val="20"/>
                <w:szCs w:val="20"/>
                <w:highlight w:val="none"/>
                <w:vertAlign w:val="baseline"/>
              </w:rPr>
              <w:t>）</w:t>
            </w:r>
          </w:p>
        </w:tc>
        <w:tc>
          <w:tcPr>
            <w:tcW w:w="7054" w:type="dxa"/>
            <w:gridSpan w:val="3"/>
            <w:tcBorders>
              <w:top w:val="single" w:color="000000" w:sz="6" w:space="0"/>
              <w:left w:val="single" w:color="000000" w:sz="6" w:space="0"/>
              <w:bottom w:val="single" w:color="auto" w:sz="4" w:space="0"/>
              <w:right w:val="single" w:color="000000" w:sz="4" w:space="0"/>
            </w:tcBorders>
            <w:noWrap w:val="0"/>
            <w:tcMar>
              <w:top w:w="0" w:type="dxa"/>
              <w:left w:w="108" w:type="dxa"/>
              <w:bottom w:w="0" w:type="dxa"/>
              <w:right w:w="108" w:type="dxa"/>
            </w:tcMar>
            <w:vAlign w:val="center"/>
          </w:tcPr>
          <w:p w14:paraId="1F902DDF">
            <w:pPr>
              <w:keepNext w:val="0"/>
              <w:keepLines w:val="0"/>
              <w:pageBreakBefore w:val="0"/>
              <w:kinsoku/>
              <w:wordWrap/>
              <w:overflowPunct/>
              <w:topLinePunct w:val="0"/>
              <w:autoSpaceDE/>
              <w:autoSpaceDN/>
              <w:bidi w:val="0"/>
              <w:adjustRightInd/>
              <w:snapToGrid/>
              <w:spacing w:line="360" w:lineRule="auto"/>
              <w:rPr>
                <w:rFonts w:hint="eastAsia" w:ascii="宋体" w:hAnsi="宋体" w:eastAsia="宋体" w:cs="宋体"/>
                <w:color w:val="auto"/>
                <w:sz w:val="20"/>
                <w:szCs w:val="20"/>
                <w:highlight w:val="none"/>
              </w:rPr>
            </w:pPr>
          </w:p>
        </w:tc>
      </w:tr>
      <w:tr w14:paraId="46BD3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10" w:hRule="atLeast"/>
          <w:jc w:val="center"/>
        </w:trPr>
        <w:tc>
          <w:tcPr>
            <w:tcW w:w="503" w:type="dxa"/>
            <w:tcBorders>
              <w:top w:val="single" w:color="000000" w:sz="6" w:space="0"/>
              <w:left w:val="single" w:color="000000" w:sz="4" w:space="0"/>
              <w:bottom w:val="single" w:color="000000" w:sz="4" w:space="0"/>
              <w:right w:val="single" w:color="auto" w:sz="4" w:space="0"/>
            </w:tcBorders>
            <w:noWrap w:val="0"/>
            <w:tcMar>
              <w:top w:w="0" w:type="dxa"/>
              <w:left w:w="108" w:type="dxa"/>
              <w:bottom w:w="0" w:type="dxa"/>
              <w:right w:w="108" w:type="dxa"/>
            </w:tcMar>
            <w:vAlign w:val="center"/>
          </w:tcPr>
          <w:p w14:paraId="2F337858">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center"/>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w:t>
            </w:r>
          </w:p>
        </w:tc>
        <w:tc>
          <w:tcPr>
            <w:tcW w:w="8437" w:type="dxa"/>
            <w:gridSpan w:val="4"/>
            <w:tcBorders>
              <w:top w:val="single" w:color="000000" w:sz="6" w:space="0"/>
              <w:left w:val="single" w:color="auto" w:sz="4" w:space="0"/>
              <w:bottom w:val="single" w:color="000000" w:sz="4" w:space="0"/>
              <w:right w:val="single" w:color="000000" w:sz="4" w:space="0"/>
            </w:tcBorders>
            <w:noWrap w:val="0"/>
            <w:tcMar>
              <w:top w:w="0" w:type="dxa"/>
              <w:left w:w="108" w:type="dxa"/>
              <w:bottom w:w="0" w:type="dxa"/>
              <w:right w:w="108" w:type="dxa"/>
            </w:tcMar>
            <w:vAlign w:val="center"/>
          </w:tcPr>
          <w:p w14:paraId="7A4B5D12">
            <w:pPr>
              <w:pStyle w:val="38"/>
              <w:keepNext w:val="0"/>
              <w:keepLines w:val="0"/>
              <w:pageBreakBefore w:val="0"/>
              <w:widowControl/>
              <w:suppressLineNumbers w:val="0"/>
              <w:kinsoku/>
              <w:wordWrap/>
              <w:overflowPunct/>
              <w:topLinePunct w:val="0"/>
              <w:autoSpaceDE/>
              <w:autoSpaceDN/>
              <w:bidi w:val="0"/>
              <w:adjustRightInd/>
              <w:snapToGrid/>
              <w:spacing w:beforeAutospacing="0" w:after="0" w:afterAutospacing="0" w:line="360" w:lineRule="auto"/>
              <w:ind w:left="0" w:right="0"/>
              <w:jc w:val="both"/>
              <w:rPr>
                <w:rFonts w:hint="eastAsia" w:ascii="宋体" w:hAnsi="宋体" w:eastAsia="宋体" w:cs="宋体"/>
                <w:color w:val="auto"/>
                <w:sz w:val="20"/>
                <w:szCs w:val="20"/>
                <w:highlight w:val="none"/>
              </w:rPr>
            </w:pPr>
            <w:r>
              <w:rPr>
                <w:rFonts w:hint="eastAsia" w:ascii="宋体" w:hAnsi="宋体" w:eastAsia="宋体" w:cs="宋体"/>
                <w:b w:val="0"/>
                <w:bCs w:val="0"/>
                <w:i w:val="0"/>
                <w:iCs w:val="0"/>
                <w:color w:val="auto"/>
                <w:spacing w:val="0"/>
                <w:w w:val="100"/>
                <w:sz w:val="20"/>
                <w:szCs w:val="20"/>
                <w:highlight w:val="none"/>
                <w:vertAlign w:val="baseline"/>
              </w:rPr>
              <w:t>F</w:t>
            </w:r>
            <w:r>
              <w:rPr>
                <w:rFonts w:hint="eastAsia" w:ascii="宋体" w:hAnsi="宋体" w:eastAsia="宋体" w:cs="宋体"/>
                <w:b w:val="0"/>
                <w:bCs w:val="0"/>
                <w:i w:val="0"/>
                <w:iCs w:val="0"/>
                <w:color w:val="auto"/>
                <w:spacing w:val="0"/>
                <w:w w:val="100"/>
                <w:sz w:val="20"/>
                <w:szCs w:val="20"/>
                <w:highlight w:val="none"/>
                <w:vertAlign w:val="subscript"/>
              </w:rPr>
              <w:t>2</w:t>
            </w:r>
            <w:r>
              <w:rPr>
                <w:rFonts w:hint="eastAsia" w:ascii="宋体" w:hAnsi="宋体" w:eastAsia="宋体" w:cs="宋体"/>
                <w:b w:val="0"/>
                <w:bCs w:val="0"/>
                <w:i w:val="0"/>
                <w:iCs w:val="0"/>
                <w:color w:val="auto"/>
                <w:spacing w:val="0"/>
                <w:w w:val="100"/>
                <w:sz w:val="20"/>
                <w:szCs w:val="20"/>
                <w:highlight w:val="none"/>
                <w:vertAlign w:val="baseline"/>
              </w:rPr>
              <w:t>=F+ F</w:t>
            </w:r>
            <w:r>
              <w:rPr>
                <w:rFonts w:hint="eastAsia" w:ascii="宋体" w:hAnsi="宋体" w:eastAsia="宋体" w:cs="宋体"/>
                <w:b w:val="0"/>
                <w:bCs w:val="0"/>
                <w:i w:val="0"/>
                <w:iCs w:val="0"/>
                <w:color w:val="auto"/>
                <w:spacing w:val="0"/>
                <w:w w:val="100"/>
                <w:sz w:val="20"/>
                <w:szCs w:val="20"/>
                <w:highlight w:val="none"/>
                <w:vertAlign w:val="subscript"/>
              </w:rPr>
              <w:t>优先采购加分</w:t>
            </w:r>
          </w:p>
        </w:tc>
      </w:tr>
    </w:tbl>
    <w:p w14:paraId="3405F844">
      <w:pPr>
        <w:pStyle w:val="38"/>
        <w:keepNext w:val="0"/>
        <w:keepLines w:val="0"/>
        <w:widowControl/>
        <w:suppressLineNumbers w:val="0"/>
        <w:spacing w:before="156" w:beforeAutospacing="0" w:after="0" w:afterAutospacing="0" w:line="23" w:lineRule="atLeast"/>
        <w:ind w:left="0" w:right="0"/>
        <w:jc w:val="center"/>
      </w:pPr>
      <w:r>
        <w:rPr>
          <w:rFonts w:hint="eastAsia" w:ascii="宋体" w:hAnsi="宋体" w:eastAsia="宋体" w:cs="宋体"/>
          <w:b/>
          <w:bCs/>
          <w:i w:val="0"/>
          <w:iCs w:val="0"/>
          <w:color w:val="000000"/>
          <w:spacing w:val="0"/>
          <w:w w:val="100"/>
          <w:sz w:val="21"/>
          <w:szCs w:val="21"/>
          <w:vertAlign w:val="baseline"/>
        </w:rPr>
        <w:t>附表1.3商务部分评审标准表</w:t>
      </w:r>
    </w:p>
    <w:tbl>
      <w:tblPr>
        <w:tblStyle w:val="43"/>
        <w:tblW w:w="928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503"/>
        <w:gridCol w:w="1573"/>
        <w:gridCol w:w="1380"/>
        <w:gridCol w:w="810"/>
        <w:gridCol w:w="5020"/>
      </w:tblGrid>
      <w:tr w14:paraId="586328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52" w:hRule="atLeast"/>
          <w:jc w:val="center"/>
        </w:trPr>
        <w:tc>
          <w:tcPr>
            <w:tcW w:w="503" w:type="dxa"/>
            <w:tcBorders>
              <w:top w:val="single" w:color="000000" w:sz="4"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354FCC72">
            <w:pPr>
              <w:pStyle w:val="38"/>
              <w:keepNext w:val="0"/>
              <w:keepLines w:val="0"/>
              <w:widowControl/>
              <w:suppressLineNumbers w:val="0"/>
              <w:spacing w:before="0" w:beforeAutospacing="0" w:after="0" w:afterAutospacing="0"/>
              <w:ind w:left="0" w:right="0"/>
              <w:jc w:val="center"/>
              <w:rPr>
                <w:rFonts w:hint="eastAsia" w:ascii="宋体" w:hAnsi="宋体" w:eastAsia="宋体" w:cs="宋体"/>
                <w:sz w:val="20"/>
                <w:szCs w:val="20"/>
              </w:rPr>
            </w:pPr>
            <w:r>
              <w:rPr>
                <w:rFonts w:hint="eastAsia" w:ascii="宋体" w:hAnsi="宋体" w:eastAsia="宋体" w:cs="宋体"/>
                <w:b/>
                <w:bCs/>
                <w:i w:val="0"/>
                <w:iCs w:val="0"/>
                <w:color w:val="000000"/>
                <w:spacing w:val="0"/>
                <w:w w:val="100"/>
                <w:sz w:val="20"/>
                <w:szCs w:val="20"/>
                <w:vertAlign w:val="baseline"/>
              </w:rPr>
              <w:t>序号</w:t>
            </w:r>
          </w:p>
        </w:tc>
        <w:tc>
          <w:tcPr>
            <w:tcW w:w="1573" w:type="dxa"/>
            <w:tcBorders>
              <w:top w:val="single" w:color="000000" w:sz="4" w:space="0"/>
              <w:left w:val="single" w:color="auto" w:sz="4" w:space="0"/>
              <w:bottom w:val="single" w:color="000000" w:sz="6" w:space="0"/>
              <w:right w:val="single" w:color="auto" w:sz="4" w:space="0"/>
            </w:tcBorders>
            <w:noWrap w:val="0"/>
            <w:tcMar>
              <w:top w:w="0" w:type="dxa"/>
              <w:left w:w="108" w:type="dxa"/>
              <w:bottom w:w="0" w:type="dxa"/>
              <w:right w:w="108" w:type="dxa"/>
            </w:tcMar>
            <w:vAlign w:val="center"/>
          </w:tcPr>
          <w:p w14:paraId="4488130E">
            <w:pPr>
              <w:pStyle w:val="38"/>
              <w:keepNext w:val="0"/>
              <w:keepLines w:val="0"/>
              <w:widowControl/>
              <w:suppressLineNumbers w:val="0"/>
              <w:spacing w:before="0" w:beforeAutospacing="0" w:after="0" w:afterAutospacing="0"/>
              <w:ind w:left="0" w:right="0"/>
              <w:jc w:val="center"/>
              <w:rPr>
                <w:rFonts w:hint="eastAsia" w:ascii="宋体" w:hAnsi="宋体" w:eastAsia="宋体" w:cs="宋体"/>
                <w:sz w:val="20"/>
                <w:szCs w:val="20"/>
              </w:rPr>
            </w:pPr>
            <w:r>
              <w:rPr>
                <w:rFonts w:hint="eastAsia" w:ascii="宋体" w:hAnsi="宋体" w:eastAsia="宋体" w:cs="宋体"/>
                <w:b/>
                <w:bCs/>
                <w:i w:val="0"/>
                <w:iCs w:val="0"/>
                <w:color w:val="000000"/>
                <w:spacing w:val="0"/>
                <w:w w:val="100"/>
                <w:sz w:val="20"/>
                <w:szCs w:val="20"/>
                <w:vertAlign w:val="baseline"/>
              </w:rPr>
              <w:t>评标因素（分值）</w:t>
            </w:r>
          </w:p>
        </w:tc>
        <w:tc>
          <w:tcPr>
            <w:tcW w:w="7210" w:type="dxa"/>
            <w:gridSpan w:val="3"/>
            <w:tcBorders>
              <w:top w:val="single" w:color="000000" w:sz="4" w:space="0"/>
              <w:left w:val="single" w:color="auto" w:sz="4" w:space="0"/>
              <w:bottom w:val="single" w:color="000000" w:sz="6" w:space="0"/>
              <w:right w:val="single" w:color="000000" w:sz="4" w:space="0"/>
            </w:tcBorders>
            <w:noWrap w:val="0"/>
            <w:tcMar>
              <w:top w:w="0" w:type="dxa"/>
              <w:left w:w="108" w:type="dxa"/>
              <w:bottom w:w="0" w:type="dxa"/>
              <w:right w:w="108" w:type="dxa"/>
            </w:tcMar>
            <w:vAlign w:val="center"/>
          </w:tcPr>
          <w:p w14:paraId="001DC793">
            <w:pPr>
              <w:pStyle w:val="38"/>
              <w:keepNext w:val="0"/>
              <w:keepLines w:val="0"/>
              <w:widowControl/>
              <w:suppressLineNumbers w:val="0"/>
              <w:spacing w:before="0" w:beforeAutospacing="0" w:after="0" w:afterAutospacing="0"/>
              <w:ind w:left="0" w:right="0"/>
              <w:jc w:val="center"/>
              <w:rPr>
                <w:rFonts w:hint="eastAsia" w:ascii="宋体" w:hAnsi="宋体" w:eastAsia="宋体" w:cs="宋体"/>
                <w:sz w:val="20"/>
                <w:szCs w:val="20"/>
              </w:rPr>
            </w:pPr>
            <w:r>
              <w:rPr>
                <w:rFonts w:hint="eastAsia" w:ascii="宋体" w:hAnsi="宋体" w:eastAsia="宋体" w:cs="宋体"/>
                <w:b/>
                <w:bCs/>
                <w:i w:val="0"/>
                <w:iCs w:val="0"/>
                <w:color w:val="000000"/>
                <w:spacing w:val="0"/>
                <w:w w:val="100"/>
                <w:sz w:val="20"/>
                <w:szCs w:val="20"/>
                <w:vertAlign w:val="baseline"/>
              </w:rPr>
              <w:t>评标标准</w:t>
            </w:r>
          </w:p>
        </w:tc>
      </w:tr>
      <w:tr w14:paraId="6707E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63" w:hRule="atLeast"/>
          <w:jc w:val="center"/>
        </w:trPr>
        <w:tc>
          <w:tcPr>
            <w:tcW w:w="503" w:type="dxa"/>
            <w:vMerge w:val="restart"/>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010B0113">
            <w:pPr>
              <w:pStyle w:val="38"/>
              <w:keepNext w:val="0"/>
              <w:keepLines w:val="0"/>
              <w:widowControl/>
              <w:suppressLineNumbers w:val="0"/>
              <w:spacing w:before="156" w:beforeAutospacing="0" w:after="0" w:afterAutospacing="0"/>
              <w:ind w:left="0" w:right="0"/>
              <w:jc w:val="center"/>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1</w:t>
            </w:r>
          </w:p>
        </w:tc>
        <w:tc>
          <w:tcPr>
            <w:tcW w:w="1573" w:type="dxa"/>
            <w:vMerge w:val="restart"/>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570499A6">
            <w:pPr>
              <w:pStyle w:val="38"/>
              <w:keepNext w:val="0"/>
              <w:keepLines w:val="0"/>
              <w:widowControl/>
              <w:suppressLineNumbers w:val="0"/>
              <w:spacing w:before="0" w:beforeAutospacing="0" w:after="0" w:afterAutospacing="0"/>
              <w:ind w:left="0" w:right="0"/>
              <w:jc w:val="center"/>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商务评价项</w:t>
            </w:r>
          </w:p>
          <w:p w14:paraId="44C81E7A">
            <w:pPr>
              <w:pStyle w:val="38"/>
              <w:keepNext w:val="0"/>
              <w:keepLines w:val="0"/>
              <w:widowControl/>
              <w:suppressLineNumbers w:val="0"/>
              <w:spacing w:before="0" w:beforeAutospacing="0" w:after="0" w:afterAutospacing="0"/>
              <w:ind w:left="0" w:right="0"/>
              <w:jc w:val="center"/>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（F=100分）</w:t>
            </w:r>
          </w:p>
        </w:tc>
        <w:tc>
          <w:tcPr>
            <w:tcW w:w="1380" w:type="dxa"/>
            <w:tcBorders>
              <w:top w:val="single" w:color="000000" w:sz="6" w:space="0"/>
              <w:left w:val="single" w:color="000000" w:sz="6" w:space="0"/>
              <w:bottom w:val="single" w:color="auto" w:sz="4" w:space="0"/>
              <w:right w:val="single" w:color="000000" w:sz="6" w:space="0"/>
            </w:tcBorders>
            <w:noWrap w:val="0"/>
            <w:tcMar>
              <w:top w:w="0" w:type="dxa"/>
              <w:left w:w="108" w:type="dxa"/>
              <w:bottom w:w="0" w:type="dxa"/>
              <w:right w:w="108" w:type="dxa"/>
            </w:tcMar>
            <w:vAlign w:val="center"/>
          </w:tcPr>
          <w:p w14:paraId="23F1C859">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lang w:val="en-US" w:eastAsia="zh-CN"/>
              </w:rPr>
              <w:t>综合</w:t>
            </w:r>
            <w:r>
              <w:rPr>
                <w:rFonts w:hint="eastAsia" w:ascii="宋体" w:hAnsi="宋体" w:eastAsia="宋体" w:cs="宋体"/>
                <w:b w:val="0"/>
                <w:bCs w:val="0"/>
                <w:i w:val="0"/>
                <w:iCs w:val="0"/>
                <w:color w:val="000000"/>
                <w:spacing w:val="0"/>
                <w:w w:val="100"/>
                <w:sz w:val="20"/>
                <w:szCs w:val="20"/>
                <w:vertAlign w:val="baseline"/>
              </w:rPr>
              <w:t>实力</w:t>
            </w:r>
          </w:p>
          <w:p w14:paraId="6E1BBEC7">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b w:val="0"/>
                <w:bCs w:val="0"/>
                <w:i w:val="0"/>
                <w:iCs w:val="0"/>
                <w:color w:val="000000"/>
                <w:spacing w:val="0"/>
                <w:w w:val="100"/>
                <w:sz w:val="20"/>
                <w:szCs w:val="20"/>
                <w:vertAlign w:val="baseline"/>
              </w:rPr>
            </w:pPr>
            <w:r>
              <w:rPr>
                <w:rFonts w:hint="eastAsia" w:ascii="宋体" w:hAnsi="宋体" w:eastAsia="宋体" w:cs="宋体"/>
                <w:b w:val="0"/>
                <w:bCs w:val="0"/>
                <w:i w:val="0"/>
                <w:iCs w:val="0"/>
                <w:color w:val="000000"/>
                <w:spacing w:val="0"/>
                <w:w w:val="100"/>
                <w:sz w:val="20"/>
                <w:szCs w:val="20"/>
                <w:vertAlign w:val="baseline"/>
              </w:rPr>
              <w:t>(</w:t>
            </w:r>
            <w:r>
              <w:rPr>
                <w:rFonts w:hint="eastAsia" w:ascii="宋体" w:hAnsi="宋体" w:eastAsia="宋体" w:cs="宋体"/>
                <w:b w:val="0"/>
                <w:bCs w:val="0"/>
                <w:i w:val="0"/>
                <w:iCs w:val="0"/>
                <w:color w:val="000000"/>
                <w:spacing w:val="0"/>
                <w:w w:val="100"/>
                <w:sz w:val="20"/>
                <w:szCs w:val="20"/>
                <w:vertAlign w:val="baseline"/>
                <w:lang w:val="en-US" w:eastAsia="zh-CN"/>
              </w:rPr>
              <w:t>40</w:t>
            </w:r>
            <w:r>
              <w:rPr>
                <w:rFonts w:hint="eastAsia" w:ascii="宋体" w:hAnsi="宋体" w:eastAsia="宋体" w:cs="宋体"/>
                <w:b w:val="0"/>
                <w:bCs w:val="0"/>
                <w:i w:val="0"/>
                <w:iCs w:val="0"/>
                <w:color w:val="000000"/>
                <w:spacing w:val="0"/>
                <w:w w:val="100"/>
                <w:sz w:val="20"/>
                <w:szCs w:val="20"/>
                <w:vertAlign w:val="baseline"/>
              </w:rPr>
              <w:t>分)</w:t>
            </w:r>
          </w:p>
          <w:p w14:paraId="36F979ED">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b w:val="0"/>
                <w:bCs w:val="0"/>
                <w:i w:val="0"/>
                <w:iCs w:val="0"/>
                <w:color w:val="000000"/>
                <w:spacing w:val="0"/>
                <w:w w:val="100"/>
                <w:sz w:val="20"/>
                <w:szCs w:val="20"/>
                <w:vertAlign w:val="baseline"/>
                <w:lang w:val="en-US" w:eastAsia="zh-CN"/>
              </w:rPr>
            </w:pPr>
          </w:p>
        </w:tc>
        <w:tc>
          <w:tcPr>
            <w:tcW w:w="810" w:type="dxa"/>
            <w:tcBorders>
              <w:top w:val="single" w:color="000000" w:sz="6" w:space="0"/>
              <w:left w:val="single" w:color="000000" w:sz="6" w:space="0"/>
              <w:bottom w:val="single" w:color="auto" w:sz="4" w:space="0"/>
              <w:right w:val="single" w:color="auto" w:sz="4" w:space="0"/>
            </w:tcBorders>
            <w:noWrap w:val="0"/>
            <w:tcMar>
              <w:top w:w="0" w:type="dxa"/>
              <w:left w:w="108" w:type="dxa"/>
              <w:bottom w:w="0" w:type="dxa"/>
              <w:right w:w="108" w:type="dxa"/>
            </w:tcMar>
            <w:vAlign w:val="center"/>
          </w:tcPr>
          <w:p w14:paraId="5430E086">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sz w:val="20"/>
                <w:szCs w:val="20"/>
                <w:lang w:val="en-US" w:eastAsia="zh-CN"/>
              </w:rPr>
            </w:pPr>
            <w:r>
              <w:rPr>
                <w:rFonts w:hint="eastAsia" w:ascii="宋体" w:hAnsi="宋体" w:eastAsia="宋体" w:cs="宋体"/>
                <w:b w:val="0"/>
                <w:bCs w:val="0"/>
                <w:i w:val="0"/>
                <w:iCs w:val="0"/>
                <w:color w:val="000000"/>
                <w:spacing w:val="0"/>
                <w:w w:val="100"/>
                <w:sz w:val="20"/>
                <w:szCs w:val="20"/>
                <w:vertAlign w:val="baseline"/>
                <w:lang w:val="en-US" w:eastAsia="zh-CN"/>
              </w:rPr>
              <w:t>40</w:t>
            </w:r>
          </w:p>
        </w:tc>
        <w:tc>
          <w:tcPr>
            <w:tcW w:w="5020" w:type="dxa"/>
            <w:tcBorders>
              <w:top w:val="single" w:color="000000" w:sz="6"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4644C824">
            <w:pPr>
              <w:pStyle w:val="38"/>
              <w:keepNext w:val="0"/>
              <w:keepLines w:val="0"/>
              <w:widowControl/>
              <w:numPr>
                <w:ilvl w:val="0"/>
                <w:numId w:val="0"/>
              </w:numPr>
              <w:suppressLineNumbers w:val="0"/>
              <w:spacing w:before="0" w:beforeAutospacing="0" w:after="0" w:afterAutospacing="0" w:line="360" w:lineRule="exact"/>
              <w:ind w:right="0" w:rightChars="0"/>
              <w:jc w:val="left"/>
              <w:rPr>
                <w:rFonts w:hint="eastAsia" w:ascii="宋体" w:hAnsi="宋体" w:eastAsia="宋体" w:cs="宋体"/>
                <w:b w:val="0"/>
                <w:bCs w:val="0"/>
                <w:i w:val="0"/>
                <w:iCs w:val="0"/>
                <w:color w:val="auto"/>
                <w:spacing w:val="0"/>
                <w:w w:val="100"/>
                <w:sz w:val="20"/>
                <w:szCs w:val="20"/>
                <w:vertAlign w:val="baseline"/>
                <w:lang w:val="en-US" w:eastAsia="zh-CN"/>
              </w:rPr>
            </w:pPr>
            <w:r>
              <w:rPr>
                <w:rFonts w:hint="eastAsia" w:ascii="宋体" w:hAnsi="宋体" w:eastAsia="宋体" w:cs="宋体"/>
                <w:b w:val="0"/>
                <w:bCs w:val="0"/>
                <w:i w:val="0"/>
                <w:iCs w:val="0"/>
                <w:color w:val="auto"/>
                <w:spacing w:val="0"/>
                <w:w w:val="100"/>
                <w:sz w:val="20"/>
                <w:szCs w:val="20"/>
                <w:vertAlign w:val="baseline"/>
                <w:lang w:val="en-US" w:eastAsia="zh-CN"/>
              </w:rPr>
              <w:t>1、为保证产品及售后服务质量，所投“课桌椅”、“软包座席”</w:t>
            </w:r>
            <w:r>
              <w:rPr>
                <w:rFonts w:hint="eastAsia" w:ascii="宋体" w:hAnsi="宋体" w:eastAsia="宋体" w:cs="宋体"/>
                <w:b w:val="0"/>
                <w:bCs w:val="0"/>
                <w:i w:val="0"/>
                <w:iCs w:val="0"/>
                <w:color w:val="000000"/>
                <w:spacing w:val="3"/>
                <w:w w:val="100"/>
                <w:sz w:val="20"/>
                <w:szCs w:val="20"/>
                <w:vertAlign w:val="baseline"/>
                <w:lang w:val="en-US" w:eastAsia="zh-CN"/>
              </w:rPr>
              <w:t>制造厂商具有质量管理体系认证证书、</w:t>
            </w:r>
            <w:r>
              <w:rPr>
                <w:rFonts w:hint="eastAsia" w:ascii="宋体" w:hAnsi="宋体" w:eastAsia="宋体" w:cs="宋体"/>
                <w:color w:val="auto"/>
                <w:kern w:val="0"/>
                <w:sz w:val="20"/>
                <w:szCs w:val="20"/>
                <w:highlight w:val="none"/>
                <w:lang w:val="en-US" w:eastAsia="zh-CN" w:bidi="zh-CN"/>
              </w:rPr>
              <w:t>GB/T 27922-2011商品售后服务评价体系认证</w:t>
            </w:r>
            <w:r>
              <w:rPr>
                <w:rFonts w:hint="eastAsia" w:ascii="宋体" w:hAnsi="宋体" w:eastAsia="宋体" w:cs="宋体"/>
                <w:b w:val="0"/>
                <w:bCs w:val="0"/>
                <w:i w:val="0"/>
                <w:iCs w:val="0"/>
                <w:color w:val="000000"/>
                <w:spacing w:val="3"/>
                <w:w w:val="100"/>
                <w:sz w:val="20"/>
                <w:szCs w:val="20"/>
                <w:vertAlign w:val="baseline"/>
                <w:lang w:val="en-US" w:eastAsia="zh-CN"/>
              </w:rPr>
              <w:t>，</w:t>
            </w:r>
            <w:r>
              <w:rPr>
                <w:rFonts w:hint="eastAsia" w:ascii="宋体" w:hAnsi="宋体" w:eastAsia="宋体" w:cs="宋体"/>
                <w:b w:val="0"/>
                <w:bCs w:val="0"/>
                <w:i w:val="0"/>
                <w:iCs w:val="0"/>
                <w:color w:val="000000"/>
                <w:spacing w:val="0"/>
                <w:w w:val="100"/>
                <w:sz w:val="20"/>
                <w:szCs w:val="20"/>
                <w:vertAlign w:val="baseline"/>
              </w:rPr>
              <w:t>每提供一个</w:t>
            </w:r>
            <w:r>
              <w:rPr>
                <w:rFonts w:hint="eastAsia" w:cs="宋体"/>
                <w:b w:val="0"/>
                <w:bCs w:val="0"/>
                <w:i w:val="0"/>
                <w:iCs w:val="0"/>
                <w:color w:val="000000"/>
                <w:spacing w:val="0"/>
                <w:w w:val="100"/>
                <w:sz w:val="20"/>
                <w:szCs w:val="20"/>
                <w:vertAlign w:val="baseline"/>
                <w:lang w:eastAsia="zh-CN"/>
              </w:rPr>
              <w:t>产品相关证书</w:t>
            </w:r>
            <w:r>
              <w:rPr>
                <w:rFonts w:hint="eastAsia" w:ascii="宋体" w:hAnsi="宋体" w:eastAsia="宋体" w:cs="宋体"/>
                <w:b w:val="0"/>
                <w:bCs w:val="0"/>
                <w:i w:val="0"/>
                <w:iCs w:val="0"/>
                <w:color w:val="000000"/>
                <w:spacing w:val="0"/>
                <w:w w:val="100"/>
                <w:sz w:val="20"/>
                <w:szCs w:val="20"/>
                <w:vertAlign w:val="baseline"/>
              </w:rPr>
              <w:t>计</w:t>
            </w:r>
            <w:r>
              <w:rPr>
                <w:rFonts w:hint="eastAsia" w:ascii="宋体" w:hAnsi="宋体" w:eastAsia="宋体" w:cs="宋体"/>
                <w:b w:val="0"/>
                <w:bCs w:val="0"/>
                <w:i w:val="0"/>
                <w:iCs w:val="0"/>
                <w:color w:val="000000"/>
                <w:spacing w:val="0"/>
                <w:w w:val="100"/>
                <w:sz w:val="20"/>
                <w:szCs w:val="20"/>
                <w:vertAlign w:val="baseline"/>
                <w:lang w:val="en-US" w:eastAsia="zh-CN"/>
              </w:rPr>
              <w:t>5</w:t>
            </w:r>
            <w:r>
              <w:rPr>
                <w:rFonts w:hint="eastAsia" w:ascii="宋体" w:hAnsi="宋体" w:eastAsia="宋体" w:cs="宋体"/>
                <w:b w:val="0"/>
                <w:bCs w:val="0"/>
                <w:i w:val="0"/>
                <w:iCs w:val="0"/>
                <w:color w:val="000000"/>
                <w:spacing w:val="0"/>
                <w:w w:val="100"/>
                <w:sz w:val="20"/>
                <w:szCs w:val="20"/>
                <w:vertAlign w:val="baseline"/>
              </w:rPr>
              <w:t>分，共计</w:t>
            </w:r>
            <w:r>
              <w:rPr>
                <w:rFonts w:hint="eastAsia" w:ascii="宋体" w:hAnsi="宋体" w:eastAsia="宋体" w:cs="宋体"/>
                <w:b w:val="0"/>
                <w:bCs w:val="0"/>
                <w:i w:val="0"/>
                <w:iCs w:val="0"/>
                <w:color w:val="000000"/>
                <w:spacing w:val="0"/>
                <w:w w:val="100"/>
                <w:sz w:val="20"/>
                <w:szCs w:val="20"/>
                <w:vertAlign w:val="baseline"/>
                <w:lang w:val="en-US" w:eastAsia="zh-CN"/>
              </w:rPr>
              <w:t>10</w:t>
            </w:r>
            <w:r>
              <w:rPr>
                <w:rFonts w:hint="eastAsia" w:ascii="宋体" w:hAnsi="宋体" w:eastAsia="宋体" w:cs="宋体"/>
                <w:b w:val="0"/>
                <w:bCs w:val="0"/>
                <w:i w:val="0"/>
                <w:iCs w:val="0"/>
                <w:color w:val="000000"/>
                <w:spacing w:val="0"/>
                <w:w w:val="100"/>
                <w:sz w:val="20"/>
                <w:szCs w:val="20"/>
                <w:vertAlign w:val="baseline"/>
              </w:rPr>
              <w:t>分</w:t>
            </w:r>
            <w:r>
              <w:rPr>
                <w:rFonts w:hint="eastAsia" w:ascii="宋体" w:hAnsi="宋体" w:eastAsia="宋体" w:cs="宋体"/>
                <w:b w:val="0"/>
                <w:bCs w:val="0"/>
                <w:i w:val="0"/>
                <w:iCs w:val="0"/>
                <w:color w:val="auto"/>
                <w:spacing w:val="0"/>
                <w:w w:val="100"/>
                <w:sz w:val="20"/>
                <w:szCs w:val="20"/>
                <w:vertAlign w:val="baseline"/>
                <w:lang w:val="en-US" w:eastAsia="zh-CN"/>
              </w:rPr>
              <w:t>。(提供证书复印件并加盖投标人公章，否则不计分)。</w:t>
            </w:r>
          </w:p>
          <w:p w14:paraId="774604DB">
            <w:pPr>
              <w:pStyle w:val="38"/>
              <w:keepNext w:val="0"/>
              <w:keepLines w:val="0"/>
              <w:widowControl/>
              <w:numPr>
                <w:ilvl w:val="0"/>
                <w:numId w:val="0"/>
              </w:numPr>
              <w:suppressLineNumbers w:val="0"/>
              <w:spacing w:before="0" w:beforeAutospacing="0" w:after="0" w:afterAutospacing="0" w:line="360" w:lineRule="exact"/>
              <w:ind w:right="0" w:rightChars="0"/>
              <w:jc w:val="left"/>
              <w:rPr>
                <w:rFonts w:hint="eastAsia" w:ascii="宋体" w:hAnsi="宋体" w:eastAsia="宋体" w:cs="宋体"/>
                <w:b w:val="0"/>
                <w:bCs w:val="0"/>
                <w:i w:val="0"/>
                <w:iCs w:val="0"/>
                <w:color w:val="auto"/>
                <w:spacing w:val="0"/>
                <w:w w:val="100"/>
                <w:sz w:val="20"/>
                <w:szCs w:val="20"/>
                <w:vertAlign w:val="baseline"/>
                <w:lang w:val="en-US" w:eastAsia="zh-CN"/>
              </w:rPr>
            </w:pPr>
            <w:r>
              <w:rPr>
                <w:rFonts w:hint="eastAsia" w:ascii="宋体" w:hAnsi="宋体" w:eastAsia="宋体" w:cs="宋体"/>
                <w:b w:val="0"/>
                <w:bCs w:val="0"/>
                <w:i w:val="0"/>
                <w:iCs w:val="0"/>
                <w:color w:val="000000"/>
                <w:spacing w:val="3"/>
                <w:w w:val="100"/>
                <w:sz w:val="20"/>
                <w:szCs w:val="20"/>
                <w:vertAlign w:val="baseline"/>
                <w:lang w:val="en-US" w:eastAsia="zh-CN"/>
              </w:rPr>
              <w:t>2、</w:t>
            </w:r>
            <w:r>
              <w:rPr>
                <w:rFonts w:hint="eastAsia" w:ascii="宋体" w:hAnsi="宋体" w:eastAsia="宋体" w:cs="宋体"/>
                <w:b w:val="0"/>
                <w:bCs w:val="0"/>
                <w:i w:val="0"/>
                <w:iCs w:val="0"/>
                <w:color w:val="auto"/>
                <w:spacing w:val="0"/>
                <w:w w:val="100"/>
                <w:sz w:val="20"/>
                <w:szCs w:val="20"/>
                <w:vertAlign w:val="baseline"/>
                <w:lang w:val="en-US" w:eastAsia="zh-CN"/>
              </w:rPr>
              <w:t>为保证服务过程中云平台的信息安全，所投“云桌面”制造商具有中国信息安全测评中心颁发的信息安全服务资质证书(云计算安全类)的计10分。(提供证书复印件并加盖投标人公章，否则不计分)。</w:t>
            </w:r>
          </w:p>
          <w:p w14:paraId="52DEBB7E">
            <w:pPr>
              <w:pStyle w:val="38"/>
              <w:keepNext w:val="0"/>
              <w:keepLines w:val="0"/>
              <w:widowControl/>
              <w:numPr>
                <w:ilvl w:val="0"/>
                <w:numId w:val="0"/>
              </w:numPr>
              <w:suppressLineNumbers w:val="0"/>
              <w:spacing w:before="0" w:beforeAutospacing="0" w:after="0" w:afterAutospacing="0" w:line="360" w:lineRule="exact"/>
              <w:ind w:right="0" w:rightChars="0"/>
              <w:jc w:val="left"/>
              <w:rPr>
                <w:rFonts w:hint="eastAsia" w:ascii="宋体" w:hAnsi="宋体" w:eastAsia="宋体" w:cs="宋体"/>
                <w:b w:val="0"/>
                <w:bCs w:val="0"/>
                <w:i w:val="0"/>
                <w:iCs w:val="0"/>
                <w:color w:val="auto"/>
                <w:spacing w:val="0"/>
                <w:w w:val="100"/>
                <w:sz w:val="20"/>
                <w:szCs w:val="20"/>
                <w:vertAlign w:val="baseline"/>
                <w:lang w:val="en-US" w:eastAsia="zh-CN"/>
              </w:rPr>
            </w:pPr>
            <w:r>
              <w:rPr>
                <w:rFonts w:hint="eastAsia" w:ascii="宋体" w:hAnsi="宋体" w:eastAsia="宋体" w:cs="宋体"/>
                <w:b w:val="0"/>
                <w:bCs w:val="0"/>
                <w:i w:val="0"/>
                <w:iCs w:val="0"/>
                <w:color w:val="auto"/>
                <w:spacing w:val="0"/>
                <w:w w:val="100"/>
                <w:sz w:val="20"/>
                <w:szCs w:val="20"/>
                <w:vertAlign w:val="baseline"/>
                <w:lang w:val="en-US" w:eastAsia="zh-CN"/>
              </w:rPr>
              <w:t>3、  为保证产品质量，“智慧黑板”和“户内全彩LED屏”两类产品制造商均具有质量管理体系认证证书的计10分，仅单类产品具备证书计5分。(提供证书复印件并加盖投标人公章，否则不计分)。</w:t>
            </w:r>
          </w:p>
          <w:p w14:paraId="39734A7F">
            <w:pPr>
              <w:pStyle w:val="38"/>
              <w:keepNext w:val="0"/>
              <w:keepLines w:val="0"/>
              <w:widowControl/>
              <w:numPr>
                <w:ilvl w:val="0"/>
                <w:numId w:val="0"/>
              </w:numPr>
              <w:suppressLineNumbers w:val="0"/>
              <w:spacing w:before="0" w:beforeAutospacing="0" w:after="0" w:afterAutospacing="0" w:line="360" w:lineRule="exact"/>
              <w:ind w:right="0" w:rightChars="0"/>
              <w:jc w:val="left"/>
              <w:rPr>
                <w:rFonts w:hint="eastAsia" w:ascii="宋体" w:hAnsi="宋体" w:eastAsia="宋体" w:cs="宋体"/>
                <w:b w:val="0"/>
                <w:bCs w:val="0"/>
                <w:i w:val="0"/>
                <w:iCs w:val="0"/>
                <w:color w:val="auto"/>
                <w:spacing w:val="0"/>
                <w:w w:val="100"/>
                <w:sz w:val="20"/>
                <w:szCs w:val="20"/>
                <w:vertAlign w:val="baseline"/>
                <w:lang w:val="en-US" w:eastAsia="zh-CN"/>
              </w:rPr>
            </w:pPr>
            <w:r>
              <w:rPr>
                <w:rFonts w:hint="eastAsia" w:ascii="宋体" w:hAnsi="宋体" w:eastAsia="宋体" w:cs="宋体"/>
                <w:b w:val="0"/>
                <w:bCs w:val="0"/>
                <w:i w:val="0"/>
                <w:iCs w:val="0"/>
                <w:color w:val="auto"/>
                <w:spacing w:val="0"/>
                <w:w w:val="100"/>
                <w:sz w:val="20"/>
                <w:szCs w:val="20"/>
                <w:vertAlign w:val="baseline"/>
                <w:lang w:val="en-US" w:eastAsia="zh-CN"/>
              </w:rPr>
              <w:t>4、为保障项目安全运营，投标人具有中国信息安全测评中心颁发的信息安全服务资质证书(安全运营类)的计10分。(提供证书复印件并加盖投标人公章，否则不计分)。</w:t>
            </w:r>
          </w:p>
        </w:tc>
      </w:tr>
      <w:tr w14:paraId="0A838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50" w:hRule="atLeast"/>
          <w:jc w:val="center"/>
        </w:trPr>
        <w:tc>
          <w:tcPr>
            <w:tcW w:w="503" w:type="dxa"/>
            <w:vMerge w:val="continue"/>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68EE6C9E">
            <w:pPr>
              <w:rPr>
                <w:rFonts w:hint="eastAsia" w:ascii="宋体" w:hAnsi="宋体" w:eastAsia="宋体" w:cs="宋体"/>
                <w:sz w:val="20"/>
                <w:szCs w:val="20"/>
              </w:rPr>
            </w:pPr>
          </w:p>
        </w:tc>
        <w:tc>
          <w:tcPr>
            <w:tcW w:w="1573" w:type="dxa"/>
            <w:vMerge w:val="continue"/>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4EE76410">
            <w:pPr>
              <w:rPr>
                <w:rFonts w:hint="eastAsia" w:ascii="宋体" w:hAnsi="宋体" w:eastAsia="宋体" w:cs="宋体"/>
                <w:sz w:val="20"/>
                <w:szCs w:val="20"/>
              </w:rPr>
            </w:pPr>
          </w:p>
        </w:tc>
        <w:tc>
          <w:tcPr>
            <w:tcW w:w="1380" w:type="dxa"/>
            <w:tcBorders>
              <w:top w:val="single" w:color="auto" w:sz="4" w:space="0"/>
              <w:left w:val="single" w:color="000000" w:sz="6" w:space="0"/>
              <w:right w:val="single" w:color="000000" w:sz="6" w:space="0"/>
            </w:tcBorders>
            <w:noWrap w:val="0"/>
            <w:tcMar>
              <w:top w:w="0" w:type="dxa"/>
              <w:left w:w="108" w:type="dxa"/>
              <w:bottom w:w="0" w:type="dxa"/>
              <w:right w:w="108" w:type="dxa"/>
            </w:tcMar>
            <w:vAlign w:val="center"/>
          </w:tcPr>
          <w:p w14:paraId="3ACE72C7">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售后服务方案（</w:t>
            </w:r>
            <w:r>
              <w:rPr>
                <w:rFonts w:hint="eastAsia" w:ascii="宋体" w:hAnsi="宋体" w:eastAsia="宋体" w:cs="宋体"/>
                <w:b w:val="0"/>
                <w:bCs w:val="0"/>
                <w:i w:val="0"/>
                <w:iCs w:val="0"/>
                <w:color w:val="000000"/>
                <w:spacing w:val="0"/>
                <w:w w:val="100"/>
                <w:sz w:val="20"/>
                <w:szCs w:val="20"/>
                <w:vertAlign w:val="baseline"/>
                <w:lang w:val="en-US" w:eastAsia="zh-CN"/>
              </w:rPr>
              <w:t>20</w:t>
            </w:r>
            <w:r>
              <w:rPr>
                <w:rFonts w:hint="eastAsia" w:ascii="宋体" w:hAnsi="宋体" w:eastAsia="宋体" w:cs="宋体"/>
                <w:b w:val="0"/>
                <w:bCs w:val="0"/>
                <w:i w:val="0"/>
                <w:iCs w:val="0"/>
                <w:color w:val="000000"/>
                <w:spacing w:val="0"/>
                <w:w w:val="100"/>
                <w:sz w:val="20"/>
                <w:szCs w:val="20"/>
                <w:vertAlign w:val="baseline"/>
              </w:rPr>
              <w:t>分）</w:t>
            </w:r>
          </w:p>
        </w:tc>
        <w:tc>
          <w:tcPr>
            <w:tcW w:w="810" w:type="dxa"/>
            <w:tcBorders>
              <w:top w:val="single" w:color="auto" w:sz="4" w:space="0"/>
              <w:left w:val="single" w:color="000000" w:sz="6" w:space="0"/>
              <w:right w:val="single" w:color="auto" w:sz="4" w:space="0"/>
            </w:tcBorders>
            <w:noWrap w:val="0"/>
            <w:tcMar>
              <w:top w:w="0" w:type="dxa"/>
              <w:left w:w="108" w:type="dxa"/>
              <w:bottom w:w="0" w:type="dxa"/>
              <w:right w:w="108" w:type="dxa"/>
            </w:tcMar>
            <w:vAlign w:val="center"/>
          </w:tcPr>
          <w:p w14:paraId="624C6443">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sz w:val="20"/>
                <w:szCs w:val="20"/>
                <w:lang w:val="en-US" w:eastAsia="zh-CN"/>
              </w:rPr>
            </w:pPr>
            <w:r>
              <w:rPr>
                <w:rFonts w:hint="eastAsia" w:ascii="宋体" w:hAnsi="宋体" w:eastAsia="宋体" w:cs="宋体"/>
                <w:b w:val="0"/>
                <w:bCs w:val="0"/>
                <w:i w:val="0"/>
                <w:iCs w:val="0"/>
                <w:color w:val="000000"/>
                <w:spacing w:val="0"/>
                <w:w w:val="100"/>
                <w:sz w:val="20"/>
                <w:szCs w:val="20"/>
                <w:vertAlign w:val="baseline"/>
                <w:lang w:val="en-US" w:eastAsia="zh-CN"/>
              </w:rPr>
              <w:t>20</w:t>
            </w:r>
          </w:p>
        </w:tc>
        <w:tc>
          <w:tcPr>
            <w:tcW w:w="5020" w:type="dxa"/>
            <w:tcBorders>
              <w:top w:val="single" w:color="auto" w:sz="4"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54EC17B1">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center"/>
              <w:rPr>
                <w:rFonts w:hint="eastAsia" w:ascii="宋体" w:hAnsi="宋体" w:eastAsia="宋体" w:cs="宋体"/>
                <w:b w:val="0"/>
                <w:bCs w:val="0"/>
                <w:i w:val="0"/>
                <w:iCs w:val="0"/>
                <w:color w:val="000000"/>
                <w:spacing w:val="1"/>
                <w:w w:val="100"/>
                <w:sz w:val="20"/>
                <w:szCs w:val="20"/>
                <w:vertAlign w:val="baseline"/>
              </w:rPr>
            </w:pPr>
            <w:r>
              <w:rPr>
                <w:rFonts w:hint="eastAsia" w:ascii="宋体" w:hAnsi="宋体" w:eastAsia="宋体" w:cs="宋体"/>
                <w:b w:val="0"/>
                <w:bCs w:val="0"/>
                <w:i w:val="0"/>
                <w:iCs w:val="0"/>
                <w:color w:val="000000"/>
                <w:spacing w:val="3"/>
                <w:w w:val="100"/>
                <w:kern w:val="2"/>
                <w:sz w:val="20"/>
                <w:szCs w:val="20"/>
                <w:vertAlign w:val="baseline"/>
                <w:lang w:val="en-US" w:eastAsia="zh-CN" w:bidi="ar-SA"/>
              </w:rPr>
              <w:t>售后服务方案包含但不限于：（1）售后服务处理流程，（2）售后服务人员安排，（3）故障响应、恢复时间，（4）应急保障方案，（5）售后服务本地化服务能力及技术支持方式。方案完整、符合项目需求、可实施性强的计20分，缺漏项每项扣4分，扣完为止；方案不完善、不合理、实施性不强的的每处扣2分。</w:t>
            </w:r>
            <w:r>
              <w:rPr>
                <w:rFonts w:hint="eastAsia" w:ascii="宋体" w:hAnsi="宋体" w:eastAsia="宋体" w:cs="宋体"/>
                <w:b w:val="0"/>
                <w:bCs w:val="0"/>
                <w:i w:val="0"/>
                <w:iCs w:val="0"/>
                <w:color w:val="000000"/>
                <w:spacing w:val="3"/>
                <w:w w:val="100"/>
                <w:kern w:val="2"/>
                <w:sz w:val="20"/>
                <w:szCs w:val="20"/>
                <w:vertAlign w:val="baseline"/>
                <w:lang w:val="en-US" w:eastAsia="zh-CN" w:bidi="ar-SA"/>
              </w:rPr>
              <w:br w:type="textWrapping"/>
            </w:r>
            <w:r>
              <w:rPr>
                <w:rFonts w:hint="eastAsia" w:ascii="宋体" w:hAnsi="宋体" w:eastAsia="宋体" w:cs="宋体"/>
                <w:b w:val="0"/>
                <w:bCs w:val="0"/>
                <w:i w:val="0"/>
                <w:iCs w:val="0"/>
                <w:color w:val="000000"/>
                <w:spacing w:val="3"/>
                <w:w w:val="100"/>
                <w:kern w:val="2"/>
                <w:sz w:val="20"/>
                <w:szCs w:val="20"/>
                <w:vertAlign w:val="baseline"/>
                <w:lang w:val="en-US" w:eastAsia="zh-CN" w:bidi="ar-SA"/>
              </w:rPr>
              <w:t>注：方案不完善、不合理、实施性不强是指符合以下任意一项:1.方案内容与项目需求不一致或没有关联性；2.未涵盖所有必要的实施方案和流程；3.条理不清晰；4.方案内容与本项目实际情况存在差异性；5.内容空洞、语义表述不清 ,前后矛盾，存在歧义、混乱内容不充实。</w:t>
            </w:r>
          </w:p>
        </w:tc>
      </w:tr>
      <w:tr w14:paraId="7AB58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50" w:hRule="atLeast"/>
          <w:jc w:val="center"/>
        </w:trPr>
        <w:tc>
          <w:tcPr>
            <w:tcW w:w="503" w:type="dxa"/>
            <w:vMerge w:val="continue"/>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432ED7DC">
            <w:pPr>
              <w:rPr>
                <w:rFonts w:hint="eastAsia" w:ascii="宋体" w:hAnsi="宋体" w:eastAsia="宋体" w:cs="宋体"/>
                <w:sz w:val="20"/>
                <w:szCs w:val="20"/>
              </w:rPr>
            </w:pPr>
          </w:p>
        </w:tc>
        <w:tc>
          <w:tcPr>
            <w:tcW w:w="1573" w:type="dxa"/>
            <w:vMerge w:val="continue"/>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7763C47E">
            <w:pPr>
              <w:rPr>
                <w:rFonts w:hint="eastAsia" w:ascii="宋体" w:hAnsi="宋体" w:eastAsia="宋体" w:cs="宋体"/>
                <w:sz w:val="20"/>
                <w:szCs w:val="20"/>
              </w:rPr>
            </w:pPr>
          </w:p>
        </w:tc>
        <w:tc>
          <w:tcPr>
            <w:tcW w:w="1380" w:type="dxa"/>
            <w:tcBorders>
              <w:top w:val="single" w:color="auto" w:sz="4" w:space="0"/>
              <w:left w:val="single" w:color="000000" w:sz="6" w:space="0"/>
              <w:right w:val="single" w:color="000000" w:sz="6" w:space="0"/>
            </w:tcBorders>
            <w:noWrap w:val="0"/>
            <w:tcMar>
              <w:top w:w="0" w:type="dxa"/>
              <w:left w:w="108" w:type="dxa"/>
              <w:bottom w:w="0" w:type="dxa"/>
              <w:right w:w="108" w:type="dxa"/>
            </w:tcMar>
            <w:vAlign w:val="center"/>
          </w:tcPr>
          <w:p w14:paraId="7906F4AA">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b w:val="0"/>
                <w:bCs w:val="0"/>
                <w:i w:val="0"/>
                <w:iCs w:val="0"/>
                <w:color w:val="000000"/>
                <w:spacing w:val="0"/>
                <w:w w:val="100"/>
                <w:sz w:val="20"/>
                <w:szCs w:val="20"/>
                <w:vertAlign w:val="baseline"/>
                <w:lang w:val="en-US" w:eastAsia="zh-CN"/>
              </w:rPr>
            </w:pPr>
            <w:r>
              <w:rPr>
                <w:rFonts w:hint="eastAsia" w:ascii="宋体" w:hAnsi="宋体" w:eastAsia="宋体" w:cs="宋体"/>
                <w:b w:val="0"/>
                <w:bCs w:val="0"/>
                <w:i w:val="0"/>
                <w:iCs w:val="0"/>
                <w:color w:val="000000"/>
                <w:spacing w:val="0"/>
                <w:w w:val="100"/>
                <w:sz w:val="20"/>
                <w:szCs w:val="20"/>
                <w:vertAlign w:val="baseline"/>
                <w:lang w:val="en-US" w:eastAsia="zh-CN"/>
              </w:rPr>
              <w:t>培训方案（</w:t>
            </w:r>
            <w:r>
              <w:rPr>
                <w:rFonts w:hint="eastAsia" w:cs="宋体"/>
                <w:b w:val="0"/>
                <w:bCs w:val="0"/>
                <w:i w:val="0"/>
                <w:iCs w:val="0"/>
                <w:color w:val="000000"/>
                <w:spacing w:val="0"/>
                <w:w w:val="100"/>
                <w:sz w:val="20"/>
                <w:szCs w:val="20"/>
                <w:vertAlign w:val="baseline"/>
                <w:lang w:val="en-US" w:eastAsia="zh-CN"/>
              </w:rPr>
              <w:t>20</w:t>
            </w:r>
            <w:r>
              <w:rPr>
                <w:rFonts w:hint="eastAsia" w:ascii="宋体" w:hAnsi="宋体" w:eastAsia="宋体" w:cs="宋体"/>
                <w:b w:val="0"/>
                <w:bCs w:val="0"/>
                <w:i w:val="0"/>
                <w:iCs w:val="0"/>
                <w:color w:val="000000"/>
                <w:spacing w:val="0"/>
                <w:w w:val="100"/>
                <w:sz w:val="20"/>
                <w:szCs w:val="20"/>
                <w:vertAlign w:val="baseline"/>
                <w:lang w:val="en-US" w:eastAsia="zh-CN"/>
              </w:rPr>
              <w:t>分）</w:t>
            </w:r>
          </w:p>
        </w:tc>
        <w:tc>
          <w:tcPr>
            <w:tcW w:w="810" w:type="dxa"/>
            <w:tcBorders>
              <w:top w:val="single" w:color="auto" w:sz="4" w:space="0"/>
              <w:left w:val="single" w:color="000000" w:sz="6" w:space="0"/>
              <w:right w:val="single" w:color="auto" w:sz="4" w:space="0"/>
            </w:tcBorders>
            <w:noWrap w:val="0"/>
            <w:tcMar>
              <w:top w:w="0" w:type="dxa"/>
              <w:left w:w="108" w:type="dxa"/>
              <w:bottom w:w="0" w:type="dxa"/>
              <w:right w:w="108" w:type="dxa"/>
            </w:tcMar>
            <w:vAlign w:val="center"/>
          </w:tcPr>
          <w:p w14:paraId="7B99AC87">
            <w:pPr>
              <w:pStyle w:val="38"/>
              <w:keepNext w:val="0"/>
              <w:keepLines w:val="0"/>
              <w:widowControl/>
              <w:suppressLineNumbers w:val="0"/>
              <w:spacing w:before="0" w:beforeAutospacing="0" w:after="0" w:afterAutospacing="0" w:line="360" w:lineRule="exact"/>
              <w:ind w:left="0" w:right="0"/>
              <w:jc w:val="center"/>
              <w:rPr>
                <w:rFonts w:hint="default" w:ascii="宋体" w:hAnsi="宋体" w:eastAsia="宋体" w:cs="宋体"/>
                <w:b w:val="0"/>
                <w:bCs w:val="0"/>
                <w:i w:val="0"/>
                <w:iCs w:val="0"/>
                <w:color w:val="000000"/>
                <w:spacing w:val="0"/>
                <w:w w:val="100"/>
                <w:sz w:val="20"/>
                <w:szCs w:val="20"/>
                <w:vertAlign w:val="baseline"/>
                <w:lang w:val="en-US" w:eastAsia="zh-CN"/>
              </w:rPr>
            </w:pPr>
            <w:r>
              <w:rPr>
                <w:rFonts w:hint="eastAsia" w:cs="宋体"/>
                <w:b w:val="0"/>
                <w:bCs w:val="0"/>
                <w:i w:val="0"/>
                <w:iCs w:val="0"/>
                <w:color w:val="000000"/>
                <w:spacing w:val="0"/>
                <w:w w:val="100"/>
                <w:sz w:val="20"/>
                <w:szCs w:val="20"/>
                <w:vertAlign w:val="baseline"/>
                <w:lang w:val="en-US" w:eastAsia="zh-CN"/>
              </w:rPr>
              <w:t>20</w:t>
            </w:r>
          </w:p>
        </w:tc>
        <w:tc>
          <w:tcPr>
            <w:tcW w:w="5020" w:type="dxa"/>
            <w:tcBorders>
              <w:top w:val="single" w:color="auto" w:sz="4"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5C110204">
            <w:pPr>
              <w:pStyle w:val="16"/>
              <w:keepNext w:val="0"/>
              <w:keepLines w:val="0"/>
              <w:pageBreakBefore w:val="0"/>
              <w:kinsoku/>
              <w:wordWrap/>
              <w:overflowPunct/>
              <w:topLinePunct w:val="0"/>
              <w:bidi w:val="0"/>
              <w:adjustRightInd/>
              <w:spacing w:line="360" w:lineRule="exact"/>
              <w:textAlignment w:val="auto"/>
              <w:rPr>
                <w:rFonts w:hint="eastAsia" w:ascii="宋体" w:hAnsi="宋体" w:eastAsia="宋体" w:cs="宋体"/>
                <w:color w:val="auto"/>
                <w:kern w:val="0"/>
                <w:sz w:val="20"/>
                <w:szCs w:val="20"/>
                <w:highlight w:val="none"/>
                <w:lang w:val="en-US" w:eastAsia="zh-CN" w:bidi="zh-CN"/>
              </w:rPr>
            </w:pPr>
            <w:r>
              <w:rPr>
                <w:rFonts w:hint="eastAsia" w:ascii="宋体" w:hAnsi="宋体" w:eastAsia="宋体" w:cs="宋体"/>
                <w:b w:val="0"/>
                <w:bCs w:val="0"/>
                <w:i w:val="0"/>
                <w:iCs w:val="0"/>
                <w:color w:val="000000"/>
                <w:spacing w:val="0"/>
                <w:w w:val="100"/>
                <w:kern w:val="2"/>
                <w:sz w:val="20"/>
                <w:szCs w:val="20"/>
                <w:vertAlign w:val="baseline"/>
                <w:lang w:val="en-US" w:eastAsia="zh-CN" w:bidi="ar-SA"/>
              </w:rPr>
              <w:t>对投标人提供的培训方案计分，包含但不限于：（1）培训计划、（2）培训对象、（3）培训时间、（4）培训方式等。方案完整、符合项目需求、可实施性强的计</w:t>
            </w:r>
            <w:r>
              <w:rPr>
                <w:rFonts w:hint="eastAsia" w:ascii="宋体" w:hAnsi="宋体" w:cs="宋体"/>
                <w:b w:val="0"/>
                <w:bCs w:val="0"/>
                <w:i w:val="0"/>
                <w:iCs w:val="0"/>
                <w:color w:val="000000"/>
                <w:spacing w:val="0"/>
                <w:w w:val="100"/>
                <w:kern w:val="2"/>
                <w:sz w:val="20"/>
                <w:szCs w:val="20"/>
                <w:vertAlign w:val="baseline"/>
                <w:lang w:val="en-US" w:eastAsia="zh-CN" w:bidi="ar-SA"/>
              </w:rPr>
              <w:t>20</w:t>
            </w:r>
            <w:r>
              <w:rPr>
                <w:rFonts w:hint="eastAsia" w:ascii="宋体" w:hAnsi="宋体" w:eastAsia="宋体" w:cs="宋体"/>
                <w:b w:val="0"/>
                <w:bCs w:val="0"/>
                <w:i w:val="0"/>
                <w:iCs w:val="0"/>
                <w:color w:val="000000"/>
                <w:spacing w:val="0"/>
                <w:w w:val="100"/>
                <w:kern w:val="2"/>
                <w:sz w:val="20"/>
                <w:szCs w:val="20"/>
                <w:vertAlign w:val="baseline"/>
                <w:lang w:val="en-US" w:eastAsia="zh-CN" w:bidi="ar-SA"/>
              </w:rPr>
              <w:t>分，缺漏项每项扣</w:t>
            </w:r>
            <w:r>
              <w:rPr>
                <w:rFonts w:hint="eastAsia" w:ascii="宋体" w:hAnsi="宋体" w:cs="宋体"/>
                <w:b w:val="0"/>
                <w:bCs w:val="0"/>
                <w:i w:val="0"/>
                <w:iCs w:val="0"/>
                <w:color w:val="000000"/>
                <w:spacing w:val="0"/>
                <w:w w:val="100"/>
                <w:kern w:val="2"/>
                <w:sz w:val="20"/>
                <w:szCs w:val="20"/>
                <w:vertAlign w:val="baseline"/>
                <w:lang w:val="en-US" w:eastAsia="zh-CN" w:bidi="ar-SA"/>
              </w:rPr>
              <w:t>5</w:t>
            </w:r>
            <w:r>
              <w:rPr>
                <w:rFonts w:hint="eastAsia" w:ascii="宋体" w:hAnsi="宋体" w:eastAsia="宋体" w:cs="宋体"/>
                <w:b w:val="0"/>
                <w:bCs w:val="0"/>
                <w:i w:val="0"/>
                <w:iCs w:val="0"/>
                <w:color w:val="000000"/>
                <w:spacing w:val="0"/>
                <w:w w:val="100"/>
                <w:kern w:val="2"/>
                <w:sz w:val="20"/>
                <w:szCs w:val="20"/>
                <w:vertAlign w:val="baseline"/>
                <w:lang w:val="en-US" w:eastAsia="zh-CN" w:bidi="ar-SA"/>
              </w:rPr>
              <w:t>分，扣完为止；方案不完善、不合理、实施性不强的的每处扣2</w:t>
            </w:r>
            <w:r>
              <w:rPr>
                <w:rFonts w:hint="eastAsia" w:ascii="宋体" w:hAnsi="宋体" w:cs="宋体"/>
                <w:b w:val="0"/>
                <w:bCs w:val="0"/>
                <w:i w:val="0"/>
                <w:iCs w:val="0"/>
                <w:color w:val="000000"/>
                <w:spacing w:val="0"/>
                <w:w w:val="100"/>
                <w:kern w:val="2"/>
                <w:sz w:val="20"/>
                <w:szCs w:val="20"/>
                <w:vertAlign w:val="baseline"/>
                <w:lang w:val="en-US" w:eastAsia="zh-CN" w:bidi="ar-SA"/>
              </w:rPr>
              <w:t>.5</w:t>
            </w:r>
            <w:r>
              <w:rPr>
                <w:rFonts w:hint="eastAsia" w:ascii="宋体" w:hAnsi="宋体" w:eastAsia="宋体" w:cs="宋体"/>
                <w:b w:val="0"/>
                <w:bCs w:val="0"/>
                <w:i w:val="0"/>
                <w:iCs w:val="0"/>
                <w:color w:val="000000"/>
                <w:spacing w:val="0"/>
                <w:w w:val="100"/>
                <w:kern w:val="2"/>
                <w:sz w:val="20"/>
                <w:szCs w:val="20"/>
                <w:vertAlign w:val="baseline"/>
                <w:lang w:val="en-US" w:eastAsia="zh-CN" w:bidi="ar-SA"/>
              </w:rPr>
              <w:t>分。</w:t>
            </w:r>
            <w:r>
              <w:rPr>
                <w:rFonts w:hint="eastAsia" w:ascii="宋体" w:hAnsi="宋体" w:eastAsia="宋体" w:cs="宋体"/>
                <w:b w:val="0"/>
                <w:bCs w:val="0"/>
                <w:i w:val="0"/>
                <w:iCs w:val="0"/>
                <w:color w:val="000000"/>
                <w:spacing w:val="0"/>
                <w:w w:val="100"/>
                <w:kern w:val="2"/>
                <w:sz w:val="20"/>
                <w:szCs w:val="20"/>
                <w:vertAlign w:val="baseline"/>
                <w:lang w:val="en-US" w:eastAsia="zh-CN" w:bidi="ar-SA"/>
              </w:rPr>
              <w:br w:type="textWrapping"/>
            </w:r>
            <w:r>
              <w:rPr>
                <w:rFonts w:hint="eastAsia" w:ascii="宋体" w:hAnsi="宋体" w:eastAsia="宋体" w:cs="宋体"/>
                <w:b w:val="0"/>
                <w:bCs w:val="0"/>
                <w:i w:val="0"/>
                <w:iCs w:val="0"/>
                <w:color w:val="000000"/>
                <w:spacing w:val="0"/>
                <w:w w:val="100"/>
                <w:kern w:val="2"/>
                <w:sz w:val="20"/>
                <w:szCs w:val="20"/>
                <w:vertAlign w:val="baseline"/>
                <w:lang w:val="en-US" w:eastAsia="zh-CN" w:bidi="ar-SA"/>
              </w:rPr>
              <w:t>注：方案不完善、不合理、实施性不强是指符合以下任意一项:1.方案内容与项目需求不一致或没有关联性；2.未涵盖所有必要的实施方案和流程；3.条理不清晰；4.方案内容与本项目实际情况存在差异性；5.内容空洞、语义表述不清 ,前后矛盾，存在歧义、混乱内容不充实。</w:t>
            </w:r>
          </w:p>
        </w:tc>
      </w:tr>
      <w:tr w14:paraId="4038A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3" w:hRule="atLeast"/>
          <w:jc w:val="center"/>
        </w:trPr>
        <w:tc>
          <w:tcPr>
            <w:tcW w:w="503" w:type="dxa"/>
            <w:vMerge w:val="continue"/>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409E18FE">
            <w:pPr>
              <w:rPr>
                <w:rFonts w:hint="eastAsia" w:ascii="宋体" w:hAnsi="宋体" w:eastAsia="宋体" w:cs="宋体"/>
                <w:sz w:val="20"/>
                <w:szCs w:val="20"/>
              </w:rPr>
            </w:pPr>
          </w:p>
        </w:tc>
        <w:tc>
          <w:tcPr>
            <w:tcW w:w="1573" w:type="dxa"/>
            <w:vMerge w:val="continue"/>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074B8E89">
            <w:pPr>
              <w:rPr>
                <w:rFonts w:hint="eastAsia" w:ascii="宋体" w:hAnsi="宋体" w:eastAsia="宋体" w:cs="宋体"/>
                <w:sz w:val="20"/>
                <w:szCs w:val="20"/>
              </w:rPr>
            </w:pPr>
          </w:p>
        </w:tc>
        <w:tc>
          <w:tcPr>
            <w:tcW w:w="1380" w:type="dxa"/>
            <w:tcBorders>
              <w:top w:val="single" w:color="auto" w:sz="4" w:space="0"/>
              <w:left w:val="single" w:color="000000" w:sz="6" w:space="0"/>
              <w:bottom w:val="single" w:color="auto" w:sz="4" w:space="0"/>
              <w:right w:val="single" w:color="000000" w:sz="6" w:space="0"/>
            </w:tcBorders>
            <w:noWrap w:val="0"/>
            <w:tcMar>
              <w:top w:w="0" w:type="dxa"/>
              <w:left w:w="108" w:type="dxa"/>
              <w:bottom w:w="0" w:type="dxa"/>
              <w:right w:w="108" w:type="dxa"/>
            </w:tcMar>
            <w:vAlign w:val="center"/>
          </w:tcPr>
          <w:p w14:paraId="4888A829">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b w:val="0"/>
                <w:bCs w:val="0"/>
                <w:i w:val="0"/>
                <w:iCs w:val="0"/>
                <w:color w:val="000000"/>
                <w:spacing w:val="0"/>
                <w:w w:val="100"/>
                <w:sz w:val="20"/>
                <w:szCs w:val="20"/>
                <w:vertAlign w:val="baseline"/>
                <w:lang w:val="en-US" w:eastAsia="zh-CN"/>
              </w:rPr>
            </w:pPr>
            <w:r>
              <w:rPr>
                <w:rFonts w:hint="eastAsia" w:ascii="宋体" w:hAnsi="宋体" w:eastAsia="宋体" w:cs="宋体"/>
                <w:b w:val="0"/>
                <w:bCs w:val="0"/>
                <w:i w:val="0"/>
                <w:iCs w:val="0"/>
                <w:color w:val="000000"/>
                <w:spacing w:val="0"/>
                <w:w w:val="100"/>
                <w:sz w:val="20"/>
                <w:szCs w:val="20"/>
                <w:vertAlign w:val="baseline"/>
                <w:lang w:val="en-US" w:eastAsia="zh-CN"/>
              </w:rPr>
              <w:t>项目实施团队（1</w:t>
            </w:r>
            <w:r>
              <w:rPr>
                <w:rFonts w:hint="eastAsia" w:cs="宋体"/>
                <w:b w:val="0"/>
                <w:bCs w:val="0"/>
                <w:i w:val="0"/>
                <w:iCs w:val="0"/>
                <w:color w:val="000000"/>
                <w:spacing w:val="0"/>
                <w:w w:val="100"/>
                <w:sz w:val="20"/>
                <w:szCs w:val="20"/>
                <w:vertAlign w:val="baseline"/>
                <w:lang w:val="en-US" w:eastAsia="zh-CN"/>
              </w:rPr>
              <w:t>2</w:t>
            </w:r>
            <w:r>
              <w:rPr>
                <w:rFonts w:hint="eastAsia" w:ascii="宋体" w:hAnsi="宋体" w:eastAsia="宋体" w:cs="宋体"/>
                <w:b w:val="0"/>
                <w:bCs w:val="0"/>
                <w:i w:val="0"/>
                <w:iCs w:val="0"/>
                <w:color w:val="000000"/>
                <w:spacing w:val="0"/>
                <w:w w:val="100"/>
                <w:sz w:val="20"/>
                <w:szCs w:val="20"/>
                <w:vertAlign w:val="baseline"/>
                <w:lang w:val="en-US" w:eastAsia="zh-CN"/>
              </w:rPr>
              <w:t>分）</w:t>
            </w:r>
          </w:p>
        </w:tc>
        <w:tc>
          <w:tcPr>
            <w:tcW w:w="810" w:type="dxa"/>
            <w:tcBorders>
              <w:top w:val="single" w:color="auto" w:sz="4" w:space="0"/>
              <w:left w:val="single" w:color="000000" w:sz="6" w:space="0"/>
              <w:bottom w:val="single" w:color="auto" w:sz="4" w:space="0"/>
              <w:right w:val="single" w:color="auto" w:sz="4" w:space="0"/>
            </w:tcBorders>
            <w:noWrap w:val="0"/>
            <w:tcMar>
              <w:top w:w="0" w:type="dxa"/>
              <w:left w:w="108" w:type="dxa"/>
              <w:bottom w:w="0" w:type="dxa"/>
              <w:right w:w="108" w:type="dxa"/>
            </w:tcMar>
            <w:vAlign w:val="center"/>
          </w:tcPr>
          <w:p w14:paraId="363578EA">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b w:val="0"/>
                <w:bCs w:val="0"/>
                <w:i w:val="0"/>
                <w:iCs w:val="0"/>
                <w:color w:val="000000"/>
                <w:spacing w:val="0"/>
                <w:w w:val="100"/>
                <w:sz w:val="20"/>
                <w:szCs w:val="20"/>
                <w:vertAlign w:val="baseline"/>
                <w:lang w:val="en-US" w:eastAsia="zh-CN"/>
              </w:rPr>
            </w:pPr>
            <w:r>
              <w:rPr>
                <w:rFonts w:hint="eastAsia" w:ascii="宋体" w:hAnsi="宋体" w:eastAsia="宋体" w:cs="宋体"/>
                <w:b w:val="0"/>
                <w:bCs w:val="0"/>
                <w:i w:val="0"/>
                <w:iCs w:val="0"/>
                <w:color w:val="000000"/>
                <w:spacing w:val="0"/>
                <w:w w:val="100"/>
                <w:sz w:val="20"/>
                <w:szCs w:val="20"/>
                <w:vertAlign w:val="baseline"/>
                <w:lang w:val="en-US" w:eastAsia="zh-CN"/>
              </w:rPr>
              <w:t>1</w:t>
            </w:r>
            <w:r>
              <w:rPr>
                <w:rFonts w:hint="eastAsia" w:cs="宋体"/>
                <w:b w:val="0"/>
                <w:bCs w:val="0"/>
                <w:i w:val="0"/>
                <w:iCs w:val="0"/>
                <w:color w:val="000000"/>
                <w:spacing w:val="0"/>
                <w:w w:val="100"/>
                <w:sz w:val="20"/>
                <w:szCs w:val="20"/>
                <w:vertAlign w:val="baseline"/>
                <w:lang w:val="en-US" w:eastAsia="zh-CN"/>
              </w:rPr>
              <w:t>2</w:t>
            </w:r>
          </w:p>
        </w:tc>
        <w:tc>
          <w:tcPr>
            <w:tcW w:w="5020" w:type="dxa"/>
            <w:tcBorders>
              <w:top w:val="single" w:color="auto" w:sz="4"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6818E929">
            <w:pPr>
              <w:pStyle w:val="38"/>
              <w:keepNext w:val="0"/>
              <w:keepLines w:val="0"/>
              <w:widowControl/>
              <w:suppressLineNumbers w:val="0"/>
              <w:spacing w:before="0" w:beforeAutospacing="0" w:after="0" w:afterAutospacing="0" w:line="360" w:lineRule="exact"/>
              <w:ind w:left="0" w:right="0"/>
              <w:jc w:val="left"/>
              <w:rPr>
                <w:rFonts w:hint="eastAsia" w:ascii="宋体" w:hAnsi="宋体" w:eastAsia="宋体" w:cs="宋体"/>
                <w:b w:val="0"/>
                <w:bCs w:val="0"/>
                <w:i w:val="0"/>
                <w:iCs w:val="0"/>
                <w:color w:val="000000"/>
                <w:spacing w:val="0"/>
                <w:w w:val="100"/>
                <w:sz w:val="20"/>
                <w:szCs w:val="20"/>
                <w:vertAlign w:val="baseline"/>
                <w:lang w:val="en-US" w:eastAsia="zh-CN"/>
              </w:rPr>
            </w:pPr>
            <w:r>
              <w:rPr>
                <w:rFonts w:hint="eastAsia" w:ascii="宋体" w:hAnsi="宋体" w:eastAsia="宋体" w:cs="宋体"/>
                <w:sz w:val="20"/>
                <w:szCs w:val="20"/>
                <w:highlight w:val="none"/>
                <w:lang w:val="en-US" w:eastAsia="zh-CN"/>
              </w:rPr>
              <w:t>1</w:t>
            </w:r>
            <w:r>
              <w:rPr>
                <w:rFonts w:hint="eastAsia" w:ascii="宋体" w:hAnsi="宋体" w:eastAsia="宋体" w:cs="宋体"/>
                <w:b w:val="0"/>
                <w:bCs w:val="0"/>
                <w:i w:val="0"/>
                <w:iCs w:val="0"/>
                <w:color w:val="000000"/>
                <w:spacing w:val="0"/>
                <w:w w:val="100"/>
                <w:sz w:val="20"/>
                <w:szCs w:val="20"/>
                <w:vertAlign w:val="baseline"/>
                <w:lang w:val="en-US" w:eastAsia="zh-CN"/>
              </w:rPr>
              <w:t>、投标人拟派的项目经理具有信息系统项目管理师证书和网络工程师证书的计</w:t>
            </w:r>
            <w:r>
              <w:rPr>
                <w:rFonts w:hint="eastAsia" w:cs="宋体"/>
                <w:b w:val="0"/>
                <w:bCs w:val="0"/>
                <w:i w:val="0"/>
                <w:iCs w:val="0"/>
                <w:color w:val="000000"/>
                <w:spacing w:val="0"/>
                <w:w w:val="100"/>
                <w:sz w:val="20"/>
                <w:szCs w:val="20"/>
                <w:vertAlign w:val="baseline"/>
                <w:lang w:val="en-US" w:eastAsia="zh-CN"/>
              </w:rPr>
              <w:t>6</w:t>
            </w:r>
            <w:r>
              <w:rPr>
                <w:rFonts w:hint="eastAsia" w:ascii="宋体" w:hAnsi="宋体" w:eastAsia="宋体" w:cs="宋体"/>
                <w:b w:val="0"/>
                <w:bCs w:val="0"/>
                <w:i w:val="0"/>
                <w:iCs w:val="0"/>
                <w:color w:val="000000"/>
                <w:spacing w:val="0"/>
                <w:w w:val="100"/>
                <w:sz w:val="20"/>
                <w:szCs w:val="20"/>
                <w:vertAlign w:val="baseline"/>
                <w:lang w:val="en-US" w:eastAsia="zh-CN"/>
              </w:rPr>
              <w:t>分，每缺一个扣</w:t>
            </w:r>
            <w:r>
              <w:rPr>
                <w:rFonts w:hint="eastAsia" w:cs="宋体"/>
                <w:b w:val="0"/>
                <w:bCs w:val="0"/>
                <w:i w:val="0"/>
                <w:iCs w:val="0"/>
                <w:color w:val="000000"/>
                <w:spacing w:val="0"/>
                <w:w w:val="100"/>
                <w:sz w:val="20"/>
                <w:szCs w:val="20"/>
                <w:vertAlign w:val="baseline"/>
                <w:lang w:val="en-US" w:eastAsia="zh-CN"/>
              </w:rPr>
              <w:t>3</w:t>
            </w:r>
            <w:r>
              <w:rPr>
                <w:rFonts w:hint="eastAsia" w:ascii="宋体" w:hAnsi="宋体" w:eastAsia="宋体" w:cs="宋体"/>
                <w:b w:val="0"/>
                <w:bCs w:val="0"/>
                <w:i w:val="0"/>
                <w:iCs w:val="0"/>
                <w:color w:val="000000"/>
                <w:spacing w:val="0"/>
                <w:w w:val="100"/>
                <w:sz w:val="20"/>
                <w:szCs w:val="20"/>
                <w:vertAlign w:val="baseline"/>
                <w:lang w:val="en-US" w:eastAsia="zh-CN"/>
              </w:rPr>
              <w:t>分，扣完为止。</w:t>
            </w:r>
          </w:p>
          <w:p w14:paraId="412B921C">
            <w:pPr>
              <w:pStyle w:val="38"/>
              <w:keepNext w:val="0"/>
              <w:keepLines w:val="0"/>
              <w:widowControl/>
              <w:suppressLineNumbers w:val="0"/>
              <w:spacing w:before="0" w:beforeAutospacing="0" w:after="0" w:afterAutospacing="0" w:line="360" w:lineRule="exact"/>
              <w:ind w:left="0" w:right="0"/>
              <w:jc w:val="left"/>
              <w:rPr>
                <w:rFonts w:hint="eastAsia" w:ascii="宋体" w:hAnsi="宋体" w:eastAsia="宋体" w:cs="宋体"/>
                <w:b w:val="0"/>
                <w:bCs w:val="0"/>
                <w:i w:val="0"/>
                <w:iCs w:val="0"/>
                <w:color w:val="000000"/>
                <w:spacing w:val="0"/>
                <w:w w:val="100"/>
                <w:sz w:val="20"/>
                <w:szCs w:val="20"/>
                <w:vertAlign w:val="baseline"/>
              </w:rPr>
            </w:pPr>
            <w:r>
              <w:rPr>
                <w:rFonts w:hint="eastAsia" w:ascii="宋体" w:hAnsi="宋体" w:eastAsia="宋体" w:cs="宋体"/>
                <w:b w:val="0"/>
                <w:bCs w:val="0"/>
                <w:i w:val="0"/>
                <w:iCs w:val="0"/>
                <w:color w:val="000000"/>
                <w:spacing w:val="0"/>
                <w:w w:val="100"/>
                <w:kern w:val="2"/>
                <w:sz w:val="20"/>
                <w:szCs w:val="20"/>
                <w:vertAlign w:val="baseline"/>
                <w:lang w:val="en-US" w:eastAsia="zh-CN" w:bidi="ar-SA"/>
              </w:rPr>
              <w:t>2、为充分保障本项目的实施及售后服务品质，投标人拟派的项目组团队成员中具有网络工程师的计2分、系统集成项目管理工程师的计2分，电工作业证书计2分，每项证书只计一次，不重复计分，满分6分。</w:t>
            </w:r>
            <w:r>
              <w:rPr>
                <w:rFonts w:hint="eastAsia" w:ascii="宋体" w:hAnsi="宋体" w:eastAsia="宋体" w:cs="宋体"/>
                <w:b w:val="0"/>
                <w:bCs w:val="0"/>
                <w:i w:val="0"/>
                <w:iCs w:val="0"/>
                <w:color w:val="000000"/>
                <w:spacing w:val="0"/>
                <w:w w:val="100"/>
                <w:kern w:val="2"/>
                <w:sz w:val="20"/>
                <w:szCs w:val="20"/>
                <w:vertAlign w:val="baseline"/>
                <w:lang w:val="en-US" w:eastAsia="zh-CN" w:bidi="ar-SA"/>
              </w:rPr>
              <w:br w:type="textWrapping"/>
            </w:r>
            <w:r>
              <w:rPr>
                <w:rFonts w:hint="eastAsia" w:ascii="宋体" w:hAnsi="宋体" w:eastAsia="宋体" w:cs="宋体"/>
                <w:b w:val="0"/>
                <w:bCs w:val="0"/>
                <w:i w:val="0"/>
                <w:iCs w:val="0"/>
                <w:color w:val="000000"/>
                <w:spacing w:val="0"/>
                <w:w w:val="100"/>
                <w:kern w:val="2"/>
                <w:sz w:val="20"/>
                <w:szCs w:val="20"/>
                <w:vertAlign w:val="baseline"/>
                <w:lang w:val="en-US" w:eastAsia="zh-CN" w:bidi="ar-SA"/>
              </w:rPr>
              <w:t>注：提供以上人员有效期内证书扫描件以及开标前近半年内任意一个月投标人为持证人员缴纳社保证明材料扫描件，并加盖投标人公章，没有提供的不计分。</w:t>
            </w:r>
          </w:p>
        </w:tc>
      </w:tr>
      <w:tr w14:paraId="24817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3" w:hRule="atLeast"/>
          <w:jc w:val="center"/>
        </w:trPr>
        <w:tc>
          <w:tcPr>
            <w:tcW w:w="503" w:type="dxa"/>
            <w:vMerge w:val="continue"/>
            <w:tcBorders>
              <w:top w:val="single" w:color="000000" w:sz="6" w:space="0"/>
              <w:left w:val="single" w:color="000000" w:sz="4" w:space="0"/>
              <w:bottom w:val="single" w:color="000000" w:sz="6" w:space="0"/>
              <w:right w:val="single" w:color="auto" w:sz="4" w:space="0"/>
            </w:tcBorders>
            <w:noWrap w:val="0"/>
            <w:tcMar>
              <w:top w:w="0" w:type="dxa"/>
              <w:left w:w="108" w:type="dxa"/>
              <w:bottom w:w="0" w:type="dxa"/>
              <w:right w:w="108" w:type="dxa"/>
            </w:tcMar>
            <w:vAlign w:val="center"/>
          </w:tcPr>
          <w:p w14:paraId="57CFC30D">
            <w:pPr>
              <w:rPr>
                <w:rFonts w:hint="eastAsia" w:ascii="宋体" w:hAnsi="宋体" w:eastAsia="宋体" w:cs="宋体"/>
                <w:sz w:val="20"/>
                <w:szCs w:val="20"/>
              </w:rPr>
            </w:pPr>
          </w:p>
        </w:tc>
        <w:tc>
          <w:tcPr>
            <w:tcW w:w="1573" w:type="dxa"/>
            <w:vMerge w:val="continue"/>
            <w:tcBorders>
              <w:top w:val="single" w:color="000000" w:sz="6" w:space="0"/>
              <w:left w:val="single" w:color="auto" w:sz="4" w:space="0"/>
              <w:bottom w:val="single" w:color="000000" w:sz="6" w:space="0"/>
              <w:right w:val="single" w:color="000000" w:sz="6" w:space="0"/>
            </w:tcBorders>
            <w:noWrap w:val="0"/>
            <w:tcMar>
              <w:top w:w="0" w:type="dxa"/>
              <w:left w:w="108" w:type="dxa"/>
              <w:bottom w:w="0" w:type="dxa"/>
              <w:right w:w="108" w:type="dxa"/>
            </w:tcMar>
            <w:vAlign w:val="center"/>
          </w:tcPr>
          <w:p w14:paraId="4832AD2C">
            <w:pPr>
              <w:rPr>
                <w:rFonts w:hint="eastAsia" w:ascii="宋体" w:hAnsi="宋体" w:eastAsia="宋体" w:cs="宋体"/>
                <w:sz w:val="20"/>
                <w:szCs w:val="20"/>
              </w:rPr>
            </w:pPr>
          </w:p>
        </w:tc>
        <w:tc>
          <w:tcPr>
            <w:tcW w:w="1380" w:type="dxa"/>
            <w:tcBorders>
              <w:top w:val="single" w:color="auto" w:sz="4" w:space="0"/>
              <w:left w:val="single" w:color="000000" w:sz="6" w:space="0"/>
              <w:bottom w:val="single" w:color="auto" w:sz="4" w:space="0"/>
              <w:right w:val="single" w:color="000000" w:sz="6" w:space="0"/>
            </w:tcBorders>
            <w:noWrap w:val="0"/>
            <w:tcMar>
              <w:top w:w="0" w:type="dxa"/>
              <w:left w:w="108" w:type="dxa"/>
              <w:bottom w:w="0" w:type="dxa"/>
              <w:right w:w="108" w:type="dxa"/>
            </w:tcMar>
            <w:vAlign w:val="center"/>
          </w:tcPr>
          <w:p w14:paraId="58949A2A">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类似业绩</w:t>
            </w:r>
          </w:p>
          <w:p w14:paraId="4292A107">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sz w:val="20"/>
                <w:szCs w:val="20"/>
                <w:lang w:val="en-US" w:eastAsia="zh-CN"/>
              </w:rPr>
            </w:pPr>
            <w:r>
              <w:rPr>
                <w:rFonts w:hint="eastAsia" w:ascii="宋体" w:hAnsi="宋体" w:eastAsia="宋体" w:cs="宋体"/>
                <w:b w:val="0"/>
                <w:bCs w:val="0"/>
                <w:i w:val="0"/>
                <w:iCs w:val="0"/>
                <w:color w:val="000000"/>
                <w:spacing w:val="0"/>
                <w:w w:val="100"/>
                <w:sz w:val="20"/>
                <w:szCs w:val="20"/>
                <w:vertAlign w:val="baseline"/>
              </w:rPr>
              <w:t>（</w:t>
            </w:r>
            <w:r>
              <w:rPr>
                <w:rFonts w:hint="eastAsia" w:ascii="宋体" w:hAnsi="宋体" w:eastAsia="宋体" w:cs="宋体"/>
                <w:b w:val="0"/>
                <w:bCs w:val="0"/>
                <w:i w:val="0"/>
                <w:iCs w:val="0"/>
                <w:color w:val="000000"/>
                <w:spacing w:val="0"/>
                <w:w w:val="100"/>
                <w:sz w:val="20"/>
                <w:szCs w:val="20"/>
                <w:vertAlign w:val="baseline"/>
                <w:lang w:val="en-US" w:eastAsia="zh-CN"/>
              </w:rPr>
              <w:t>8</w:t>
            </w:r>
            <w:r>
              <w:rPr>
                <w:rFonts w:hint="eastAsia" w:ascii="宋体" w:hAnsi="宋体" w:eastAsia="宋体" w:cs="宋体"/>
                <w:b w:val="0"/>
                <w:bCs w:val="0"/>
                <w:i w:val="0"/>
                <w:iCs w:val="0"/>
                <w:color w:val="000000"/>
                <w:spacing w:val="0"/>
                <w:w w:val="100"/>
                <w:sz w:val="20"/>
                <w:szCs w:val="20"/>
                <w:vertAlign w:val="baseline"/>
              </w:rPr>
              <w:t>分）</w:t>
            </w:r>
          </w:p>
        </w:tc>
        <w:tc>
          <w:tcPr>
            <w:tcW w:w="810" w:type="dxa"/>
            <w:tcBorders>
              <w:top w:val="single" w:color="auto" w:sz="4" w:space="0"/>
              <w:left w:val="single" w:color="000000" w:sz="6" w:space="0"/>
              <w:bottom w:val="single" w:color="auto" w:sz="4" w:space="0"/>
              <w:right w:val="single" w:color="auto" w:sz="4" w:space="0"/>
            </w:tcBorders>
            <w:noWrap w:val="0"/>
            <w:tcMar>
              <w:top w:w="0" w:type="dxa"/>
              <w:left w:w="108" w:type="dxa"/>
              <w:bottom w:w="0" w:type="dxa"/>
              <w:right w:w="108" w:type="dxa"/>
            </w:tcMar>
            <w:vAlign w:val="center"/>
          </w:tcPr>
          <w:p w14:paraId="08918A6C">
            <w:pPr>
              <w:pStyle w:val="38"/>
              <w:keepNext w:val="0"/>
              <w:keepLines w:val="0"/>
              <w:widowControl/>
              <w:suppressLineNumbers w:val="0"/>
              <w:spacing w:before="0" w:beforeAutospacing="0" w:after="0" w:afterAutospacing="0" w:line="360" w:lineRule="exact"/>
              <w:ind w:left="0" w:right="0"/>
              <w:jc w:val="center"/>
              <w:rPr>
                <w:rFonts w:hint="eastAsia" w:ascii="宋体" w:hAnsi="宋体" w:eastAsia="宋体" w:cs="宋体"/>
                <w:sz w:val="20"/>
                <w:szCs w:val="20"/>
                <w:lang w:val="en-US" w:eastAsia="zh-CN"/>
              </w:rPr>
            </w:pPr>
            <w:r>
              <w:rPr>
                <w:rFonts w:hint="eastAsia" w:ascii="宋体" w:hAnsi="宋体" w:eastAsia="宋体" w:cs="宋体"/>
                <w:b w:val="0"/>
                <w:bCs w:val="0"/>
                <w:i w:val="0"/>
                <w:iCs w:val="0"/>
                <w:color w:val="000000"/>
                <w:spacing w:val="0"/>
                <w:w w:val="100"/>
                <w:sz w:val="20"/>
                <w:szCs w:val="20"/>
                <w:vertAlign w:val="baseline"/>
                <w:lang w:val="en-US" w:eastAsia="zh-CN"/>
              </w:rPr>
              <w:t>8</w:t>
            </w:r>
          </w:p>
        </w:tc>
        <w:tc>
          <w:tcPr>
            <w:tcW w:w="5020" w:type="dxa"/>
            <w:tcBorders>
              <w:top w:val="single" w:color="auto" w:sz="4" w:space="0"/>
              <w:left w:val="single" w:color="auto" w:sz="4" w:space="0"/>
              <w:bottom w:val="single" w:color="auto" w:sz="4" w:space="0"/>
              <w:right w:val="single" w:color="000000" w:sz="4" w:space="0"/>
            </w:tcBorders>
            <w:noWrap w:val="0"/>
            <w:tcMar>
              <w:top w:w="0" w:type="dxa"/>
              <w:left w:w="108" w:type="dxa"/>
              <w:bottom w:w="0" w:type="dxa"/>
              <w:right w:w="108" w:type="dxa"/>
            </w:tcMar>
            <w:vAlign w:val="center"/>
          </w:tcPr>
          <w:p w14:paraId="76E03A5E">
            <w:pPr>
              <w:pStyle w:val="38"/>
              <w:keepNext w:val="0"/>
              <w:keepLines w:val="0"/>
              <w:widowControl/>
              <w:suppressLineNumbers w:val="0"/>
              <w:spacing w:before="0" w:beforeAutospacing="0" w:after="0" w:afterAutospacing="0" w:line="360" w:lineRule="exact"/>
              <w:ind w:left="0" w:right="0"/>
              <w:jc w:val="left"/>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投标人或所投产品的制造厂商近</w:t>
            </w:r>
            <w:r>
              <w:rPr>
                <w:rFonts w:hint="eastAsia" w:ascii="宋体" w:hAnsi="宋体" w:eastAsia="宋体" w:cs="宋体"/>
                <w:b w:val="0"/>
                <w:bCs w:val="0"/>
                <w:i w:val="0"/>
                <w:iCs w:val="0"/>
                <w:color w:val="000000"/>
                <w:spacing w:val="0"/>
                <w:w w:val="100"/>
                <w:sz w:val="20"/>
                <w:szCs w:val="20"/>
                <w:vertAlign w:val="baseline"/>
                <w:lang w:val="en-US" w:eastAsia="zh-CN"/>
              </w:rPr>
              <w:t>三</w:t>
            </w:r>
            <w:r>
              <w:rPr>
                <w:rFonts w:hint="eastAsia" w:ascii="宋体" w:hAnsi="宋体" w:eastAsia="宋体" w:cs="宋体"/>
                <w:b w:val="0"/>
                <w:bCs w:val="0"/>
                <w:i w:val="0"/>
                <w:iCs w:val="0"/>
                <w:color w:val="000000"/>
                <w:spacing w:val="0"/>
                <w:w w:val="100"/>
                <w:sz w:val="20"/>
                <w:szCs w:val="20"/>
                <w:vertAlign w:val="baseline"/>
              </w:rPr>
              <w:t>年（202</w:t>
            </w:r>
            <w:r>
              <w:rPr>
                <w:rFonts w:hint="eastAsia" w:ascii="宋体" w:hAnsi="宋体" w:eastAsia="宋体" w:cs="宋体"/>
                <w:b w:val="0"/>
                <w:bCs w:val="0"/>
                <w:i w:val="0"/>
                <w:iCs w:val="0"/>
                <w:color w:val="000000"/>
                <w:spacing w:val="0"/>
                <w:w w:val="100"/>
                <w:sz w:val="20"/>
                <w:szCs w:val="20"/>
                <w:vertAlign w:val="baseline"/>
                <w:lang w:val="en-US" w:eastAsia="zh-CN"/>
              </w:rPr>
              <w:t>3</w:t>
            </w:r>
            <w:r>
              <w:rPr>
                <w:rFonts w:hint="eastAsia" w:ascii="宋体" w:hAnsi="宋体" w:eastAsia="宋体" w:cs="宋体"/>
                <w:b w:val="0"/>
                <w:bCs w:val="0"/>
                <w:i w:val="0"/>
                <w:iCs w:val="0"/>
                <w:color w:val="000000"/>
                <w:spacing w:val="0"/>
                <w:w w:val="100"/>
                <w:sz w:val="20"/>
                <w:szCs w:val="20"/>
                <w:vertAlign w:val="baseline"/>
              </w:rPr>
              <w:t>年</w:t>
            </w:r>
            <w:r>
              <w:rPr>
                <w:rFonts w:hint="eastAsia" w:ascii="宋体" w:hAnsi="宋体" w:eastAsia="宋体" w:cs="宋体"/>
                <w:b w:val="0"/>
                <w:bCs w:val="0"/>
                <w:i w:val="0"/>
                <w:iCs w:val="0"/>
                <w:color w:val="000000"/>
                <w:spacing w:val="0"/>
                <w:w w:val="100"/>
                <w:sz w:val="20"/>
                <w:szCs w:val="20"/>
                <w:vertAlign w:val="baseline"/>
                <w:lang w:val="en-US" w:eastAsia="zh-CN"/>
              </w:rPr>
              <w:t>5</w:t>
            </w:r>
            <w:r>
              <w:rPr>
                <w:rFonts w:hint="eastAsia" w:ascii="宋体" w:hAnsi="宋体" w:eastAsia="宋体" w:cs="宋体"/>
                <w:b w:val="0"/>
                <w:bCs w:val="0"/>
                <w:i w:val="0"/>
                <w:iCs w:val="0"/>
                <w:color w:val="000000"/>
                <w:spacing w:val="0"/>
                <w:w w:val="100"/>
                <w:sz w:val="20"/>
                <w:szCs w:val="20"/>
                <w:vertAlign w:val="baseline"/>
              </w:rPr>
              <w:t>月1日起至投标截止时间止）具有同类项目供货业绩：每提供1个合同业绩得</w:t>
            </w:r>
            <w:r>
              <w:rPr>
                <w:rFonts w:hint="eastAsia" w:ascii="宋体" w:hAnsi="宋体" w:eastAsia="宋体" w:cs="宋体"/>
                <w:b w:val="0"/>
                <w:bCs w:val="0"/>
                <w:i w:val="0"/>
                <w:iCs w:val="0"/>
                <w:color w:val="000000"/>
                <w:spacing w:val="0"/>
                <w:w w:val="100"/>
                <w:sz w:val="20"/>
                <w:szCs w:val="20"/>
                <w:vertAlign w:val="baseline"/>
                <w:lang w:val="en-US" w:eastAsia="zh-CN"/>
              </w:rPr>
              <w:t>4</w:t>
            </w:r>
            <w:r>
              <w:rPr>
                <w:rFonts w:hint="eastAsia" w:ascii="宋体" w:hAnsi="宋体" w:eastAsia="宋体" w:cs="宋体"/>
                <w:b w:val="0"/>
                <w:bCs w:val="0"/>
                <w:i w:val="0"/>
                <w:iCs w:val="0"/>
                <w:color w:val="000000"/>
                <w:spacing w:val="0"/>
                <w:w w:val="100"/>
                <w:sz w:val="20"/>
                <w:szCs w:val="20"/>
                <w:vertAlign w:val="baseline"/>
              </w:rPr>
              <w:t>分，最高得</w:t>
            </w:r>
            <w:r>
              <w:rPr>
                <w:rFonts w:hint="eastAsia" w:ascii="宋体" w:hAnsi="宋体" w:eastAsia="宋体" w:cs="宋体"/>
                <w:b w:val="0"/>
                <w:bCs w:val="0"/>
                <w:i w:val="0"/>
                <w:iCs w:val="0"/>
                <w:color w:val="000000"/>
                <w:spacing w:val="0"/>
                <w:w w:val="100"/>
                <w:sz w:val="20"/>
                <w:szCs w:val="20"/>
                <w:vertAlign w:val="baseline"/>
                <w:lang w:val="en-US" w:eastAsia="zh-CN"/>
              </w:rPr>
              <w:t>8</w:t>
            </w:r>
            <w:r>
              <w:rPr>
                <w:rFonts w:hint="eastAsia" w:ascii="宋体" w:hAnsi="宋体" w:eastAsia="宋体" w:cs="宋体"/>
                <w:b w:val="0"/>
                <w:bCs w:val="0"/>
                <w:i w:val="0"/>
                <w:iCs w:val="0"/>
                <w:color w:val="000000"/>
                <w:spacing w:val="0"/>
                <w:w w:val="100"/>
                <w:sz w:val="20"/>
                <w:szCs w:val="20"/>
                <w:vertAlign w:val="baseline"/>
              </w:rPr>
              <w:t>分。（提供合同扫描件并加盖投标人公章，未提供不得分）</w:t>
            </w:r>
          </w:p>
        </w:tc>
      </w:tr>
      <w:tr w14:paraId="39695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10" w:hRule="atLeast"/>
          <w:jc w:val="center"/>
        </w:trPr>
        <w:tc>
          <w:tcPr>
            <w:tcW w:w="503" w:type="dxa"/>
            <w:tcBorders>
              <w:top w:val="single" w:color="000000" w:sz="6" w:space="0"/>
              <w:left w:val="single" w:color="000000" w:sz="4" w:space="0"/>
              <w:bottom w:val="single" w:color="000000" w:sz="4" w:space="0"/>
              <w:right w:val="single" w:color="auto" w:sz="4" w:space="0"/>
            </w:tcBorders>
            <w:noWrap w:val="0"/>
            <w:tcMar>
              <w:top w:w="0" w:type="dxa"/>
              <w:left w:w="108" w:type="dxa"/>
              <w:bottom w:w="0" w:type="dxa"/>
              <w:right w:w="108" w:type="dxa"/>
            </w:tcMar>
            <w:vAlign w:val="center"/>
          </w:tcPr>
          <w:p w14:paraId="50583B4D">
            <w:pPr>
              <w:pStyle w:val="38"/>
              <w:keepNext w:val="0"/>
              <w:keepLines w:val="0"/>
              <w:widowControl/>
              <w:suppressLineNumbers w:val="0"/>
              <w:spacing w:before="0" w:beforeAutospacing="0" w:after="0" w:afterAutospacing="0"/>
              <w:ind w:left="0" w:right="0"/>
              <w:jc w:val="center"/>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w:t>
            </w:r>
          </w:p>
        </w:tc>
        <w:tc>
          <w:tcPr>
            <w:tcW w:w="8783" w:type="dxa"/>
            <w:gridSpan w:val="4"/>
            <w:tcBorders>
              <w:top w:val="single" w:color="000000" w:sz="6" w:space="0"/>
              <w:left w:val="single" w:color="auto" w:sz="4" w:space="0"/>
              <w:bottom w:val="single" w:color="000000" w:sz="4" w:space="0"/>
              <w:right w:val="single" w:color="000000" w:sz="4" w:space="0"/>
            </w:tcBorders>
            <w:noWrap w:val="0"/>
            <w:tcMar>
              <w:top w:w="0" w:type="dxa"/>
              <w:left w:w="108" w:type="dxa"/>
              <w:bottom w:w="0" w:type="dxa"/>
              <w:right w:w="108" w:type="dxa"/>
            </w:tcMar>
            <w:vAlign w:val="center"/>
          </w:tcPr>
          <w:p w14:paraId="280B06E0">
            <w:pPr>
              <w:pStyle w:val="38"/>
              <w:keepNext w:val="0"/>
              <w:keepLines w:val="0"/>
              <w:widowControl/>
              <w:suppressLineNumbers w:val="0"/>
              <w:spacing w:before="0" w:beforeAutospacing="0" w:after="0" w:afterAutospacing="0"/>
              <w:ind w:left="0" w:right="0"/>
              <w:jc w:val="both"/>
              <w:rPr>
                <w:rFonts w:hint="eastAsia" w:ascii="宋体" w:hAnsi="宋体" w:eastAsia="宋体" w:cs="宋体"/>
                <w:sz w:val="20"/>
                <w:szCs w:val="20"/>
              </w:rPr>
            </w:pPr>
            <w:r>
              <w:rPr>
                <w:rFonts w:hint="eastAsia" w:ascii="宋体" w:hAnsi="宋体" w:eastAsia="宋体" w:cs="宋体"/>
                <w:b w:val="0"/>
                <w:bCs w:val="0"/>
                <w:i w:val="0"/>
                <w:iCs w:val="0"/>
                <w:color w:val="000000"/>
                <w:spacing w:val="0"/>
                <w:w w:val="100"/>
                <w:sz w:val="20"/>
                <w:szCs w:val="20"/>
                <w:vertAlign w:val="baseline"/>
              </w:rPr>
              <w:t>F</w:t>
            </w:r>
            <w:r>
              <w:rPr>
                <w:rFonts w:hint="eastAsia" w:ascii="宋体" w:hAnsi="宋体" w:eastAsia="宋体" w:cs="宋体"/>
                <w:b w:val="0"/>
                <w:bCs w:val="0"/>
                <w:i w:val="0"/>
                <w:iCs w:val="0"/>
                <w:color w:val="000000"/>
                <w:spacing w:val="0"/>
                <w:w w:val="100"/>
                <w:sz w:val="20"/>
                <w:szCs w:val="20"/>
                <w:vertAlign w:val="subscript"/>
              </w:rPr>
              <w:t>3</w:t>
            </w:r>
            <w:r>
              <w:rPr>
                <w:rFonts w:hint="eastAsia" w:ascii="宋体" w:hAnsi="宋体" w:eastAsia="宋体" w:cs="宋体"/>
                <w:b w:val="0"/>
                <w:bCs w:val="0"/>
                <w:i w:val="0"/>
                <w:iCs w:val="0"/>
                <w:color w:val="000000"/>
                <w:spacing w:val="0"/>
                <w:w w:val="100"/>
                <w:sz w:val="20"/>
                <w:szCs w:val="20"/>
                <w:vertAlign w:val="baseline"/>
              </w:rPr>
              <w:t>=F+ F</w:t>
            </w:r>
            <w:r>
              <w:rPr>
                <w:rFonts w:hint="eastAsia" w:ascii="宋体" w:hAnsi="宋体" w:eastAsia="宋体" w:cs="宋体"/>
                <w:b w:val="0"/>
                <w:bCs w:val="0"/>
                <w:i w:val="0"/>
                <w:iCs w:val="0"/>
                <w:color w:val="000000"/>
                <w:spacing w:val="0"/>
                <w:w w:val="100"/>
                <w:sz w:val="20"/>
                <w:szCs w:val="20"/>
                <w:vertAlign w:val="subscript"/>
              </w:rPr>
              <w:t>优先采购加分</w:t>
            </w:r>
          </w:p>
        </w:tc>
      </w:tr>
    </w:tbl>
    <w:p w14:paraId="19694584">
      <w:pPr>
        <w:pStyle w:val="38"/>
        <w:keepNext w:val="0"/>
        <w:keepLines w:val="0"/>
        <w:widowControl/>
        <w:suppressLineNumbers w:val="0"/>
        <w:spacing w:before="0" w:beforeAutospacing="0" w:after="0" w:afterAutospacing="0"/>
        <w:ind w:left="0" w:right="0"/>
        <w:jc w:val="left"/>
      </w:pPr>
      <w:r>
        <w:rPr>
          <w:rFonts w:hint="eastAsia" w:ascii="宋体" w:hAnsi="宋体" w:eastAsia="宋体" w:cs="宋体"/>
          <w:b/>
          <w:bCs/>
          <w:i w:val="0"/>
          <w:iCs w:val="0"/>
          <w:color w:val="000000"/>
          <w:spacing w:val="0"/>
          <w:w w:val="100"/>
          <w:sz w:val="21"/>
          <w:szCs w:val="21"/>
          <w:vertAlign w:val="baseline"/>
        </w:rPr>
        <w:t>说明：</w:t>
      </w:r>
    </w:p>
    <w:p w14:paraId="6246310A">
      <w:pPr>
        <w:pStyle w:val="38"/>
        <w:keepNext w:val="0"/>
        <w:keepLines w:val="0"/>
        <w:widowControl/>
        <w:suppressLineNumbers w:val="0"/>
        <w:spacing w:before="0" w:beforeAutospacing="0" w:after="0" w:afterAutospacing="0" w:line="23" w:lineRule="atLeast"/>
        <w:ind w:left="0" w:right="0" w:firstLine="416"/>
        <w:jc w:val="both"/>
        <w:rPr>
          <w:highlight w:val="none"/>
        </w:rPr>
      </w:pPr>
      <w:r>
        <w:rPr>
          <w:rFonts w:hint="eastAsia" w:ascii="宋体" w:hAnsi="宋体" w:eastAsia="宋体" w:cs="宋体"/>
          <w:b w:val="0"/>
          <w:bCs w:val="0"/>
          <w:i w:val="0"/>
          <w:iCs w:val="0"/>
          <w:color w:val="000000"/>
          <w:spacing w:val="0"/>
          <w:w w:val="100"/>
          <w:sz w:val="21"/>
          <w:szCs w:val="21"/>
          <w:highlight w:val="none"/>
          <w:vertAlign w:val="baseline"/>
        </w:rPr>
        <w:t>（1）评分计算保留2位小数，第三位小数四舍五入。评分按报价部分、商务部分及技术部分分别进行，计算出各合格供应商的综合得分。</w:t>
      </w:r>
    </w:p>
    <w:p w14:paraId="170E6482">
      <w:pPr>
        <w:pStyle w:val="38"/>
        <w:keepNext w:val="0"/>
        <w:keepLines w:val="0"/>
        <w:widowControl/>
        <w:suppressLineNumbers w:val="0"/>
        <w:spacing w:before="0" w:beforeAutospacing="0" w:after="0" w:afterAutospacing="0" w:line="23" w:lineRule="atLeast"/>
        <w:ind w:left="0" w:right="0" w:firstLine="416"/>
        <w:jc w:val="both"/>
        <w:rPr>
          <w:highlight w:val="none"/>
        </w:rPr>
      </w:pPr>
      <w:r>
        <w:rPr>
          <w:rFonts w:hint="eastAsia" w:ascii="宋体" w:hAnsi="宋体" w:eastAsia="宋体" w:cs="宋体"/>
          <w:b w:val="0"/>
          <w:bCs w:val="0"/>
          <w:i w:val="0"/>
          <w:iCs w:val="0"/>
          <w:color w:val="000000"/>
          <w:spacing w:val="0"/>
          <w:w w:val="100"/>
          <w:sz w:val="21"/>
          <w:szCs w:val="21"/>
          <w:highlight w:val="none"/>
          <w:vertAlign w:val="baseline"/>
        </w:rPr>
        <w:t>（2）供应商须根据各项评审因素提供相关有效的证明资料，否则评委有权作出不利于该供应商的评审。</w:t>
      </w:r>
    </w:p>
    <w:p w14:paraId="74125F0B">
      <w:pPr>
        <w:pStyle w:val="38"/>
        <w:keepNext w:val="0"/>
        <w:keepLines w:val="0"/>
        <w:widowControl/>
        <w:suppressLineNumbers w:val="0"/>
        <w:spacing w:before="0" w:beforeAutospacing="0" w:after="0" w:afterAutospacing="0" w:line="23" w:lineRule="atLeast"/>
        <w:ind w:left="0" w:right="0" w:firstLine="420"/>
        <w:jc w:val="both"/>
        <w:rPr>
          <w:highlight w:val="none"/>
        </w:rPr>
      </w:pPr>
      <w:r>
        <w:rPr>
          <w:rFonts w:hint="eastAsia" w:ascii="宋体" w:hAnsi="宋体" w:eastAsia="宋体" w:cs="宋体"/>
          <w:b w:val="0"/>
          <w:bCs w:val="0"/>
          <w:i w:val="0"/>
          <w:iCs w:val="0"/>
          <w:color w:val="000000"/>
          <w:spacing w:val="0"/>
          <w:w w:val="100"/>
          <w:sz w:val="21"/>
          <w:szCs w:val="21"/>
          <w:highlight w:val="none"/>
          <w:vertAlign w:val="baseline"/>
        </w:rPr>
        <w:t xml:space="preserve">（3）评审委员会对响应文件的判定，只依据响应文件内容本身，不依据任何外来证明。 </w:t>
      </w:r>
    </w:p>
    <w:p w14:paraId="506A9148">
      <w:pPr>
        <w:pStyle w:val="38"/>
        <w:keepNext w:val="0"/>
        <w:keepLines w:val="0"/>
        <w:widowControl/>
        <w:suppressLineNumbers w:val="0"/>
        <w:spacing w:before="0" w:beforeAutospacing="0" w:after="0" w:afterAutospacing="0" w:line="23" w:lineRule="atLeast"/>
        <w:ind w:left="0" w:right="0" w:firstLine="420"/>
        <w:jc w:val="both"/>
        <w:rPr>
          <w:highlight w:val="none"/>
        </w:rPr>
      </w:pPr>
      <w:r>
        <w:rPr>
          <w:rFonts w:hint="eastAsia" w:ascii="宋体" w:hAnsi="宋体" w:eastAsia="宋体" w:cs="宋体"/>
          <w:b w:val="0"/>
          <w:bCs w:val="0"/>
          <w:i w:val="0"/>
          <w:iCs w:val="0"/>
          <w:color w:val="000000"/>
          <w:spacing w:val="0"/>
          <w:w w:val="100"/>
          <w:sz w:val="21"/>
          <w:szCs w:val="21"/>
          <w:highlight w:val="none"/>
          <w:vertAlign w:val="baseline"/>
        </w:rPr>
        <w:t>（4）以上评分标准证明材料须编入响应文件相应位置，未按要求提供资料的不计分。</w:t>
      </w:r>
    </w:p>
    <w:p w14:paraId="134227CE">
      <w:pPr>
        <w:pStyle w:val="38"/>
        <w:keepNext w:val="0"/>
        <w:keepLines w:val="0"/>
        <w:widowControl/>
        <w:suppressLineNumbers w:val="0"/>
        <w:spacing w:before="0" w:beforeAutospacing="0" w:after="0" w:afterAutospacing="0" w:line="23" w:lineRule="atLeast"/>
        <w:ind w:left="0" w:right="0" w:firstLine="420"/>
        <w:jc w:val="both"/>
        <w:rPr>
          <w:highlight w:val="none"/>
        </w:rPr>
      </w:pPr>
      <w:r>
        <w:rPr>
          <w:rFonts w:hint="eastAsia" w:ascii="宋体" w:hAnsi="宋体" w:eastAsia="宋体" w:cs="宋体"/>
          <w:b w:val="0"/>
          <w:bCs w:val="0"/>
          <w:i w:val="0"/>
          <w:iCs w:val="0"/>
          <w:color w:val="000000"/>
          <w:spacing w:val="0"/>
          <w:w w:val="100"/>
          <w:sz w:val="21"/>
          <w:szCs w:val="21"/>
          <w:highlight w:val="none"/>
          <w:vertAlign w:val="baseline"/>
        </w:rPr>
        <w:t>（5）供应商提供虚假资料骗取中标的，中标无效，给采购人造成损失的，依法承担赔偿责任并没收其保证金，并将情况报同级财政主管部门，按相关法律法规进行处罚。</w:t>
      </w:r>
    </w:p>
    <w:p w14:paraId="59F975A2">
      <w:pPr>
        <w:rPr>
          <w:rFonts w:hint="eastAsia" w:eastAsiaTheme="minorEastAsia"/>
          <w:lang w:val="en-US" w:eastAsia="zh-CN"/>
        </w:rPr>
      </w:pPr>
      <w:r>
        <w:rPr>
          <w:rFonts w:hint="eastAsia" w:ascii="宋体" w:hAnsi="宋体" w:eastAsia="宋体" w:cs="宋体"/>
          <w:b w:val="0"/>
          <w:bCs w:val="0"/>
          <w:i w:val="0"/>
          <w:iCs w:val="0"/>
          <w:color w:val="000000"/>
          <w:spacing w:val="0"/>
          <w:w w:val="100"/>
          <w:sz w:val="21"/>
          <w:szCs w:val="21"/>
          <w:highlight w:val="none"/>
          <w:vertAlign w:val="baseline"/>
        </w:rPr>
        <w:t>（6）本项目为全流程电子化投标，所述制造商公章或制造商投标专用章可为电子签章。</w:t>
      </w:r>
    </w:p>
    <w:p w14:paraId="57B19F07">
      <w:pPr>
        <w:pStyle w:val="38"/>
        <w:keepNext w:val="0"/>
        <w:keepLines w:val="0"/>
        <w:widowControl/>
        <w:suppressLineNumbers w:val="0"/>
        <w:spacing w:before="0" w:beforeAutospacing="0" w:after="0" w:afterAutospacing="0" w:line="23" w:lineRule="atLeast"/>
        <w:ind w:left="0" w:right="0" w:firstLine="420"/>
        <w:jc w:val="both"/>
        <w:rPr>
          <w:highlight w:val="none"/>
        </w:rPr>
      </w:pPr>
    </w:p>
    <w:p w14:paraId="2AD3D156">
      <w:pPr>
        <w:adjustRightInd w:val="0"/>
        <w:snapToGrid w:val="0"/>
        <w:spacing w:line="360" w:lineRule="auto"/>
        <w:jc w:val="center"/>
        <w:outlineLvl w:val="0"/>
        <w:rPr>
          <w:rFonts w:ascii="黑体" w:hAnsi="华文中宋" w:eastAsia="黑体"/>
          <w:b/>
          <w:sz w:val="32"/>
          <w:szCs w:val="32"/>
          <w:highlight w:val="none"/>
        </w:rPr>
        <w:sectPr>
          <w:headerReference r:id="rId6" w:type="default"/>
          <w:footerReference r:id="rId7" w:type="default"/>
          <w:pgSz w:w="11905" w:h="16839"/>
          <w:pgMar w:top="1387" w:right="1738" w:bottom="1362" w:left="1613" w:header="0" w:footer="1200" w:gutter="0"/>
          <w:pgBorders>
            <w:top w:val="none" w:sz="0" w:space="0"/>
            <w:left w:val="none" w:sz="0" w:space="0"/>
            <w:bottom w:val="none" w:sz="0" w:space="0"/>
            <w:right w:val="none" w:sz="0" w:space="0"/>
          </w:pgBorders>
          <w:cols w:space="720" w:num="1"/>
        </w:sectPr>
      </w:pPr>
    </w:p>
    <w:p w14:paraId="65B788AC">
      <w:pPr>
        <w:pStyle w:val="23"/>
        <w:adjustRightInd w:val="0"/>
        <w:snapToGrid w:val="0"/>
        <w:spacing w:line="360" w:lineRule="auto"/>
        <w:jc w:val="center"/>
        <w:outlineLvl w:val="0"/>
        <w:rPr>
          <w:rFonts w:ascii="黑体" w:hAnsi="华文中宋" w:eastAsia="黑体"/>
          <w:b/>
          <w:sz w:val="32"/>
          <w:szCs w:val="32"/>
          <w:highlight w:val="none"/>
        </w:rPr>
      </w:pPr>
      <w:bookmarkStart w:id="42" w:name="_Toc4046"/>
      <w:r>
        <w:rPr>
          <w:rFonts w:hint="eastAsia" w:ascii="黑体" w:hAnsi="华文中宋" w:eastAsia="黑体"/>
          <w:b/>
          <w:sz w:val="32"/>
          <w:szCs w:val="32"/>
          <w:highlight w:val="none"/>
        </w:rPr>
        <w:t>第五章 采购需求</w:t>
      </w:r>
      <w:bookmarkEnd w:id="42"/>
      <w:bookmarkStart w:id="43" w:name="_Toc3070"/>
      <w:r>
        <w:rPr>
          <w:rFonts w:hint="eastAsia" w:ascii="黑体" w:hAnsi="华文中宋" w:eastAsia="黑体"/>
          <w:b/>
          <w:sz w:val="32"/>
          <w:szCs w:val="32"/>
          <w:highlight w:val="none"/>
        </w:rPr>
        <w:t xml:space="preserve"> </w:t>
      </w:r>
      <w:bookmarkEnd w:id="43"/>
    </w:p>
    <w:p w14:paraId="7A8D79B1">
      <w:pPr>
        <w:pStyle w:val="2"/>
        <w:numPr>
          <w:ilvl w:val="0"/>
          <w:numId w:val="0"/>
        </w:numPr>
        <w:spacing w:before="0" w:after="0" w:line="360" w:lineRule="auto"/>
        <w:jc w:val="center"/>
        <w:rPr>
          <w:rFonts w:hint="eastAsia" w:ascii="宋体" w:hAnsi="宋体" w:eastAsia="宋体" w:cs="宋体"/>
          <w:b/>
          <w:bCs/>
          <w:color w:val="auto"/>
          <w:kern w:val="2"/>
          <w:sz w:val="24"/>
          <w:szCs w:val="24"/>
          <w:highlight w:val="none"/>
          <w:lang w:val="en-US" w:eastAsia="zh-CN" w:bidi="ar-SA"/>
        </w:rPr>
      </w:pPr>
      <w:bookmarkStart w:id="44" w:name="_Toc3056"/>
      <w:r>
        <w:rPr>
          <w:rFonts w:hint="eastAsia" w:ascii="宋体" w:hAnsi="宋体" w:eastAsia="宋体" w:cs="宋体"/>
          <w:b/>
          <w:bCs/>
          <w:color w:val="auto"/>
          <w:kern w:val="2"/>
          <w:sz w:val="24"/>
          <w:szCs w:val="24"/>
          <w:highlight w:val="none"/>
          <w:lang w:val="en-US" w:eastAsia="zh-CN" w:bidi="ar-SA"/>
        </w:rPr>
        <w:t>第一节 项目概述</w:t>
      </w:r>
      <w:bookmarkEnd w:id="44"/>
    </w:p>
    <w:p w14:paraId="43423E0A">
      <w:pPr>
        <w:spacing w:line="360" w:lineRule="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1、项目名称：</w:t>
      </w:r>
      <w:r>
        <w:rPr>
          <w:rFonts w:hint="eastAsia" w:ascii="宋体" w:hAnsi="宋体" w:cs="宋体"/>
          <w:color w:val="auto"/>
          <w:sz w:val="24"/>
          <w:szCs w:val="24"/>
          <w:highlight w:val="none"/>
          <w:lang w:val="en-US" w:eastAsia="zh-CN"/>
        </w:rPr>
        <w:t>体育新城实验学校设施设备采购</w:t>
      </w:r>
    </w:p>
    <w:p w14:paraId="083844A9">
      <w:pPr>
        <w:adjustRightInd w:val="0"/>
        <w:snapToGrid w:val="0"/>
        <w:spacing w:line="360" w:lineRule="auto"/>
        <w:rPr>
          <w:rFonts w:hint="eastAsia" w:ascii="宋体" w:hAnsi="宋体" w:eastAsia="宋体" w:cs="宋体"/>
          <w:color w:val="auto"/>
          <w:sz w:val="24"/>
          <w:highlight w:val="none"/>
        </w:rPr>
      </w:pPr>
      <w:bookmarkStart w:id="45" w:name="_Toc12495"/>
      <w:r>
        <w:rPr>
          <w:rFonts w:hint="eastAsia" w:ascii="宋体" w:hAnsi="宋体" w:cs="宋体"/>
          <w:color w:val="auto"/>
          <w:sz w:val="24"/>
          <w:highlight w:val="none"/>
        </w:rPr>
        <w:t>2、</w:t>
      </w:r>
      <w:r>
        <w:rPr>
          <w:rFonts w:hint="eastAsia" w:ascii="宋体" w:hAnsi="宋体" w:cs="宋体"/>
          <w:color w:val="auto"/>
          <w:sz w:val="24"/>
          <w:highlight w:val="none"/>
          <w:lang w:eastAsia="zh-CN"/>
        </w:rPr>
        <w:t>最高限价</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6185273</w:t>
      </w:r>
      <w:r>
        <w:rPr>
          <w:rFonts w:hint="default" w:ascii="宋体" w:hAnsi="宋体" w:eastAsia="宋体" w:cs="宋体"/>
          <w:color w:val="auto"/>
          <w:sz w:val="24"/>
          <w:highlight w:val="none"/>
          <w:lang w:val="en-US" w:eastAsia="zh-CN"/>
        </w:rPr>
        <w:t>.16</w:t>
      </w:r>
      <w:r>
        <w:rPr>
          <w:rFonts w:hint="eastAsia" w:ascii="宋体" w:hAnsi="宋体" w:eastAsia="宋体" w:cs="宋体"/>
          <w:color w:val="auto"/>
          <w:sz w:val="24"/>
          <w:highlight w:val="none"/>
        </w:rPr>
        <w:t>元。</w:t>
      </w:r>
    </w:p>
    <w:p w14:paraId="6B66292C">
      <w:pPr>
        <w:adjustRightInd w:val="0"/>
        <w:snapToGrid w:val="0"/>
        <w:spacing w:line="360" w:lineRule="auto"/>
        <w:rPr>
          <w:rFonts w:hint="default" w:ascii="宋体" w:hAnsi="宋体" w:cs="宋体"/>
          <w:color w:val="auto"/>
          <w:sz w:val="24"/>
          <w:highlight w:val="none"/>
          <w:lang w:val="en-US" w:eastAsia="zh-CN"/>
        </w:rPr>
      </w:pPr>
      <w:r>
        <w:rPr>
          <w:rFonts w:hint="eastAsia" w:ascii="宋体" w:hAnsi="宋体" w:cs="宋体"/>
          <w:color w:val="auto"/>
          <w:sz w:val="24"/>
          <w:highlight w:val="none"/>
        </w:rPr>
        <w:t>3、采购方式：</w:t>
      </w:r>
      <w:r>
        <w:rPr>
          <w:rFonts w:hint="eastAsia" w:ascii="宋体" w:hAnsi="宋体" w:cs="宋体"/>
          <w:color w:val="auto"/>
          <w:sz w:val="24"/>
          <w:highlight w:val="none"/>
          <w:lang w:val="en-US" w:eastAsia="zh-CN"/>
        </w:rPr>
        <w:t>公开招标。</w:t>
      </w:r>
    </w:p>
    <w:p w14:paraId="55DD8FDF">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lang w:val="en-US" w:eastAsia="zh-CN"/>
        </w:rPr>
        <w:t>4</w:t>
      </w:r>
      <w:r>
        <w:rPr>
          <w:rFonts w:hint="eastAsia" w:ascii="宋体" w:hAnsi="宋体" w:cs="宋体"/>
          <w:color w:val="auto"/>
          <w:sz w:val="24"/>
          <w:highlight w:val="none"/>
        </w:rPr>
        <w:t>、</w:t>
      </w:r>
      <w:r>
        <w:rPr>
          <w:rFonts w:hint="eastAsia" w:ascii="宋体" w:hAnsi="宋体" w:eastAsia="宋体" w:cs="Times New Roman"/>
          <w:b w:val="0"/>
          <w:bCs w:val="0"/>
          <w:color w:val="auto"/>
          <w:kern w:val="2"/>
          <w:sz w:val="24"/>
          <w:szCs w:val="24"/>
          <w:highlight w:val="none"/>
          <w:lang w:val="en-US" w:eastAsia="zh-CN" w:bidi="ar-SA"/>
        </w:rPr>
        <w:t>标有“★”号条款为实质性条款，若有任何一条负偏离或不满足则导致投标无效</w:t>
      </w:r>
      <w:r>
        <w:rPr>
          <w:rFonts w:hint="eastAsia" w:ascii="宋体" w:hAnsi="宋体" w:eastAsia="宋体" w:cs="宋体"/>
          <w:color w:val="auto"/>
          <w:sz w:val="24"/>
          <w:highlight w:val="none"/>
        </w:rPr>
        <w:t xml:space="preserve">。  </w:t>
      </w:r>
      <w:r>
        <w:rPr>
          <w:rFonts w:hint="eastAsia" w:ascii="宋体" w:hAnsi="宋体" w:cs="宋体"/>
          <w:color w:val="auto"/>
          <w:sz w:val="24"/>
          <w:highlight w:val="none"/>
        </w:rPr>
        <w:t xml:space="preserve"> </w:t>
      </w:r>
    </w:p>
    <w:p w14:paraId="11BB277D">
      <w:pPr>
        <w:adjustRightInd w:val="0"/>
        <w:snapToGrid w:val="0"/>
        <w:spacing w:line="360" w:lineRule="auto"/>
        <w:rPr>
          <w:rFonts w:hint="eastAsia" w:ascii="宋体" w:hAnsi="宋体" w:cs="宋体"/>
          <w:color w:val="auto"/>
          <w:sz w:val="24"/>
          <w:highlight w:val="none"/>
          <w:lang w:val="en-US" w:eastAsia="zh-CN"/>
        </w:rPr>
      </w:pPr>
      <w:r>
        <w:rPr>
          <w:rFonts w:hint="eastAsia" w:ascii="宋体" w:hAnsi="宋体" w:cs="宋体"/>
          <w:color w:val="auto"/>
          <w:sz w:val="24"/>
          <w:highlight w:val="none"/>
          <w:lang w:val="en-US" w:eastAsia="zh-CN"/>
        </w:rPr>
        <w:t>5、本项目核心产品为：智慧黑板。</w:t>
      </w:r>
    </w:p>
    <w:p w14:paraId="38D78F98">
      <w:pPr>
        <w:pStyle w:val="2"/>
        <w:numPr>
          <w:ilvl w:val="0"/>
          <w:numId w:val="0"/>
        </w:numPr>
        <w:spacing w:before="0" w:after="0" w:line="360" w:lineRule="auto"/>
        <w:jc w:val="center"/>
        <w:rPr>
          <w:rFonts w:hint="default" w:ascii="宋体" w:hAnsi="宋体" w:eastAsia="宋体" w:cs="宋体"/>
          <w:b/>
          <w:bCs/>
          <w:color w:val="auto"/>
          <w:kern w:val="2"/>
          <w:sz w:val="24"/>
          <w:szCs w:val="24"/>
          <w:highlight w:val="none"/>
          <w:lang w:val="en-US" w:eastAsia="zh-CN" w:bidi="ar-SA"/>
        </w:rPr>
      </w:pPr>
      <w:bookmarkStart w:id="46" w:name="_Toc7828"/>
      <w:r>
        <w:rPr>
          <w:rFonts w:hint="eastAsia" w:ascii="宋体" w:hAnsi="宋体" w:eastAsia="宋体" w:cs="宋体"/>
          <w:b/>
          <w:bCs/>
          <w:color w:val="auto"/>
          <w:kern w:val="2"/>
          <w:sz w:val="24"/>
          <w:szCs w:val="24"/>
          <w:highlight w:val="none"/>
          <w:lang w:val="en-US" w:eastAsia="zh-CN" w:bidi="ar-SA"/>
        </w:rPr>
        <w:t>第二节 技术要求</w:t>
      </w:r>
      <w:bookmarkEnd w:id="46"/>
    </w:p>
    <w:p w14:paraId="7463AB10">
      <w:pPr>
        <w:adjustRightInd w:val="0"/>
        <w:snapToGrid w:val="0"/>
        <w:spacing w:line="360" w:lineRule="auto"/>
        <w:rPr>
          <w:rFonts w:ascii="宋体" w:hAnsi="宋体" w:eastAsia="宋体" w:cs="Times New Roman"/>
          <w:b/>
          <w:bCs/>
          <w:color w:val="auto"/>
          <w:kern w:val="2"/>
          <w:sz w:val="24"/>
          <w:szCs w:val="24"/>
          <w:highlight w:val="none"/>
          <w:lang w:val="en-US" w:eastAsia="zh-CN" w:bidi="ar-SA"/>
        </w:rPr>
      </w:pPr>
      <w:r>
        <w:rPr>
          <w:rFonts w:hint="eastAsia" w:ascii="宋体" w:hAnsi="宋体" w:cs="宋体"/>
          <w:color w:val="auto"/>
          <w:sz w:val="24"/>
          <w:highlight w:val="none"/>
        </w:rPr>
        <w:t xml:space="preserve"> </w:t>
      </w:r>
      <w:bookmarkEnd w:id="45"/>
      <w:r>
        <w:rPr>
          <w:rFonts w:hint="eastAsia" w:ascii="宋体" w:hAnsi="宋体" w:cs="Times New Roman"/>
          <w:b/>
          <w:bCs/>
          <w:color w:val="auto"/>
          <w:kern w:val="2"/>
          <w:sz w:val="24"/>
          <w:szCs w:val="24"/>
          <w:highlight w:val="none"/>
          <w:lang w:val="en-US" w:eastAsia="zh-CN" w:bidi="ar-SA"/>
        </w:rPr>
        <w:t>二</w:t>
      </w:r>
      <w:r>
        <w:rPr>
          <w:rFonts w:hint="eastAsia" w:ascii="宋体" w:hAnsi="宋体" w:eastAsia="宋体" w:cs="Times New Roman"/>
          <w:b/>
          <w:bCs/>
          <w:color w:val="auto"/>
          <w:kern w:val="2"/>
          <w:sz w:val="24"/>
          <w:szCs w:val="24"/>
          <w:highlight w:val="none"/>
          <w:lang w:val="en-US" w:eastAsia="zh-CN" w:bidi="ar-SA"/>
        </w:rPr>
        <w:t>、</w:t>
      </w:r>
      <w:r>
        <w:rPr>
          <w:rFonts w:hint="eastAsia" w:ascii="宋体" w:hAnsi="宋体" w:eastAsia="宋体" w:cs="宋体"/>
          <w:b/>
          <w:bCs/>
          <w:color w:val="auto"/>
          <w:kern w:val="2"/>
          <w:sz w:val="24"/>
          <w:szCs w:val="24"/>
          <w:highlight w:val="none"/>
          <w:lang w:val="en-US" w:eastAsia="zh-CN" w:bidi="ar-SA"/>
        </w:rPr>
        <w:t>采购项目</w:t>
      </w:r>
      <w:r>
        <w:rPr>
          <w:rFonts w:hint="eastAsia" w:ascii="宋体" w:hAnsi="宋体" w:eastAsia="宋体" w:cs="Times New Roman"/>
          <w:b/>
          <w:bCs/>
          <w:color w:val="auto"/>
          <w:kern w:val="2"/>
          <w:sz w:val="24"/>
          <w:szCs w:val="24"/>
          <w:highlight w:val="none"/>
          <w:lang w:val="en-US" w:eastAsia="zh-CN" w:bidi="ar-SA"/>
        </w:rPr>
        <w:t>要求：</w:t>
      </w:r>
    </w:p>
    <w:p w14:paraId="6370E70E">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eastAsia="zh-CN"/>
        </w:rPr>
        <w:t>供应商</w:t>
      </w:r>
      <w:r>
        <w:rPr>
          <w:rFonts w:hint="eastAsia" w:ascii="宋体" w:hAnsi="宋体" w:eastAsia="宋体" w:cs="宋体"/>
          <w:color w:val="auto"/>
          <w:sz w:val="24"/>
          <w:highlight w:val="none"/>
        </w:rPr>
        <w:t>必须承诺提供厂商原装、符合用户提出的有关质量标准的货物。</w:t>
      </w:r>
    </w:p>
    <w:p w14:paraId="5136D25A">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2、所有货物在开箱检验时必须完好，无破损，配置与装箱单相符。货物外观清洁。数量、质量及性能不低于本需求书中提出的要求。</w:t>
      </w:r>
    </w:p>
    <w:p w14:paraId="2E9F766C">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3、对于影响货物正常工作的必要组成部分，无论在技术规范中指出与否，投标人都应提供并在谈判文件中明确列出。</w:t>
      </w:r>
    </w:p>
    <w:p w14:paraId="1460780B">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4、成交人在实际供货时，如投标时所提供的货物已经停产（不列入该厂家当时的产品系统），需按成交价格提供与原承诺的货品更优质的货物，否则按违约处理。</w:t>
      </w:r>
    </w:p>
    <w:p w14:paraId="368B3E9C">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5、成交人在实际供货时，若提供的货物未能达到谈判文件中的有关要求，将按有关法规进行处罚，采购人将有权单方面终止合同的执行,并追究采购人因成交人未按其承诺所提供的产品而产生的所有损失和责任。</w:t>
      </w:r>
    </w:p>
    <w:p w14:paraId="404D16BE">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由成交人负责按国家相关标准进行货物包装，设备的包装均应有良好的防湿、防锈、防潮、防雨、防腐及防碰撞的措施，并适宜本项目实施地点的气候条件。凡由于包装不良造成的损失和由此产生的费用均由成交人承担。</w:t>
      </w:r>
    </w:p>
    <w:p w14:paraId="2F283852">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7、因产品的质量问题发生争议，由相关省市质检部门进行质量鉴定。采购人与成交人认为有需要，可以共同提出或分别提出质量鉴定。</w:t>
      </w:r>
    </w:p>
    <w:p w14:paraId="045DBE19">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8、产品符合质量标准的，鉴定费由采购人承担；产品不符合质量标准的，鉴定费由成交人承担。</w:t>
      </w:r>
    </w:p>
    <w:p w14:paraId="73A9B69E">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9、本项目为交钥匙项目，成交人承包及负责谈判文件对成交人要求的一切事宜及责任。包括项目方案、货物供货、软件提供、运输、保管、安装、调试、验收、培训及相关服务等。</w:t>
      </w:r>
    </w:p>
    <w:p w14:paraId="0A7DC5DF">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10、除采购人有明确规定外，成交人不得以任何方式转包或分包本项目。</w:t>
      </w:r>
    </w:p>
    <w:p w14:paraId="42FA54A0">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11、所有产品的到货验收包括：数量、外观质量、随机备件备品、装箱单、随机资料(中文)及产品包装完整无破损。</w:t>
      </w:r>
    </w:p>
    <w:p w14:paraId="21E7E1C1">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12、产品验收通过前，外包装数量、质量及外包装内产品数量、质量，均由成交人负责。</w:t>
      </w:r>
    </w:p>
    <w:p w14:paraId="2EDBDA80">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13、报价方式：总价包干。</w:t>
      </w:r>
    </w:p>
    <w:p w14:paraId="5F87FB45">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1）、所有报价应包含：货物供货、运输、保管、安装、调试、搬运、耗材、验收及相关服务等费用，采购单位无须向成交单位另外支付任何费用。</w:t>
      </w:r>
    </w:p>
    <w:p w14:paraId="4480260F">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2）、对含糊不清或不确定的报价将视为无效报价。</w:t>
      </w:r>
    </w:p>
    <w:p w14:paraId="7280991F">
      <w:pPr>
        <w:keepNext w:val="0"/>
        <w:keepLines w:val="0"/>
        <w:pageBreakBefore w:val="0"/>
        <w:widowControl w:val="0"/>
        <w:kinsoku/>
        <w:wordWrap/>
        <w:overflowPunct/>
        <w:topLinePunct w:val="0"/>
        <w:autoSpaceDE/>
        <w:autoSpaceDN/>
        <w:bidi w:val="0"/>
        <w:adjustRightInd/>
        <w:snapToGrid/>
        <w:spacing w:beforeLines="50" w:after="0" w:line="360" w:lineRule="auto"/>
        <w:jc w:val="both"/>
        <w:textAlignment w:val="auto"/>
        <w:rPr>
          <w:rFonts w:hint="eastAsia" w:ascii="宋体" w:hAnsi="宋体" w:eastAsia="宋体" w:cs="Times New Roman"/>
          <w:b/>
          <w:bCs/>
          <w:color w:val="auto"/>
          <w:kern w:val="2"/>
          <w:sz w:val="24"/>
          <w:szCs w:val="24"/>
          <w:highlight w:val="none"/>
          <w:lang w:val="en-US" w:eastAsia="zh-CN" w:bidi="ar-SA"/>
        </w:rPr>
      </w:pPr>
      <w:r>
        <w:rPr>
          <w:rFonts w:hint="eastAsia" w:ascii="宋体" w:hAnsi="宋体" w:cs="Times New Roman"/>
          <w:b/>
          <w:bCs/>
          <w:color w:val="auto"/>
          <w:kern w:val="2"/>
          <w:sz w:val="24"/>
          <w:szCs w:val="24"/>
          <w:highlight w:val="none"/>
          <w:lang w:val="en-US" w:eastAsia="zh-CN" w:bidi="ar-SA"/>
        </w:rPr>
        <w:t>三</w:t>
      </w:r>
      <w:r>
        <w:rPr>
          <w:rFonts w:hint="eastAsia" w:ascii="宋体" w:hAnsi="宋体" w:eastAsia="宋体" w:cs="Times New Roman"/>
          <w:b/>
          <w:bCs/>
          <w:color w:val="auto"/>
          <w:kern w:val="2"/>
          <w:sz w:val="24"/>
          <w:szCs w:val="24"/>
          <w:highlight w:val="none"/>
          <w:lang w:val="en-US" w:eastAsia="zh-CN" w:bidi="ar-SA"/>
        </w:rPr>
        <w:t>、采购项目产品安装、测试及验收要求</w:t>
      </w:r>
    </w:p>
    <w:p w14:paraId="2E037D9D">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1、货物验收所发生的检验费用由成交人负担。</w:t>
      </w:r>
    </w:p>
    <w:p w14:paraId="381BC666">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2、所有产品均须由成交人派出技术人员上门并依照本项目谈判文件的要求和响应文件的承诺，将设备安装并调试至正常运行的最佳状态，费用包含在报价中。</w:t>
      </w:r>
    </w:p>
    <w:p w14:paraId="5A1D0D2B">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3、采购人按照采购合同规定的技术、服务、安全标准组织对成交人履约情况进行验收，并出具验收书。验收书应当包括每一项技术、服务、安全标准的履约情况。</w:t>
      </w:r>
    </w:p>
    <w:p w14:paraId="3A80C198">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4、交付验收标准依次序对照适用标准为：</w:t>
      </w:r>
    </w:p>
    <w:p w14:paraId="2CEEF03F">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1）符合国家安全质量标准、环保标准或行业标准；</w:t>
      </w:r>
    </w:p>
    <w:p w14:paraId="01E18626">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val="en-US" w:eastAsia="zh-CN"/>
        </w:rPr>
        <w:t>招标</w:t>
      </w:r>
      <w:r>
        <w:rPr>
          <w:rFonts w:hint="eastAsia" w:ascii="宋体" w:hAnsi="宋体" w:eastAsia="宋体" w:cs="宋体"/>
          <w:color w:val="auto"/>
          <w:sz w:val="24"/>
          <w:highlight w:val="none"/>
        </w:rPr>
        <w:t>文件和投标承诺中采购人认可的合理最佳配置、参数及各项要求；</w:t>
      </w:r>
    </w:p>
    <w:p w14:paraId="031431D2">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3）官方标准。</w:t>
      </w:r>
    </w:p>
    <w:p w14:paraId="0EDDE3C3">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采购人组成验收小组，按照采购合同规定的技术、服务、安全标准组织对成交人履约情况进行验收。因货物质量问题发生争议时，由采购人本地质量技术监督部门鉴定。货物符合质量技术标准的，鉴定费由采购人承担；否则鉴定费由成交人承担。</w:t>
      </w:r>
    </w:p>
    <w:p w14:paraId="640E99C0">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6、出现不合格货物时，成交人要无条件更换合格货物。除采购人认可，否则不接受任何形式的降格处理。</w:t>
      </w:r>
    </w:p>
    <w:p w14:paraId="5E7AF4AF">
      <w:pPr>
        <w:pageBreakBefore w:val="0"/>
        <w:kinsoku/>
        <w:wordWrap/>
        <w:overflowPunct/>
        <w:topLinePunct w:val="0"/>
        <w:bidi w:val="0"/>
        <w:spacing w:line="360" w:lineRule="auto"/>
        <w:ind w:firstLine="480" w:firstLineChars="200"/>
        <w:rPr>
          <w:rFonts w:ascii="Times New Roman" w:hAnsi="Times New Roman" w:eastAsia="宋体" w:cs="Times New Roman"/>
          <w:color w:val="auto"/>
          <w:highlight w:val="none"/>
        </w:rPr>
      </w:pP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验收地点</w:t>
      </w:r>
      <w:r>
        <w:rPr>
          <w:rFonts w:hint="eastAsia" w:ascii="宋体" w:hAnsi="宋体" w:eastAsia="宋体" w:cs="宋体"/>
          <w:color w:val="auto"/>
          <w:sz w:val="24"/>
          <w:highlight w:val="none"/>
          <w:lang w:eastAsia="zh-CN"/>
        </w:rPr>
        <w:t>为采购人指定地点</w:t>
      </w:r>
      <w:r>
        <w:rPr>
          <w:rFonts w:hint="eastAsia" w:ascii="宋体" w:hAnsi="宋体" w:eastAsia="宋体" w:cs="宋体"/>
          <w:color w:val="auto"/>
          <w:sz w:val="24"/>
          <w:highlight w:val="none"/>
        </w:rPr>
        <w:t>。</w:t>
      </w:r>
    </w:p>
    <w:p w14:paraId="246FD2CA">
      <w:pPr>
        <w:pageBreakBefore w:val="0"/>
        <w:kinsoku/>
        <w:wordWrap/>
        <w:overflowPunct/>
        <w:topLinePunct w:val="0"/>
        <w:bidi w:val="0"/>
        <w:spacing w:line="360" w:lineRule="auto"/>
        <w:ind w:firstLine="420" w:firstLineChars="200"/>
        <w:rPr>
          <w:rFonts w:hint="default"/>
          <w:color w:val="auto"/>
          <w:highlight w:val="none"/>
          <w:lang w:val="en-US" w:eastAsia="zh-CN"/>
        </w:rPr>
      </w:pPr>
    </w:p>
    <w:p w14:paraId="36238025">
      <w:pPr>
        <w:spacing w:line="360" w:lineRule="auto"/>
        <w:rPr>
          <w:color w:val="auto"/>
          <w:highlight w:val="none"/>
        </w:rPr>
      </w:pPr>
      <w:r>
        <w:rPr>
          <w:rFonts w:hint="eastAsia" w:ascii="宋体" w:hAnsi="宋体"/>
          <w:b/>
          <w:bCs/>
          <w:color w:val="auto"/>
          <w:sz w:val="24"/>
          <w:szCs w:val="24"/>
          <w:highlight w:val="none"/>
          <w:lang w:val="en-US" w:eastAsia="zh-CN"/>
        </w:rPr>
        <w:t>四</w:t>
      </w:r>
      <w:r>
        <w:rPr>
          <w:rFonts w:hint="eastAsia" w:ascii="宋体" w:hAnsi="宋体"/>
          <w:b/>
          <w:bCs/>
          <w:color w:val="auto"/>
          <w:sz w:val="24"/>
          <w:szCs w:val="24"/>
          <w:highlight w:val="none"/>
          <w:lang w:eastAsia="zh-CN"/>
        </w:rPr>
        <w:t>、采购清单及</w:t>
      </w:r>
      <w:r>
        <w:rPr>
          <w:rFonts w:hint="eastAsia" w:ascii="宋体" w:hAnsi="宋体"/>
          <w:b/>
          <w:bCs/>
          <w:color w:val="auto"/>
          <w:sz w:val="24"/>
          <w:szCs w:val="24"/>
          <w:highlight w:val="none"/>
        </w:rPr>
        <w:t>主要参数要求</w:t>
      </w:r>
    </w:p>
    <w:tbl>
      <w:tblPr>
        <w:tblStyle w:val="43"/>
        <w:tblW w:w="8480"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66"/>
        <w:gridCol w:w="4159"/>
        <w:gridCol w:w="1800"/>
        <w:gridCol w:w="1855"/>
      </w:tblGrid>
      <w:tr w14:paraId="77FC2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8480" w:type="dxa"/>
            <w:gridSpan w:val="4"/>
            <w:tcBorders>
              <w:top w:val="single" w:color="000000" w:sz="4" w:space="0"/>
              <w:left w:val="single" w:color="000000" w:sz="4" w:space="0"/>
              <w:bottom w:val="single" w:color="000000" w:sz="4" w:space="0"/>
              <w:right w:val="single" w:color="000000" w:sz="4" w:space="0"/>
            </w:tcBorders>
            <w:noWrap/>
            <w:vAlign w:val="center"/>
          </w:tcPr>
          <w:p w14:paraId="221D40A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总表</w:t>
            </w:r>
          </w:p>
        </w:tc>
      </w:tr>
      <w:tr w14:paraId="26F43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1CCBC5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140B6E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项目名称</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1E1E6E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147FEF8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3CF06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19C8E4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34C9F38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教育局机关设备</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3EA0A2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2EDE3D0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17C4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6C465C8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7EA703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教师办公室设备</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B451D0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3688516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8CF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56A57E1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61D8CF2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行政办公室设备</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E6B448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68C831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AAF5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39B0CE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745B8FA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教室设备</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C812C3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5CFF3A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32B0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764DC43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6484161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AI巡课系统</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3DE5B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035E55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8314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0BDF527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5220E8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多功能厅（249㎡）</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372ADA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4FD816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9BF9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2AC66C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4795DD5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小会议室（106㎡）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09C35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1A7B6A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2EA2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715CBB8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41E5F3D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机关会议室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46AD55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2550FCD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F664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3CF4A4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75E448B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计算机室（2间）</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22BFE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4DAE0B7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D4A2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2E6EAB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2D79BEA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音乐室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370F72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6EC904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1504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3DF488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4CA5DC9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劳动教室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EBFAB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42B036A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84B4B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3EB61A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5ECF1A3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美术室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1C5B36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6EDDDC8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5770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2A47FE8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0BE5753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心理咨询室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9B0AC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0614A7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E852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4CC878E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14</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1945533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卫生保健室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4125CE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05B342E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837C5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7B661A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163E13D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44AE9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34944A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3A487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124E56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296324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阅览室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623E0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5B569B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98D7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3C3B96B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17</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67CE65C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信息中心</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A09569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2C5F64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0922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1FA6F6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291B88E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智慧体育</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B6116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4BDC2FF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EFDB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10FDB09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53D141D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物理实验室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19708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1F83448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179A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6FA2CB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761964B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物理准备室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C6FAA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2985B6B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7A00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505504D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47DA3B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物理仪器室+仪器</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C6A89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724F22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F8F3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64EC340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663A78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生物实验室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95FED5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49EDC16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DAE3E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24B735E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5FFD03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生物准备室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5500E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28F80E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F371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03ACE6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1235DE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生物仪器室+仪器</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4085CE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3235637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758E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11F649D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2C49F0B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化学实验室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D63F7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54B9A1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98C1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24A0EB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36DD43D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化学准备室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173572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5CEE2A7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A90F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173A14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1617315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化学仪器室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751840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382EED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706D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6FEBA4B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247A800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小学科学实验室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DF11E3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52A428E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9FC8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4" w:hRule="atLeast"/>
        </w:trPr>
        <w:tc>
          <w:tcPr>
            <w:tcW w:w="666" w:type="dxa"/>
            <w:tcBorders>
              <w:top w:val="single" w:color="000000" w:sz="4" w:space="0"/>
              <w:left w:val="single" w:color="000000" w:sz="4" w:space="0"/>
              <w:bottom w:val="single" w:color="000000" w:sz="4" w:space="0"/>
              <w:right w:val="single" w:color="000000" w:sz="4" w:space="0"/>
            </w:tcBorders>
            <w:noWrap/>
            <w:vAlign w:val="center"/>
          </w:tcPr>
          <w:p w14:paraId="49C5E6F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c>
          <w:tcPr>
            <w:tcW w:w="4159" w:type="dxa"/>
            <w:tcBorders>
              <w:top w:val="single" w:color="000000" w:sz="4" w:space="0"/>
              <w:left w:val="single" w:color="000000" w:sz="4" w:space="0"/>
              <w:bottom w:val="single" w:color="000000" w:sz="4" w:space="0"/>
              <w:right w:val="single" w:color="000000" w:sz="4" w:space="0"/>
            </w:tcBorders>
            <w:noWrap/>
            <w:vAlign w:val="center"/>
          </w:tcPr>
          <w:p w14:paraId="5E587E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科学仪器室</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439CF0D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1855" w:type="dxa"/>
            <w:tcBorders>
              <w:top w:val="single" w:color="000000" w:sz="4" w:space="0"/>
              <w:left w:val="single" w:color="000000" w:sz="4" w:space="0"/>
              <w:bottom w:val="single" w:color="000000" w:sz="4" w:space="0"/>
              <w:right w:val="single" w:color="000000" w:sz="4" w:space="0"/>
            </w:tcBorders>
            <w:noWrap/>
            <w:vAlign w:val="center"/>
          </w:tcPr>
          <w:p w14:paraId="445A9C0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42CD298F">
      <w:pPr>
        <w:keepNext w:val="0"/>
        <w:keepLines w:val="0"/>
        <w:widowControl/>
        <w:suppressLineNumbers w:val="0"/>
        <w:jc w:val="center"/>
        <w:textAlignment w:val="center"/>
        <w:rPr>
          <w:rFonts w:hint="eastAsia" w:ascii="宋体" w:hAnsi="宋体" w:eastAsia="宋体" w:cs="宋体"/>
          <w:i w:val="0"/>
          <w:iCs w:val="0"/>
          <w:color w:val="auto"/>
          <w:kern w:val="0"/>
          <w:sz w:val="20"/>
          <w:szCs w:val="20"/>
          <w:highlight w:val="none"/>
          <w:u w:val="none"/>
          <w:lang w:val="en-US" w:eastAsia="zh-CN" w:bidi="ar"/>
        </w:rPr>
      </w:pPr>
    </w:p>
    <w:tbl>
      <w:tblPr>
        <w:tblStyle w:val="43"/>
        <w:tblW w:w="9920" w:type="dxa"/>
        <w:tblInd w:w="-6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0"/>
        <w:gridCol w:w="1200"/>
        <w:gridCol w:w="6720"/>
        <w:gridCol w:w="520"/>
        <w:gridCol w:w="740"/>
      </w:tblGrid>
      <w:tr w14:paraId="32659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920" w:type="dxa"/>
            <w:gridSpan w:val="5"/>
            <w:tcBorders>
              <w:top w:val="single" w:color="000000" w:sz="4" w:space="0"/>
              <w:left w:val="single" w:color="000000" w:sz="4" w:space="0"/>
              <w:bottom w:val="single" w:color="000000" w:sz="4" w:space="0"/>
              <w:right w:val="single" w:color="000000" w:sz="4" w:space="0"/>
            </w:tcBorders>
            <w:noWrap/>
            <w:vAlign w:val="center"/>
          </w:tcPr>
          <w:p w14:paraId="2C14022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教育局机关设备</w:t>
            </w:r>
          </w:p>
        </w:tc>
      </w:tr>
      <w:tr w14:paraId="42E11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740" w:type="dxa"/>
            <w:tcBorders>
              <w:top w:val="single" w:color="000000" w:sz="4" w:space="0"/>
              <w:left w:val="single" w:color="000000" w:sz="4" w:space="0"/>
              <w:bottom w:val="single" w:color="000000" w:sz="4" w:space="0"/>
              <w:right w:val="single" w:color="000000" w:sz="4" w:space="0"/>
            </w:tcBorders>
            <w:noWrap/>
            <w:vAlign w:val="center"/>
          </w:tcPr>
          <w:p w14:paraId="7073B1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200" w:type="dxa"/>
            <w:tcBorders>
              <w:top w:val="single" w:color="000000" w:sz="4" w:space="0"/>
              <w:left w:val="single" w:color="000000" w:sz="4" w:space="0"/>
              <w:bottom w:val="single" w:color="000000" w:sz="4" w:space="0"/>
              <w:right w:val="single" w:color="000000" w:sz="4" w:space="0"/>
            </w:tcBorders>
            <w:noWrap/>
            <w:vAlign w:val="center"/>
          </w:tcPr>
          <w:p w14:paraId="274453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720" w:type="dxa"/>
            <w:tcBorders>
              <w:top w:val="single" w:color="000000" w:sz="4" w:space="0"/>
              <w:left w:val="single" w:color="000000" w:sz="4" w:space="0"/>
              <w:bottom w:val="single" w:color="000000" w:sz="4" w:space="0"/>
              <w:right w:val="single" w:color="000000" w:sz="4" w:space="0"/>
            </w:tcBorders>
            <w:noWrap/>
            <w:vAlign w:val="center"/>
          </w:tcPr>
          <w:p w14:paraId="3B3D5C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520" w:type="dxa"/>
            <w:tcBorders>
              <w:top w:val="single" w:color="000000" w:sz="4" w:space="0"/>
              <w:left w:val="single" w:color="000000" w:sz="4" w:space="0"/>
              <w:bottom w:val="single" w:color="000000" w:sz="4" w:space="0"/>
              <w:right w:val="single" w:color="000000" w:sz="4" w:space="0"/>
            </w:tcBorders>
            <w:noWrap/>
            <w:vAlign w:val="center"/>
          </w:tcPr>
          <w:p w14:paraId="6E415B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740" w:type="dxa"/>
            <w:tcBorders>
              <w:top w:val="single" w:color="000000" w:sz="4" w:space="0"/>
              <w:left w:val="single" w:color="000000" w:sz="4" w:space="0"/>
              <w:bottom w:val="single" w:color="000000" w:sz="4" w:space="0"/>
              <w:right w:val="single" w:color="000000" w:sz="4" w:space="0"/>
            </w:tcBorders>
            <w:noWrap/>
            <w:vAlign w:val="center"/>
          </w:tcPr>
          <w:p w14:paraId="392943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73E05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740" w:type="dxa"/>
            <w:tcBorders>
              <w:top w:val="single" w:color="000000" w:sz="4" w:space="0"/>
              <w:left w:val="single" w:color="000000" w:sz="4" w:space="0"/>
              <w:bottom w:val="single" w:color="000000" w:sz="4" w:space="0"/>
              <w:right w:val="single" w:color="000000" w:sz="4" w:space="0"/>
            </w:tcBorders>
            <w:noWrap w:val="0"/>
            <w:vAlign w:val="center"/>
          </w:tcPr>
          <w:p w14:paraId="02D43E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7A4563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窗帘</w:t>
            </w:r>
          </w:p>
        </w:tc>
        <w:tc>
          <w:tcPr>
            <w:tcW w:w="6720" w:type="dxa"/>
            <w:tcBorders>
              <w:top w:val="single" w:color="000000" w:sz="4" w:space="0"/>
              <w:left w:val="single" w:color="000000" w:sz="4" w:space="0"/>
              <w:bottom w:val="single" w:color="000000" w:sz="4" w:space="0"/>
              <w:right w:val="single" w:color="000000" w:sz="4" w:space="0"/>
            </w:tcBorders>
            <w:noWrap w:val="0"/>
            <w:vAlign w:val="center"/>
          </w:tcPr>
          <w:p w14:paraId="4995DD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亚麻材质，自带遮光层，罗马杆</w:t>
            </w: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2ADB89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米</w:t>
            </w:r>
          </w:p>
        </w:tc>
        <w:tc>
          <w:tcPr>
            <w:tcW w:w="740" w:type="dxa"/>
            <w:tcBorders>
              <w:top w:val="single" w:color="000000" w:sz="4" w:space="0"/>
              <w:left w:val="single" w:color="000000" w:sz="4" w:space="0"/>
              <w:bottom w:val="single" w:color="000000" w:sz="4" w:space="0"/>
              <w:right w:val="single" w:color="000000" w:sz="4" w:space="0"/>
            </w:tcBorders>
            <w:noWrap w:val="0"/>
            <w:vAlign w:val="center"/>
          </w:tcPr>
          <w:p w14:paraId="59219D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240</w:t>
            </w:r>
          </w:p>
        </w:tc>
      </w:tr>
      <w:tr w14:paraId="19C03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740" w:type="dxa"/>
            <w:tcBorders>
              <w:top w:val="single" w:color="000000" w:sz="4" w:space="0"/>
              <w:left w:val="single" w:color="000000" w:sz="4" w:space="0"/>
              <w:bottom w:val="single" w:color="000000" w:sz="4" w:space="0"/>
              <w:right w:val="single" w:color="000000" w:sz="4" w:space="0"/>
            </w:tcBorders>
            <w:noWrap w:val="0"/>
            <w:vAlign w:val="center"/>
          </w:tcPr>
          <w:p w14:paraId="1B39FB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57A938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办公桌椅</w:t>
            </w:r>
          </w:p>
        </w:tc>
        <w:tc>
          <w:tcPr>
            <w:tcW w:w="6720" w:type="dxa"/>
            <w:tcBorders>
              <w:top w:val="single" w:color="000000" w:sz="4" w:space="0"/>
              <w:left w:val="single" w:color="000000" w:sz="4" w:space="0"/>
              <w:bottom w:val="single" w:color="000000" w:sz="4" w:space="0"/>
              <w:right w:val="single" w:color="000000" w:sz="4" w:space="0"/>
            </w:tcBorders>
            <w:noWrap w:val="0"/>
            <w:vAlign w:val="center"/>
          </w:tcPr>
          <w:p w14:paraId="455E42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办公桌</w:t>
            </w: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≥1600*700*760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1、基材：全部采用E1级高密度板。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2、饰面：胡桃木木皮饰面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3、油漆：环保净味漆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4、优质五金配件连接。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办公椅</w:t>
            </w: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≥750*800*1180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1、饰面：优质西皮饰面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2、海绵：采用高密度回海绵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3、框架：优质橡胶木</w:t>
            </w:r>
            <w:r>
              <w:rPr>
                <w:rFonts w:hint="eastAsia" w:ascii="宋体" w:hAnsi="宋体" w:cs="宋体"/>
                <w:i w:val="0"/>
                <w:iCs w:val="0"/>
                <w:color w:val="auto"/>
                <w:kern w:val="0"/>
                <w:sz w:val="22"/>
                <w:szCs w:val="22"/>
                <w:highlight w:val="none"/>
                <w:u w:val="none"/>
                <w:lang w:val="en-US" w:eastAsia="zh-CN" w:bidi="ar"/>
              </w:rPr>
              <w:t>。</w:t>
            </w:r>
          </w:p>
        </w:tc>
        <w:tc>
          <w:tcPr>
            <w:tcW w:w="520" w:type="dxa"/>
            <w:tcBorders>
              <w:top w:val="single" w:color="000000" w:sz="4" w:space="0"/>
              <w:left w:val="single" w:color="000000" w:sz="4" w:space="0"/>
              <w:bottom w:val="single" w:color="000000" w:sz="4" w:space="0"/>
              <w:right w:val="single" w:color="000000" w:sz="4" w:space="0"/>
            </w:tcBorders>
            <w:noWrap/>
            <w:vAlign w:val="center"/>
          </w:tcPr>
          <w:p w14:paraId="059E38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40" w:type="dxa"/>
            <w:tcBorders>
              <w:top w:val="single" w:color="000000" w:sz="4" w:space="0"/>
              <w:left w:val="single" w:color="000000" w:sz="4" w:space="0"/>
              <w:bottom w:val="single" w:color="000000" w:sz="4" w:space="0"/>
              <w:right w:val="single" w:color="000000" w:sz="4" w:space="0"/>
            </w:tcBorders>
            <w:noWrap w:val="0"/>
            <w:vAlign w:val="center"/>
          </w:tcPr>
          <w:p w14:paraId="4E84EB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bl>
    <w:p w14:paraId="2C8928D8">
      <w:pPr>
        <w:pStyle w:val="33"/>
        <w:rPr>
          <w:rFonts w:hint="eastAsia"/>
          <w:color w:val="auto"/>
          <w:highlight w:val="none"/>
          <w:lang w:val="en-US" w:eastAsia="zh-CN"/>
        </w:rPr>
      </w:pPr>
    </w:p>
    <w:tbl>
      <w:tblPr>
        <w:tblStyle w:val="43"/>
        <w:tblW w:w="5826" w:type="pct"/>
        <w:tblInd w:w="-68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66"/>
        <w:gridCol w:w="1233"/>
        <w:gridCol w:w="6920"/>
        <w:gridCol w:w="552"/>
        <w:gridCol w:w="748"/>
      </w:tblGrid>
      <w:tr w14:paraId="7D891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1419849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教师办公室设备</w:t>
            </w:r>
          </w:p>
        </w:tc>
      </w:tr>
      <w:tr w14:paraId="21D9D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ign w:val="center"/>
          </w:tcPr>
          <w:p w14:paraId="15B9D4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0B7BDA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386" w:type="pct"/>
            <w:tcBorders>
              <w:top w:val="single" w:color="000000" w:sz="4" w:space="0"/>
              <w:left w:val="single" w:color="000000" w:sz="4" w:space="0"/>
              <w:bottom w:val="single" w:color="000000" w:sz="4" w:space="0"/>
              <w:right w:val="single" w:color="000000" w:sz="4" w:space="0"/>
            </w:tcBorders>
            <w:noWrap/>
            <w:vAlign w:val="center"/>
          </w:tcPr>
          <w:p w14:paraId="429622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03EF46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66" w:type="pct"/>
            <w:tcBorders>
              <w:top w:val="single" w:color="000000" w:sz="4" w:space="0"/>
              <w:left w:val="single" w:color="000000" w:sz="4" w:space="0"/>
              <w:bottom w:val="single" w:color="000000" w:sz="4" w:space="0"/>
              <w:right w:val="single" w:color="000000" w:sz="4" w:space="0"/>
            </w:tcBorders>
            <w:noWrap/>
            <w:vAlign w:val="center"/>
          </w:tcPr>
          <w:p w14:paraId="3F8388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374A2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5A7DEF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38F2ED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教师工作位</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36D7158F">
            <w:pPr>
              <w:keepNext w:val="0"/>
              <w:keepLines w:val="0"/>
              <w:widowControl/>
              <w:numPr>
                <w:ilvl w:val="0"/>
                <w:numId w:val="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≥1200*600*1100mm</w:t>
            </w:r>
            <w:r>
              <w:rPr>
                <w:rFonts w:hint="eastAsia" w:ascii="宋体" w:hAnsi="宋体" w:cs="宋体"/>
                <w:i w:val="0"/>
                <w:iCs w:val="0"/>
                <w:color w:val="auto"/>
                <w:kern w:val="0"/>
                <w:sz w:val="22"/>
                <w:szCs w:val="22"/>
                <w:highlight w:val="none"/>
                <w:u w:val="none"/>
                <w:lang w:val="en-US" w:eastAsia="zh-CN" w:bidi="ar"/>
              </w:rPr>
              <w:t xml:space="preserve"> 。</w:t>
            </w:r>
          </w:p>
          <w:p w14:paraId="305E09CB">
            <w:pPr>
              <w:keepNext w:val="0"/>
              <w:keepLines w:val="0"/>
              <w:widowControl/>
              <w:numPr>
                <w:ilvl w:val="0"/>
                <w:numId w:val="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屏风框架:采用优质铝材，耐蚀等级需达到10级。</w:t>
            </w:r>
          </w:p>
          <w:p w14:paraId="2983FA26">
            <w:pPr>
              <w:keepNext w:val="0"/>
              <w:keepLines w:val="0"/>
              <w:widowControl/>
              <w:numPr>
                <w:ilvl w:val="0"/>
                <w:numId w:val="8"/>
              </w:numPr>
              <w:suppressLineNumbers w:val="0"/>
              <w:tabs>
                <w:tab w:val="clear" w:pos="312"/>
              </w:tabs>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桌上屏风:采用钢化玻璃。</w:t>
            </w:r>
          </w:p>
          <w:p w14:paraId="4CC41CD0">
            <w:pPr>
              <w:keepNext w:val="0"/>
              <w:keepLines w:val="0"/>
              <w:widowControl/>
              <w:numPr>
                <w:ilvl w:val="0"/>
                <w:numId w:val="8"/>
              </w:numPr>
              <w:suppressLineNumbers w:val="0"/>
              <w:tabs>
                <w:tab w:val="clear" w:pos="312"/>
              </w:tabs>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部分:采用优质三聚氰胺板，耐污染腐蚀达到5级，板材密度≥0.63g/cm2，板材握螺钉力(板面≥1600N、板边≥1000N)，甲醛释放量≤0.080mg/m;需采用优质同色PVC封边条，厚度≥2.0mm，表面光滑，封边严密、平整，邻苯二甲酸酯(DBP、BBP、DEHP、DNOP、DINP和DIDP)≤0.001%，不含甲醛。</w:t>
            </w:r>
          </w:p>
          <w:p w14:paraId="005CECC0">
            <w:pPr>
              <w:keepNext w:val="0"/>
              <w:keepLines w:val="0"/>
              <w:widowControl/>
              <w:numPr>
                <w:ilvl w:val="0"/>
                <w:numId w:val="8"/>
              </w:numPr>
              <w:suppressLineNumbers w:val="0"/>
              <w:tabs>
                <w:tab w:val="clear" w:pos="312"/>
              </w:tabs>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热熔胶:采用优质环保热熔胶，质量需符合GB18583-2008《室内装饰装修材料胶粘剂中有害物质限量》</w:t>
            </w:r>
            <w:r>
              <w:rPr>
                <w:rFonts w:hint="eastAsia" w:ascii="宋体" w:hAnsi="宋体" w:cs="宋体"/>
                <w:i w:val="0"/>
                <w:iCs w:val="0"/>
                <w:color w:val="auto"/>
                <w:kern w:val="0"/>
                <w:sz w:val="22"/>
                <w:szCs w:val="22"/>
                <w:highlight w:val="none"/>
                <w:u w:val="none"/>
                <w:lang w:val="en-US" w:eastAsia="zh-CN" w:bidi="ar"/>
              </w:rPr>
              <w:t>。</w:t>
            </w:r>
          </w:p>
          <w:p w14:paraId="6047DBB3">
            <w:pPr>
              <w:keepNext w:val="0"/>
              <w:keepLines w:val="0"/>
              <w:widowControl/>
              <w:numPr>
                <w:ilvl w:val="0"/>
                <w:numId w:val="8"/>
              </w:numPr>
              <w:suppressLineNumbers w:val="0"/>
              <w:tabs>
                <w:tab w:val="clear" w:pos="312"/>
              </w:tabs>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五金配件:需采用优质5g/kg;五金配件，导轨、门铰、锁具、拉手、三合一等五金配件，</w:t>
            </w:r>
            <w:r>
              <w:rPr>
                <w:rFonts w:hint="eastAsia" w:ascii="宋体" w:hAnsi="宋体" w:cs="宋体"/>
                <w:i w:val="0"/>
                <w:iCs w:val="0"/>
                <w:color w:val="auto"/>
                <w:kern w:val="0"/>
                <w:sz w:val="22"/>
                <w:szCs w:val="22"/>
                <w:highlight w:val="none"/>
                <w:u w:val="none"/>
                <w:lang w:val="en-US" w:eastAsia="zh-CN" w:bidi="ar"/>
              </w:rPr>
              <w:t>不少于</w:t>
            </w:r>
            <w:r>
              <w:rPr>
                <w:rFonts w:hint="eastAsia" w:ascii="宋体" w:hAnsi="宋体" w:eastAsia="宋体" w:cs="宋体"/>
                <w:i w:val="0"/>
                <w:iCs w:val="0"/>
                <w:color w:val="auto"/>
                <w:kern w:val="0"/>
                <w:sz w:val="22"/>
                <w:szCs w:val="22"/>
                <w:highlight w:val="none"/>
                <w:u w:val="none"/>
                <w:lang w:val="en-US" w:eastAsia="zh-CN" w:bidi="ar"/>
              </w:rPr>
              <w:t>100小时乙酸盐雾试验，耐蚀等级需达到10级，质量需符合QB/T3827-1999(2009)《轻工产品金属镀层和化学处理层的耐腐蚀试验方法乙酸烟雾试验(ASS)法》和QB/T3832-1999(2009)《轻工业金属镀层腐蚀试验结果的评价》标准。</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7A5D56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位</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4964AB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120</w:t>
            </w:r>
          </w:p>
        </w:tc>
      </w:tr>
      <w:tr w14:paraId="323DE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234DB6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7F43EA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教师椅</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2008576C">
            <w:pPr>
              <w:keepNext w:val="0"/>
              <w:keepLines w:val="0"/>
              <w:widowControl/>
              <w:numPr>
                <w:ilvl w:val="0"/>
                <w:numId w:val="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≥565*605*905-1005mm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面料:需采用高品质网布，质量符合GB18401-2010《国家纺织品基本安全技术规范》标准，且不含甲醛及可分解致癌芬香胺染料等有害物质。</w:t>
            </w:r>
          </w:p>
          <w:p w14:paraId="575F1B71">
            <w:pPr>
              <w:keepNext w:val="0"/>
              <w:keepLines w:val="0"/>
              <w:widowControl/>
              <w:numPr>
                <w:ilvl w:val="0"/>
                <w:numId w:val="9"/>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海绵:座椅内部采用优质45#密度阻燃海绵，软硬适中，不变形，回弹性能好，坐感舒适;回弹率≥50%，伸长率≥240%，撕裂强度≥</w:t>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.ON/cm，干、湿热老化后拉伸强度≥80kPa</w:t>
            </w:r>
            <w:r>
              <w:rPr>
                <w:rFonts w:hint="eastAsia" w:ascii="宋体" w:hAnsi="宋体" w:cs="宋体"/>
                <w:i w:val="0"/>
                <w:iCs w:val="0"/>
                <w:color w:val="auto"/>
                <w:kern w:val="0"/>
                <w:sz w:val="22"/>
                <w:szCs w:val="22"/>
                <w:highlight w:val="none"/>
                <w:u w:val="none"/>
                <w:lang w:val="en-US" w:eastAsia="zh-CN" w:bidi="ar"/>
              </w:rPr>
              <w:t>。</w:t>
            </w:r>
          </w:p>
          <w:p w14:paraId="1E76E09E">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五星脚:需采用优质PP塑料五星脚架，且不含重金属、邻苯二甲酸酯、多环芳径等有害物质。尼龙纤维合成静音阻尼脚轮，移动轻快灵活，移动杂音小，耐磨性大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PU扶手:需采用优质环保PU扶手，质量需符合GB28481-2012《塑料家具中有害物质限量》标准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气压棒:需采用优质气压棒，可承重达250KG以上，伸缩30万次以上不漏气;密封性能符合GB/T29525-2013《座椅升降气弹簧 技术条件》标准。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喷胶:采用优质环保喷胶游离甲醛≤0.05g/kg、总挥发性有机物≤375g/L。</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33D44B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035A37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120</w:t>
            </w:r>
          </w:p>
        </w:tc>
      </w:tr>
      <w:tr w14:paraId="43139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2FDE56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428C82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云桌面</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3677776B">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1.云终端配置：不低于8核16G，硬盘容量：不低于180G；</w:t>
            </w:r>
          </w:p>
          <w:p w14:paraId="49ECC146">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2.提供统一管理平台；</w:t>
            </w:r>
          </w:p>
          <w:p w14:paraId="1F31B249">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3.系统能还原。</w:t>
            </w:r>
          </w:p>
          <w:p w14:paraId="1BDAFFCE">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4.软件平台与服务器、终端等支持硬件解耦</w:t>
            </w:r>
          </w:p>
          <w:p w14:paraId="72576CC4">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5.能创建多种镜像类型，包括公共镜像、自定义镜像、共享镜像</w:t>
            </w:r>
          </w:p>
          <w:p w14:paraId="65C15462">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6.支持多种高级加密标准算法。</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3E9595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2D154D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w:t>
            </w:r>
          </w:p>
        </w:tc>
      </w:tr>
      <w:tr w14:paraId="71891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3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55723C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5D9543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瘦终端</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5A3F9000">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1、CPU：不低于4核</w:t>
            </w:r>
          </w:p>
          <w:p w14:paraId="5AAC841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2、内存：不低于4G</w:t>
            </w:r>
          </w:p>
          <w:p w14:paraId="7268A86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3、硬盘：不低于16GB</w:t>
            </w:r>
          </w:p>
          <w:p w14:paraId="2DB27B1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4、网卡：1000M/100M/RJ45/自适应网卡</w:t>
            </w:r>
          </w:p>
          <w:p w14:paraId="20428CA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、USB口：不低于3个USB2.0</w:t>
            </w:r>
          </w:p>
          <w:p w14:paraId="26D89D6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、外接显示口：HDMI</w:t>
            </w:r>
          </w:p>
          <w:p w14:paraId="5F2DD854">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、支持分辨率：1920×1080</w:t>
            </w:r>
          </w:p>
          <w:p w14:paraId="4B9A35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、保修服务：整机三年保修服务。</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05B5D9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4C6A78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w:t>
            </w:r>
          </w:p>
        </w:tc>
      </w:tr>
      <w:tr w14:paraId="4EFC2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356F85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30055B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显示器（强制采购节能产品）</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50E97FB8">
            <w:pPr>
              <w:keepNext w:val="0"/>
              <w:keepLines w:val="0"/>
              <w:widowControl/>
              <w:numPr>
                <w:ilvl w:val="0"/>
                <w:numId w:val="10"/>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不小于22寸</w:t>
            </w:r>
            <w:r>
              <w:rPr>
                <w:rFonts w:hint="eastAsia" w:ascii="宋体" w:hAnsi="宋体" w:cs="宋体"/>
                <w:i w:val="0"/>
                <w:iCs w:val="0"/>
                <w:color w:val="auto"/>
                <w:kern w:val="0"/>
                <w:sz w:val="22"/>
                <w:szCs w:val="22"/>
                <w:highlight w:val="none"/>
                <w:u w:val="none"/>
                <w:lang w:val="en-US" w:eastAsia="zh-CN" w:bidi="ar"/>
              </w:rPr>
              <w:t>.</w:t>
            </w:r>
          </w:p>
          <w:p w14:paraId="4B5D49A9">
            <w:pPr>
              <w:keepNext w:val="0"/>
              <w:keepLines w:val="0"/>
              <w:widowControl/>
              <w:numPr>
                <w:ilvl w:val="0"/>
                <w:numId w:val="1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分辨率不低于1920*1080，VGA + HDMI</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542A07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20DAC4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w:t>
            </w:r>
          </w:p>
        </w:tc>
      </w:tr>
      <w:tr w14:paraId="2D495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57E9F3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3BC986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办公桌</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6F08CC1B">
            <w:pPr>
              <w:keepNext w:val="0"/>
              <w:keepLines w:val="0"/>
              <w:widowControl/>
              <w:numPr>
                <w:ilvl w:val="0"/>
                <w:numId w:val="1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≥1400×700×760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.基材：采用E1级优质环保型中纤板，板材的含水率、静曲强度等各项技术指标须符合国家的要求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板材的甲醛释放量须优于国家标准，甲醛释放量≤0.124mg/m3。</w:t>
            </w:r>
          </w:p>
          <w:p w14:paraId="4BCA49D2">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饰面：采用0.6（±0.04）mm厚胡桃木皮饰面，木皮颜色一致，纹理自然清晰，无明显节眼、黑斑、破损等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同时，木皮经过高温烘干、除虫等处理保证木材含水率低于10%。 </w:t>
            </w:r>
          </w:p>
          <w:p w14:paraId="0B368078">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油漆：优质环保油漆，经“五底三面”油漆工艺，符合国家级环保标准；色泽美观、不变色、光滑耐磨。</w:t>
            </w:r>
          </w:p>
          <w:p w14:paraId="77B34799">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五金配件：优质五金配件。</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1B4D0B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46F8D8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w:t>
            </w:r>
          </w:p>
        </w:tc>
      </w:tr>
      <w:tr w14:paraId="00160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1AB7B8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55F456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空调（强制采购节能产品）</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6C42D6C3">
            <w:pPr>
              <w:keepNext w:val="0"/>
              <w:keepLines w:val="0"/>
              <w:widowControl/>
              <w:numPr>
                <w:ilvl w:val="0"/>
                <w:numId w:val="1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制冷量不低于2P，材质工艺：ABS+高光注塑工艺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形体：挂机</w:t>
            </w:r>
            <w:r>
              <w:rPr>
                <w:rFonts w:hint="eastAsia" w:ascii="宋体" w:hAnsi="宋体" w:cs="宋体"/>
                <w:i w:val="0"/>
                <w:iCs w:val="0"/>
                <w:color w:val="auto"/>
                <w:kern w:val="0"/>
                <w:sz w:val="22"/>
                <w:szCs w:val="22"/>
                <w:highlight w:val="none"/>
                <w:u w:val="none"/>
                <w:lang w:val="en-US" w:eastAsia="zh-CN" w:bidi="ar"/>
              </w:rPr>
              <w:t>。</w:t>
            </w:r>
          </w:p>
          <w:p w14:paraId="6ED24E4A">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 xml:space="preserve">颜色:白色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适用面积：30m²-35m²</w:t>
            </w:r>
            <w:r>
              <w:rPr>
                <w:rFonts w:hint="eastAsia" w:ascii="宋体" w:hAnsi="宋体" w:cs="宋体"/>
                <w:i w:val="0"/>
                <w:iCs w:val="0"/>
                <w:color w:val="auto"/>
                <w:kern w:val="0"/>
                <w:sz w:val="22"/>
                <w:szCs w:val="22"/>
                <w:highlight w:val="none"/>
                <w:u w:val="none"/>
                <w:lang w:val="en-US" w:eastAsia="zh-CN" w:bidi="ar"/>
              </w:rPr>
              <w:t>。</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0F2D31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782A41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w:t>
            </w:r>
          </w:p>
        </w:tc>
      </w:tr>
      <w:tr w14:paraId="66BF14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74" w:type="pct"/>
            <w:tcBorders>
              <w:top w:val="single" w:color="000000" w:sz="4" w:space="0"/>
              <w:left w:val="single" w:color="000000" w:sz="4" w:space="0"/>
              <w:bottom w:val="single" w:color="000000" w:sz="4" w:space="0"/>
              <w:right w:val="single" w:color="000000" w:sz="4" w:space="0"/>
            </w:tcBorders>
            <w:noWrap w:val="0"/>
            <w:vAlign w:val="center"/>
          </w:tcPr>
          <w:p w14:paraId="017498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c>
          <w:tcPr>
            <w:tcW w:w="603" w:type="pct"/>
            <w:tcBorders>
              <w:top w:val="single" w:color="000000" w:sz="4" w:space="0"/>
              <w:left w:val="single" w:color="000000" w:sz="4" w:space="0"/>
              <w:bottom w:val="single" w:color="000000" w:sz="4" w:space="0"/>
              <w:right w:val="single" w:color="000000" w:sz="4" w:space="0"/>
            </w:tcBorders>
            <w:noWrap w:val="0"/>
            <w:vAlign w:val="center"/>
          </w:tcPr>
          <w:p w14:paraId="5C7588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窗帘</w:t>
            </w:r>
          </w:p>
        </w:tc>
        <w:tc>
          <w:tcPr>
            <w:tcW w:w="3386" w:type="pct"/>
            <w:tcBorders>
              <w:top w:val="single" w:color="000000" w:sz="4" w:space="0"/>
              <w:left w:val="single" w:color="000000" w:sz="4" w:space="0"/>
              <w:bottom w:val="single" w:color="000000" w:sz="4" w:space="0"/>
              <w:right w:val="single" w:color="000000" w:sz="4" w:space="0"/>
            </w:tcBorders>
            <w:noWrap w:val="0"/>
            <w:vAlign w:val="center"/>
          </w:tcPr>
          <w:p w14:paraId="5EC3D8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亚麻材质，自带遮光层，罗马杆</w:t>
            </w:r>
            <w:r>
              <w:rPr>
                <w:rFonts w:hint="eastAsia" w:ascii="宋体" w:hAnsi="宋体" w:cs="宋体"/>
                <w:i w:val="0"/>
                <w:iCs w:val="0"/>
                <w:color w:val="auto"/>
                <w:kern w:val="0"/>
                <w:sz w:val="22"/>
                <w:szCs w:val="22"/>
                <w:highlight w:val="none"/>
                <w:u w:val="none"/>
                <w:lang w:val="en-US" w:eastAsia="zh-CN" w:bidi="ar"/>
              </w:rPr>
              <w:t>。</w:t>
            </w:r>
          </w:p>
        </w:tc>
        <w:tc>
          <w:tcPr>
            <w:tcW w:w="269" w:type="pct"/>
            <w:tcBorders>
              <w:top w:val="single" w:color="000000" w:sz="4" w:space="0"/>
              <w:left w:val="single" w:color="000000" w:sz="4" w:space="0"/>
              <w:bottom w:val="single" w:color="000000" w:sz="4" w:space="0"/>
              <w:right w:val="single" w:color="000000" w:sz="4" w:space="0"/>
            </w:tcBorders>
            <w:noWrap w:val="0"/>
            <w:vAlign w:val="center"/>
          </w:tcPr>
          <w:p w14:paraId="50CCB5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米</w:t>
            </w:r>
          </w:p>
        </w:tc>
        <w:tc>
          <w:tcPr>
            <w:tcW w:w="366" w:type="pct"/>
            <w:tcBorders>
              <w:top w:val="single" w:color="000000" w:sz="4" w:space="0"/>
              <w:left w:val="single" w:color="000000" w:sz="4" w:space="0"/>
              <w:bottom w:val="single" w:color="000000" w:sz="4" w:space="0"/>
              <w:right w:val="single" w:color="000000" w:sz="4" w:space="0"/>
            </w:tcBorders>
            <w:noWrap w:val="0"/>
            <w:vAlign w:val="center"/>
          </w:tcPr>
          <w:p w14:paraId="494785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120</w:t>
            </w:r>
          </w:p>
        </w:tc>
      </w:tr>
    </w:tbl>
    <w:p w14:paraId="70E378A7">
      <w:pPr>
        <w:pStyle w:val="33"/>
        <w:rPr>
          <w:rFonts w:hint="eastAsia"/>
          <w:b/>
          <w:bCs/>
          <w:color w:val="auto"/>
          <w:highlight w:val="none"/>
          <w:lang w:val="en-US" w:eastAsia="zh-CN"/>
        </w:rPr>
      </w:pPr>
    </w:p>
    <w:tbl>
      <w:tblPr>
        <w:tblStyle w:val="43"/>
        <w:tblW w:w="5843" w:type="pct"/>
        <w:tblInd w:w="-70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83"/>
        <w:gridCol w:w="1213"/>
        <w:gridCol w:w="6970"/>
        <w:gridCol w:w="535"/>
        <w:gridCol w:w="748"/>
      </w:tblGrid>
      <w:tr w14:paraId="1D417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5119BB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行政办公室设备</w:t>
            </w:r>
          </w:p>
        </w:tc>
      </w:tr>
      <w:tr w14:paraId="14967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ign w:val="center"/>
          </w:tcPr>
          <w:p w14:paraId="2FF9C6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91" w:type="pct"/>
            <w:tcBorders>
              <w:top w:val="single" w:color="000000" w:sz="4" w:space="0"/>
              <w:left w:val="single" w:color="000000" w:sz="4" w:space="0"/>
              <w:bottom w:val="single" w:color="000000" w:sz="4" w:space="0"/>
              <w:right w:val="single" w:color="000000" w:sz="4" w:space="0"/>
            </w:tcBorders>
            <w:noWrap/>
            <w:vAlign w:val="center"/>
          </w:tcPr>
          <w:p w14:paraId="0DA53D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399" w:type="pct"/>
            <w:tcBorders>
              <w:top w:val="single" w:color="000000" w:sz="4" w:space="0"/>
              <w:left w:val="single" w:color="000000" w:sz="4" w:space="0"/>
              <w:bottom w:val="single" w:color="000000" w:sz="4" w:space="0"/>
              <w:right w:val="single" w:color="000000" w:sz="4" w:space="0"/>
            </w:tcBorders>
            <w:noWrap/>
            <w:vAlign w:val="center"/>
          </w:tcPr>
          <w:p w14:paraId="37F54B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261" w:type="pct"/>
            <w:tcBorders>
              <w:top w:val="single" w:color="000000" w:sz="4" w:space="0"/>
              <w:left w:val="single" w:color="000000" w:sz="4" w:space="0"/>
              <w:bottom w:val="single" w:color="000000" w:sz="4" w:space="0"/>
              <w:right w:val="single" w:color="000000" w:sz="4" w:space="0"/>
            </w:tcBorders>
            <w:noWrap/>
            <w:vAlign w:val="center"/>
          </w:tcPr>
          <w:p w14:paraId="55CA5D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64" w:type="pct"/>
            <w:tcBorders>
              <w:top w:val="single" w:color="000000" w:sz="4" w:space="0"/>
              <w:left w:val="single" w:color="000000" w:sz="4" w:space="0"/>
              <w:bottom w:val="single" w:color="000000" w:sz="4" w:space="0"/>
              <w:right w:val="single" w:color="000000" w:sz="4" w:space="0"/>
            </w:tcBorders>
            <w:noWrap/>
            <w:vAlign w:val="center"/>
          </w:tcPr>
          <w:p w14:paraId="5A8BF6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5C5DD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29316F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3-1</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033CFC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办公桌</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086CF548">
            <w:pPr>
              <w:keepNext w:val="0"/>
              <w:keepLines w:val="0"/>
              <w:widowControl/>
              <w:numPr>
                <w:ilvl w:val="0"/>
                <w:numId w:val="1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≥1400×700×760mm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.基材：采用E1级优质环保型中纤板，板材的含水率、静曲强度等各项技术指标须符合国家的要求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板材的甲醛释放量须优于国家标准，甲醛释放量≤0.124mg/m3。</w:t>
            </w:r>
          </w:p>
          <w:p w14:paraId="12EBF97A">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饰面：采用0.6（±0.04）mm厚胡桃木皮饰面，木皮颜色一致，纹理自然清晰，无明显节眼、黑斑、破损等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同时，木皮经过高温烘干、除虫等处理保证木材含水率低于10%。 </w:t>
            </w:r>
          </w:p>
          <w:p w14:paraId="264431ED">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 xml:space="preserve"> 油漆：优质环保油漆，经“五底三面”油漆工艺，符合国家级环保标准；色泽美观、不变色、光滑耐磨。</w:t>
            </w:r>
          </w:p>
          <w:p w14:paraId="1852FB5D">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五金配件：优质五金配件。</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1B3CE4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1B88A6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09AF3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347E0A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3-2</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784E9C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办公椅</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31CE5FF2">
            <w:pPr>
              <w:keepNext w:val="0"/>
              <w:keepLines w:val="0"/>
              <w:widowControl/>
              <w:numPr>
                <w:ilvl w:val="0"/>
                <w:numId w:val="1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≥565*605*905-1005mm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面料:需采用高品质网布，质量符合GB18401-2010《国家纺织品基本安全技术规范》标准，且不含甲醛及可分解致癌芬香胺染料等有害物质。</w:t>
            </w:r>
          </w:p>
          <w:p w14:paraId="1E049628">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海绵:座椅内部采用优质45#密度阻燃海绵，软硬适中，不变形，回弹性能好，坐感舒适;回弹率≥50%，伸长率≥240%，撕裂强度≥3.ON/cm，干、湿热老化后拉伸强度≥80kPa</w:t>
            </w:r>
            <w:r>
              <w:rPr>
                <w:rFonts w:hint="eastAsia" w:ascii="宋体" w:hAnsi="宋体" w:cs="宋体"/>
                <w:i w:val="0"/>
                <w:iCs w:val="0"/>
                <w:color w:val="auto"/>
                <w:kern w:val="0"/>
                <w:sz w:val="22"/>
                <w:szCs w:val="22"/>
                <w:highlight w:val="none"/>
                <w:u w:val="none"/>
                <w:lang w:val="en-US" w:eastAsia="zh-CN" w:bidi="ar"/>
              </w:rPr>
              <w:t>。</w:t>
            </w:r>
          </w:p>
          <w:p w14:paraId="3253B0C3">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五星脚:需采用优质PP塑料五星脚架，且不含重金属、邻苯二甲酸酯、多环芳径等有害物质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尼龙纤维合成静音阻尼脚轮，移动轻快灵活，移动杂音小，耐磨性大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PU扶手:需采用优质环保PU扶手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气压棒:需采用优质气压棒，可承重达250KG以上，伸缩30万次以上不漏气;密封性能符合GB/T29525-2013《座椅升降气弹簧 技术条件》标准。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喷胶:采用优质环保喷胶游离甲醛≤0.05g/kg、总挥发性有机物≤375g/L。</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36E9EF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70C2E1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2756A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747470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3-3</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0D386C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文件柜</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73E1B6A5">
            <w:pPr>
              <w:keepNext w:val="0"/>
              <w:keepLines w:val="0"/>
              <w:widowControl/>
              <w:numPr>
                <w:ilvl w:val="0"/>
                <w:numId w:val="1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≥800*400*2000mm</w:t>
            </w:r>
            <w:r>
              <w:rPr>
                <w:rFonts w:hint="eastAsia" w:ascii="宋体" w:hAnsi="宋体" w:cs="宋体"/>
                <w:i w:val="0"/>
                <w:iCs w:val="0"/>
                <w:color w:val="auto"/>
                <w:kern w:val="0"/>
                <w:sz w:val="22"/>
                <w:szCs w:val="22"/>
                <w:highlight w:val="none"/>
                <w:u w:val="none"/>
                <w:lang w:val="en-US" w:eastAsia="zh-CN" w:bidi="ar"/>
              </w:rPr>
              <w:t>；</w:t>
            </w:r>
          </w:p>
          <w:p w14:paraId="2A1248C9">
            <w:pPr>
              <w:keepNext w:val="0"/>
              <w:keepLines w:val="0"/>
              <w:widowControl/>
              <w:numPr>
                <w:ilvl w:val="0"/>
                <w:numId w:val="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板材:需采用优质环保三聚氰胺板，环保等级达到E1级，耐磨、耐脏、耐高温，质量需符合GB/T15102-2017标准，静曲强度、内结合强度、表面胶合强度、含水率、握螺钉力、表面耐划痕、表面耐磨、表面耐香烟灼烧等指标需符合检测标准，表面耐污染腐蚀需达到五级，板材密度≥0.63g/cm2，板材握螺钉力(板面≥1600N、板边≥1000N)，甲醛释放量≤0.080mg/m</w:t>
            </w:r>
            <w:r>
              <w:rPr>
                <w:rFonts w:hint="eastAsia" w:ascii="宋体" w:hAnsi="宋体" w:cs="宋体"/>
                <w:i w:val="0"/>
                <w:iCs w:val="0"/>
                <w:color w:val="auto"/>
                <w:kern w:val="0"/>
                <w:sz w:val="22"/>
                <w:szCs w:val="22"/>
                <w:highlight w:val="none"/>
                <w:u w:val="none"/>
                <w:lang w:val="en-US" w:eastAsia="zh-CN" w:bidi="ar"/>
              </w:rPr>
              <w:t>。</w:t>
            </w:r>
          </w:p>
          <w:p w14:paraId="7F0F813A">
            <w:pPr>
              <w:keepNext w:val="0"/>
              <w:keepLines w:val="0"/>
              <w:widowControl/>
              <w:numPr>
                <w:ilvl w:val="0"/>
                <w:numId w:val="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白乳胶:需采用优质环保水基型白乳胶，质量需符合GB18583-2008《室内装饰装修材料 胶粘剂中有害物质限量》标准，游离甲醛≤0.05g/kg，苯含量≤0.01g/kg，甲苯+二甲苯含量≤0.05g/kg,总挥发性有机物≤80g/L</w:t>
            </w:r>
            <w:r>
              <w:rPr>
                <w:rFonts w:hint="eastAsia" w:ascii="宋体" w:hAnsi="宋体" w:cs="宋体"/>
                <w:i w:val="0"/>
                <w:iCs w:val="0"/>
                <w:color w:val="auto"/>
                <w:kern w:val="0"/>
                <w:sz w:val="22"/>
                <w:szCs w:val="22"/>
                <w:highlight w:val="none"/>
                <w:u w:val="none"/>
                <w:lang w:val="en-US" w:eastAsia="zh-CN" w:bidi="ar"/>
              </w:rPr>
              <w:t>。</w:t>
            </w:r>
          </w:p>
          <w:p w14:paraId="7EA89ADC">
            <w:pPr>
              <w:keepNext w:val="0"/>
              <w:keepLines w:val="0"/>
              <w:widowControl/>
              <w:numPr>
                <w:ilvl w:val="0"/>
                <w:numId w:val="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热熔胶:采用优质环保热熔胶，质量需符合GB18583-2008《室内装饰装修材料胶粘剂中有害物质限量》，总挥发性有机物≤5g/kg</w:t>
            </w:r>
            <w:r>
              <w:rPr>
                <w:rFonts w:hint="eastAsia" w:ascii="宋体" w:hAnsi="宋体" w:cs="宋体"/>
                <w:i w:val="0"/>
                <w:iCs w:val="0"/>
                <w:color w:val="auto"/>
                <w:kern w:val="0"/>
                <w:sz w:val="22"/>
                <w:szCs w:val="22"/>
                <w:highlight w:val="none"/>
                <w:u w:val="none"/>
                <w:lang w:val="en-US" w:eastAsia="zh-CN" w:bidi="ar"/>
              </w:rPr>
              <w:t>。</w:t>
            </w:r>
          </w:p>
          <w:p w14:paraId="22A5BE94">
            <w:pPr>
              <w:keepNext w:val="0"/>
              <w:keepLines w:val="0"/>
              <w:widowControl/>
              <w:numPr>
                <w:ilvl w:val="0"/>
                <w:numId w:val="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 五金配件:需采用优质五金配件，三合一等五金配件，100小时乙酸盐雾试验，耐蚀等级需达到10级，质量需符合B/T3827-1999(2009)《轻工产品金属镀层和化学处理层的耐腐蚀试验方法 乙酸烟雾试验(ASS)法》和QB/T3832-1999(2009)《轻工业金属镀层腐蚀试验结果的评价》标准</w:t>
            </w:r>
            <w:r>
              <w:rPr>
                <w:rFonts w:hint="eastAsia" w:ascii="宋体" w:hAnsi="宋体" w:cs="宋体"/>
                <w:i w:val="0"/>
                <w:iCs w:val="0"/>
                <w:color w:val="auto"/>
                <w:kern w:val="0"/>
                <w:sz w:val="22"/>
                <w:szCs w:val="22"/>
                <w:highlight w:val="none"/>
                <w:u w:val="none"/>
                <w:lang w:val="en-US" w:eastAsia="zh-CN" w:bidi="ar"/>
              </w:rPr>
              <w:t>。</w:t>
            </w:r>
          </w:p>
          <w:p w14:paraId="61A48761">
            <w:pPr>
              <w:keepNext w:val="0"/>
              <w:keepLines w:val="0"/>
              <w:widowControl/>
              <w:numPr>
                <w:ilvl w:val="0"/>
                <w:numId w:val="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封边带:需采用优质同色PVC封边条，厚度≥2.0mm，表面光滑，封边严密、平整，质量需符合QB/T4463-2013《家具用封边条技术要求》标准，邻苯二甲酸酯(DBP、BBP、DEHP、DNOP、DINP和DIDP)≤0.001%，不含甲醛。</w:t>
            </w:r>
          </w:p>
          <w:p w14:paraId="60688E31">
            <w:pPr>
              <w:keepNext w:val="0"/>
              <w:keepLines w:val="0"/>
              <w:widowControl/>
              <w:numPr>
                <w:ilvl w:val="0"/>
                <w:numId w:val="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玻璃:采用钢化玻璃，边缘光滑，安全性好。</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6C7B0D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700205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6E184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2365C3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3-4</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3B953E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云桌面</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07723F9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eastAsia="zh-CN"/>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2-3。</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3BB164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770E78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2498D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0DC2B5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3-5</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05DC30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瘦终端</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1F06A70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2-4。</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132141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3FBFA2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4EAD4C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130E08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3-6</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74F637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显示器（强制采购节能产品）</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00DB2B6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2-5。</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65DAE5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7AC554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1D577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55951A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3-7</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53199E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空调（强制采购节能产品）</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635D2134">
            <w:pPr>
              <w:keepNext w:val="0"/>
              <w:keepLines w:val="0"/>
              <w:widowControl/>
              <w:numPr>
                <w:ilvl w:val="0"/>
                <w:numId w:val="0"/>
              </w:numPr>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2-6。</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67E507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606229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w:t>
            </w:r>
          </w:p>
        </w:tc>
      </w:tr>
      <w:tr w14:paraId="648E2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0D9AF0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3-8</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6090F0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窗帘</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0D753F4E">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2-7</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3FF36E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米</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05D37E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40</w:t>
            </w:r>
          </w:p>
        </w:tc>
      </w:tr>
      <w:tr w14:paraId="2B88E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34E0E1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3-9</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4CD763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A4一体机（强制采购节能产品）</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42653364">
            <w:pPr>
              <w:keepNext w:val="0"/>
              <w:keepLines w:val="0"/>
              <w:widowControl/>
              <w:numPr>
                <w:ilvl w:val="0"/>
                <w:numId w:val="1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A4黑白激光多功能一体机,复印\打印\扫描，速度≥33页/分钟页，自动双面打印，中文显示、一键式身份证左右摆放、票据复印</w:t>
            </w:r>
            <w:r>
              <w:rPr>
                <w:rFonts w:hint="eastAsia" w:ascii="宋体" w:hAnsi="宋体" w:cs="宋体"/>
                <w:i w:val="0"/>
                <w:iCs w:val="0"/>
                <w:color w:val="auto"/>
                <w:kern w:val="0"/>
                <w:sz w:val="22"/>
                <w:szCs w:val="22"/>
                <w:highlight w:val="none"/>
                <w:u w:val="none"/>
                <w:lang w:val="en-US" w:eastAsia="zh-CN" w:bidi="ar"/>
              </w:rPr>
              <w:t>。</w:t>
            </w:r>
          </w:p>
          <w:p w14:paraId="687CFAEB">
            <w:pPr>
              <w:keepNext w:val="0"/>
              <w:keepLines w:val="0"/>
              <w:widowControl/>
              <w:numPr>
                <w:ilvl w:val="0"/>
                <w:numId w:val="1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CPU:600MHZ</w:t>
            </w:r>
            <w:r>
              <w:rPr>
                <w:rFonts w:hint="eastAsia" w:ascii="宋体" w:hAnsi="宋体" w:cs="宋体"/>
                <w:i w:val="0"/>
                <w:iCs w:val="0"/>
                <w:color w:val="auto"/>
                <w:kern w:val="0"/>
                <w:sz w:val="22"/>
                <w:szCs w:val="22"/>
                <w:highlight w:val="none"/>
                <w:u w:val="none"/>
                <w:lang w:val="en-US" w:eastAsia="zh-CN" w:bidi="ar"/>
              </w:rPr>
              <w:t>。</w:t>
            </w:r>
          </w:p>
          <w:p w14:paraId="649F1D68">
            <w:pPr>
              <w:keepNext w:val="0"/>
              <w:keepLines w:val="0"/>
              <w:widowControl/>
              <w:numPr>
                <w:ilvl w:val="0"/>
                <w:numId w:val="1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内存：256 MB，带50页ADF，带U盘扫描，带有线网络打印，鼓粉分离，随机粉盒</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6000张，硒鼓</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25000张，卡纸强排、定影清洁，原厂保修2年，上门服务</w:t>
            </w:r>
            <w:r>
              <w:rPr>
                <w:rFonts w:hint="eastAsia" w:ascii="宋体" w:hAnsi="宋体" w:cs="宋体"/>
                <w:i w:val="0"/>
                <w:iCs w:val="0"/>
                <w:color w:val="auto"/>
                <w:kern w:val="0"/>
                <w:sz w:val="22"/>
                <w:szCs w:val="22"/>
                <w:highlight w:val="none"/>
                <w:u w:val="none"/>
                <w:lang w:val="en-US" w:eastAsia="zh-CN" w:bidi="ar"/>
              </w:rPr>
              <w:t>。</w:t>
            </w: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2E5226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4C7B6A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r>
      <w:tr w14:paraId="46162E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382" w:type="pct"/>
            <w:tcBorders>
              <w:top w:val="single" w:color="000000" w:sz="4" w:space="0"/>
              <w:left w:val="single" w:color="000000" w:sz="4" w:space="0"/>
              <w:bottom w:val="single" w:color="000000" w:sz="4" w:space="0"/>
              <w:right w:val="single" w:color="000000" w:sz="4" w:space="0"/>
            </w:tcBorders>
            <w:noWrap w:val="0"/>
            <w:vAlign w:val="center"/>
          </w:tcPr>
          <w:p w14:paraId="511A9B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3-10</w:t>
            </w:r>
          </w:p>
        </w:tc>
        <w:tc>
          <w:tcPr>
            <w:tcW w:w="591" w:type="pct"/>
            <w:tcBorders>
              <w:top w:val="single" w:color="000000" w:sz="4" w:space="0"/>
              <w:left w:val="single" w:color="000000" w:sz="4" w:space="0"/>
              <w:bottom w:val="single" w:color="000000" w:sz="4" w:space="0"/>
              <w:right w:val="single" w:color="000000" w:sz="4" w:space="0"/>
            </w:tcBorders>
            <w:noWrap w:val="0"/>
            <w:vAlign w:val="center"/>
          </w:tcPr>
          <w:p w14:paraId="6019F8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A3打印机（强制采购节能产品）</w:t>
            </w:r>
          </w:p>
        </w:tc>
        <w:tc>
          <w:tcPr>
            <w:tcW w:w="3399" w:type="pct"/>
            <w:tcBorders>
              <w:top w:val="single" w:color="000000" w:sz="4" w:space="0"/>
              <w:left w:val="single" w:color="000000" w:sz="4" w:space="0"/>
              <w:bottom w:val="single" w:color="000000" w:sz="4" w:space="0"/>
              <w:right w:val="single" w:color="000000" w:sz="4" w:space="0"/>
            </w:tcBorders>
            <w:noWrap w:val="0"/>
            <w:vAlign w:val="center"/>
          </w:tcPr>
          <w:p w14:paraId="3B244AE0">
            <w:pPr>
              <w:keepNext w:val="0"/>
              <w:keepLines w:val="0"/>
              <w:widowControl/>
              <w:numPr>
                <w:ilvl w:val="0"/>
                <w:numId w:val="1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A3黑白数码复合机，速度≥22页/分钟，双面复印、双面打印、网络彩色扫描，标配网络打印，标配100页双面自动送稿器</w:t>
            </w:r>
            <w:r>
              <w:rPr>
                <w:rFonts w:hint="eastAsia" w:ascii="宋体" w:hAnsi="宋体" w:cs="宋体"/>
                <w:i w:val="0"/>
                <w:iCs w:val="0"/>
                <w:color w:val="auto"/>
                <w:kern w:val="0"/>
                <w:sz w:val="22"/>
                <w:szCs w:val="22"/>
                <w:highlight w:val="none"/>
                <w:u w:val="none"/>
                <w:lang w:val="en-US" w:eastAsia="zh-CN" w:bidi="ar"/>
              </w:rPr>
              <w:t>。</w:t>
            </w:r>
          </w:p>
          <w:p w14:paraId="2D6CA5D6">
            <w:pPr>
              <w:keepNext w:val="0"/>
              <w:keepLines w:val="0"/>
              <w:widowControl/>
              <w:numPr>
                <w:ilvl w:val="0"/>
                <w:numId w:val="1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处理器833MHz ，内存≥1GB,硬盘：256MB，标准纸盒：250页+100页旁路，最大月负荷60000页/月，分辨率 1200*1200dpi</w:t>
            </w:r>
            <w:r>
              <w:rPr>
                <w:rFonts w:hint="eastAsia" w:ascii="宋体" w:hAnsi="宋体" w:cs="宋体"/>
                <w:i w:val="0"/>
                <w:iCs w:val="0"/>
                <w:color w:val="auto"/>
                <w:kern w:val="0"/>
                <w:sz w:val="22"/>
                <w:szCs w:val="22"/>
                <w:highlight w:val="none"/>
                <w:u w:val="none"/>
                <w:lang w:val="en-US" w:eastAsia="zh-CN" w:bidi="ar"/>
              </w:rPr>
              <w:t>。</w:t>
            </w:r>
          </w:p>
          <w:p w14:paraId="10F3B359">
            <w:pPr>
              <w:keepNext w:val="0"/>
              <w:keepLines w:val="0"/>
              <w:widowControl/>
              <w:numPr>
                <w:ilvl w:val="0"/>
                <w:numId w:val="1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缩放比例：25%-400%，介质厚度 60 - 216g，支持麒麟、统信等国产操作系统，全自研A3架构，成本可控，支持智能状态耗材管控系统、安全文印系统</w:t>
            </w:r>
            <w:r>
              <w:rPr>
                <w:rFonts w:hint="eastAsia" w:ascii="宋体" w:hAnsi="宋体" w:cs="宋体"/>
                <w:i w:val="0"/>
                <w:iCs w:val="0"/>
                <w:color w:val="auto"/>
                <w:kern w:val="0"/>
                <w:sz w:val="22"/>
                <w:szCs w:val="22"/>
                <w:highlight w:val="none"/>
                <w:u w:val="none"/>
                <w:lang w:val="en-US" w:eastAsia="zh-CN" w:bidi="ar"/>
              </w:rPr>
              <w:t>。</w:t>
            </w:r>
          </w:p>
          <w:p w14:paraId="1C6506AC">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p>
        </w:tc>
        <w:tc>
          <w:tcPr>
            <w:tcW w:w="261" w:type="pct"/>
            <w:tcBorders>
              <w:top w:val="single" w:color="000000" w:sz="4" w:space="0"/>
              <w:left w:val="single" w:color="000000" w:sz="4" w:space="0"/>
              <w:bottom w:val="single" w:color="000000" w:sz="4" w:space="0"/>
              <w:right w:val="single" w:color="000000" w:sz="4" w:space="0"/>
            </w:tcBorders>
            <w:noWrap w:val="0"/>
            <w:vAlign w:val="center"/>
          </w:tcPr>
          <w:p w14:paraId="0AEE71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64" w:type="pct"/>
            <w:tcBorders>
              <w:top w:val="single" w:color="000000" w:sz="4" w:space="0"/>
              <w:left w:val="single" w:color="000000" w:sz="4" w:space="0"/>
              <w:bottom w:val="single" w:color="000000" w:sz="4" w:space="0"/>
              <w:right w:val="single" w:color="000000" w:sz="4" w:space="0"/>
            </w:tcBorders>
            <w:noWrap w:val="0"/>
            <w:vAlign w:val="center"/>
          </w:tcPr>
          <w:p w14:paraId="3EA492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bl>
    <w:p w14:paraId="1E2C84C8">
      <w:pPr>
        <w:pStyle w:val="33"/>
        <w:rPr>
          <w:rFonts w:hint="eastAsia"/>
          <w:b/>
          <w:bCs/>
          <w:color w:val="auto"/>
          <w:highlight w:val="none"/>
          <w:lang w:val="en-US" w:eastAsia="zh-CN"/>
        </w:rPr>
      </w:pPr>
    </w:p>
    <w:tbl>
      <w:tblPr>
        <w:tblStyle w:val="43"/>
        <w:tblW w:w="9930" w:type="dxa"/>
        <w:tblInd w:w="-68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65"/>
        <w:gridCol w:w="1170"/>
        <w:gridCol w:w="6765"/>
        <w:gridCol w:w="525"/>
        <w:gridCol w:w="705"/>
      </w:tblGrid>
      <w:tr w14:paraId="41DBA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9930" w:type="dxa"/>
            <w:gridSpan w:val="5"/>
            <w:tcBorders>
              <w:top w:val="single" w:color="000000" w:sz="4" w:space="0"/>
              <w:left w:val="single" w:color="000000" w:sz="4" w:space="0"/>
              <w:bottom w:val="single" w:color="000000" w:sz="4" w:space="0"/>
              <w:right w:val="single" w:color="000000" w:sz="4" w:space="0"/>
            </w:tcBorders>
            <w:noWrap/>
            <w:vAlign w:val="center"/>
          </w:tcPr>
          <w:p w14:paraId="311A71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教室设备</w:t>
            </w:r>
          </w:p>
        </w:tc>
      </w:tr>
      <w:tr w14:paraId="76DA4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26DBF3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70" w:type="dxa"/>
            <w:tcBorders>
              <w:top w:val="single" w:color="000000" w:sz="4" w:space="0"/>
              <w:left w:val="single" w:color="000000" w:sz="4" w:space="0"/>
              <w:bottom w:val="single" w:color="000000" w:sz="4" w:space="0"/>
              <w:right w:val="single" w:color="000000" w:sz="4" w:space="0"/>
            </w:tcBorders>
            <w:noWrap/>
            <w:vAlign w:val="center"/>
          </w:tcPr>
          <w:p w14:paraId="464D20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765" w:type="dxa"/>
            <w:tcBorders>
              <w:top w:val="single" w:color="000000" w:sz="4" w:space="0"/>
              <w:left w:val="single" w:color="000000" w:sz="4" w:space="0"/>
              <w:bottom w:val="single" w:color="000000" w:sz="4" w:space="0"/>
              <w:right w:val="single" w:color="000000" w:sz="4" w:space="0"/>
            </w:tcBorders>
            <w:noWrap/>
            <w:vAlign w:val="center"/>
          </w:tcPr>
          <w:p w14:paraId="3262F2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6769C0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5A3CD9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63392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5117C9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4-1</w:t>
            </w:r>
          </w:p>
        </w:tc>
        <w:tc>
          <w:tcPr>
            <w:tcW w:w="1170" w:type="dxa"/>
            <w:tcBorders>
              <w:top w:val="single" w:color="000000" w:sz="4" w:space="0"/>
              <w:left w:val="single" w:color="000000" w:sz="4" w:space="0"/>
              <w:bottom w:val="single" w:color="000000" w:sz="4" w:space="0"/>
              <w:right w:val="single" w:color="000000" w:sz="4" w:space="0"/>
            </w:tcBorders>
            <w:noWrap/>
            <w:vAlign w:val="center"/>
          </w:tcPr>
          <w:p w14:paraId="318EBC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钢制讲台</w:t>
            </w:r>
          </w:p>
        </w:tc>
        <w:tc>
          <w:tcPr>
            <w:tcW w:w="6765" w:type="dxa"/>
            <w:tcBorders>
              <w:top w:val="single" w:color="000000" w:sz="4" w:space="0"/>
              <w:left w:val="single" w:color="000000" w:sz="4" w:space="0"/>
              <w:bottom w:val="single" w:color="000000" w:sz="4" w:space="0"/>
              <w:right w:val="single" w:color="000000" w:sz="4" w:space="0"/>
            </w:tcBorders>
            <w:noWrap/>
            <w:vAlign w:val="center"/>
          </w:tcPr>
          <w:p w14:paraId="4D0AB29B">
            <w:pPr>
              <w:keepNext w:val="0"/>
              <w:keepLines w:val="0"/>
              <w:widowControl/>
              <w:numPr>
                <w:ilvl w:val="0"/>
                <w:numId w:val="1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≥长1000×宽700×高1000（mm）</w:t>
            </w:r>
            <w:r>
              <w:rPr>
                <w:rFonts w:hint="eastAsia" w:ascii="宋体" w:hAnsi="宋体" w:cs="宋体"/>
                <w:i w:val="0"/>
                <w:iCs w:val="0"/>
                <w:color w:val="auto"/>
                <w:kern w:val="0"/>
                <w:sz w:val="22"/>
                <w:szCs w:val="22"/>
                <w:highlight w:val="none"/>
                <w:u w:val="none"/>
                <w:lang w:val="en-US" w:eastAsia="zh-CN" w:bidi="ar"/>
              </w:rPr>
              <w:t>；</w:t>
            </w:r>
          </w:p>
          <w:p w14:paraId="57A6306E">
            <w:pPr>
              <w:keepNext w:val="0"/>
              <w:keepLines w:val="0"/>
              <w:widowControl/>
              <w:numPr>
                <w:ilvl w:val="0"/>
                <w:numId w:val="1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选用≥1.0mm精装冷轧钢板，并采用数控设备精加工制作；钢板表面经酸洗、磷化防腐防锈后静电碰塑处理，塑面均匀、经久耐用</w:t>
            </w:r>
            <w:r>
              <w:rPr>
                <w:rFonts w:hint="eastAsia" w:ascii="宋体" w:hAnsi="宋体" w:cs="宋体"/>
                <w:i w:val="0"/>
                <w:iCs w:val="0"/>
                <w:color w:val="auto"/>
                <w:kern w:val="0"/>
                <w:sz w:val="22"/>
                <w:szCs w:val="22"/>
                <w:highlight w:val="none"/>
                <w:u w:val="none"/>
                <w:lang w:val="en-US" w:eastAsia="zh-CN" w:bidi="ar"/>
              </w:rPr>
              <w:t>。</w:t>
            </w:r>
          </w:p>
          <w:p w14:paraId="518EF005">
            <w:pPr>
              <w:keepNext w:val="0"/>
              <w:keepLines w:val="0"/>
              <w:widowControl/>
              <w:numPr>
                <w:ilvl w:val="0"/>
                <w:numId w:val="1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讲台选用高档喷漆实木扶手，及L型实木装饰板，有效提升使用者的舒适性和美观度</w:t>
            </w:r>
            <w:r>
              <w:rPr>
                <w:rFonts w:hint="eastAsia" w:ascii="宋体" w:hAnsi="宋体" w:cs="宋体"/>
                <w:i w:val="0"/>
                <w:iCs w:val="0"/>
                <w:color w:val="auto"/>
                <w:kern w:val="0"/>
                <w:sz w:val="22"/>
                <w:szCs w:val="22"/>
                <w:highlight w:val="none"/>
                <w:u w:val="none"/>
                <w:lang w:val="en-US" w:eastAsia="zh-CN" w:bidi="ar"/>
              </w:rPr>
              <w:t>。</w:t>
            </w:r>
          </w:p>
          <w:p w14:paraId="2C8CB33A">
            <w:pPr>
              <w:keepNext w:val="0"/>
              <w:keepLines w:val="0"/>
              <w:widowControl/>
              <w:numPr>
                <w:ilvl w:val="0"/>
                <w:numId w:val="1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讲台采用上下柜结构，方便老师教课使用，同时与地面无缝对接有效防止鼠害，保证设备的正常使用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钣金焊接结构,边角圆弧过度，无尖锐，内部钢板无棱边及毛刺，下柜非拼装型设计，使讲台整体更牢固</w:t>
            </w:r>
            <w:r>
              <w:rPr>
                <w:rFonts w:hint="eastAsia" w:ascii="宋体" w:hAnsi="宋体" w:cs="宋体"/>
                <w:i w:val="0"/>
                <w:iCs w:val="0"/>
                <w:color w:val="auto"/>
                <w:kern w:val="0"/>
                <w:sz w:val="22"/>
                <w:szCs w:val="22"/>
                <w:highlight w:val="none"/>
                <w:u w:val="none"/>
                <w:lang w:val="en-US" w:eastAsia="zh-CN" w:bidi="ar"/>
              </w:rPr>
              <w:t>。</w:t>
            </w:r>
          </w:p>
          <w:p w14:paraId="36411AFE">
            <w:pPr>
              <w:keepNext w:val="0"/>
              <w:keepLines w:val="0"/>
              <w:widowControl/>
              <w:numPr>
                <w:ilvl w:val="0"/>
                <w:numId w:val="1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前门及抽屉采用通开锁，一把钥匙可通开抽屉和下柜门，方便老师管理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能有效容纳中央控制器、功放等教学设备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有效管控强弱电路、确保安全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关闭后，台外无任何可拆卸螺钉。</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4D448A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37960F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44</w:t>
            </w:r>
          </w:p>
        </w:tc>
      </w:tr>
      <w:tr w14:paraId="28361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27C4BE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4-2</w:t>
            </w:r>
          </w:p>
        </w:tc>
        <w:tc>
          <w:tcPr>
            <w:tcW w:w="1170" w:type="dxa"/>
            <w:tcBorders>
              <w:top w:val="single" w:color="000000" w:sz="4" w:space="0"/>
              <w:left w:val="single" w:color="000000" w:sz="4" w:space="0"/>
              <w:bottom w:val="single" w:color="000000" w:sz="4" w:space="0"/>
              <w:right w:val="single" w:color="000000" w:sz="4" w:space="0"/>
            </w:tcBorders>
            <w:noWrap/>
            <w:vAlign w:val="center"/>
          </w:tcPr>
          <w:p w14:paraId="79193D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课桌椅</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3526B71F">
            <w:pPr>
              <w:keepNext w:val="0"/>
              <w:keepLines w:val="0"/>
              <w:widowControl/>
              <w:numPr>
                <w:ilvl w:val="0"/>
                <w:numId w:val="1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规格材质及功能要求：课桌：≥600mm*400mm*760mm课椅：≥380mm*375mm*780mm </w:t>
            </w:r>
          </w:p>
          <w:p w14:paraId="4D16DDA1">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1.桌面材质尺寸：≥长600mm*宽400mm*厚18mm±</w:t>
            </w:r>
            <w:r>
              <w:rPr>
                <w:rFonts w:hint="eastAsia" w:ascii="宋体" w:hAnsi="宋体" w:cs="宋体"/>
                <w:i w:val="0"/>
                <w:iCs w:val="0"/>
                <w:color w:val="auto"/>
                <w:kern w:val="0"/>
                <w:sz w:val="22"/>
                <w:szCs w:val="22"/>
                <w:highlight w:val="none"/>
                <w:u w:val="none"/>
                <w:lang w:val="en-US" w:eastAsia="zh-CN" w:bidi="ar"/>
              </w:rPr>
              <w:t>2mm</w:t>
            </w:r>
            <w:r>
              <w:rPr>
                <w:rFonts w:hint="eastAsia" w:ascii="宋体" w:hAnsi="宋体" w:eastAsia="宋体" w:cs="宋体"/>
                <w:i w:val="0"/>
                <w:iCs w:val="0"/>
                <w:color w:val="auto"/>
                <w:kern w:val="0"/>
                <w:sz w:val="22"/>
                <w:szCs w:val="22"/>
                <w:highlight w:val="none"/>
                <w:u w:val="none"/>
                <w:lang w:val="en-US" w:eastAsia="zh-CN" w:bidi="ar"/>
              </w:rPr>
              <w:t>，采用E1级环保密度板三聚氰胺饰面，经优质PP工程塑料一次性注塑封边，无接头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桌面上方中间带有笔槽（笔槽与封边为一体成型），符合人体工效学及人性化设计,桌面与书箱之间用自攻螺丝固定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2.桌斗要求：采用冷轧钢板一次冲压成型，宽480mm±</w:t>
            </w:r>
            <w:r>
              <w:rPr>
                <w:rFonts w:hint="eastAsia" w:ascii="宋体" w:hAnsi="宋体" w:cs="宋体"/>
                <w:i w:val="0"/>
                <w:iCs w:val="0"/>
                <w:color w:val="auto"/>
                <w:kern w:val="0"/>
                <w:sz w:val="22"/>
                <w:szCs w:val="22"/>
                <w:highlight w:val="none"/>
                <w:u w:val="none"/>
                <w:lang w:val="en-US" w:eastAsia="zh-CN" w:bidi="ar"/>
              </w:rPr>
              <w:t>10mm</w:t>
            </w:r>
            <w:r>
              <w:rPr>
                <w:rFonts w:hint="eastAsia" w:ascii="宋体" w:hAnsi="宋体" w:eastAsia="宋体" w:cs="宋体"/>
                <w:i w:val="0"/>
                <w:iCs w:val="0"/>
                <w:color w:val="auto"/>
                <w:kern w:val="0"/>
                <w:sz w:val="22"/>
                <w:szCs w:val="22"/>
                <w:highlight w:val="none"/>
                <w:u w:val="none"/>
                <w:lang w:val="en-US" w:eastAsia="zh-CN" w:bidi="ar"/>
              </w:rPr>
              <w:t>，深30</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10mm</w:t>
            </w:r>
            <w:r>
              <w:rPr>
                <w:rFonts w:hint="eastAsia" w:ascii="宋体" w:hAnsi="宋体" w:eastAsia="宋体" w:cs="宋体"/>
                <w:i w:val="0"/>
                <w:iCs w:val="0"/>
                <w:color w:val="auto"/>
                <w:kern w:val="0"/>
                <w:sz w:val="22"/>
                <w:szCs w:val="22"/>
                <w:highlight w:val="none"/>
                <w:u w:val="none"/>
                <w:lang w:val="en-US" w:eastAsia="zh-CN" w:bidi="ar"/>
              </w:rPr>
              <w:t>,高130mm±</w:t>
            </w:r>
            <w:r>
              <w:rPr>
                <w:rFonts w:hint="eastAsia" w:ascii="宋体" w:hAnsi="宋体" w:cs="宋体"/>
                <w:i w:val="0"/>
                <w:iCs w:val="0"/>
                <w:color w:val="auto"/>
                <w:kern w:val="0"/>
                <w:sz w:val="22"/>
                <w:szCs w:val="22"/>
                <w:highlight w:val="none"/>
                <w:u w:val="none"/>
                <w:lang w:val="en-US" w:eastAsia="zh-CN" w:bidi="ar"/>
              </w:rPr>
              <w:t>5mm。</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3.椅面尺寸：坐板380mm*375mm±</w:t>
            </w:r>
            <w:r>
              <w:rPr>
                <w:rFonts w:hint="eastAsia" w:ascii="宋体" w:hAnsi="宋体" w:cs="宋体"/>
                <w:i w:val="0"/>
                <w:iCs w:val="0"/>
                <w:color w:val="auto"/>
                <w:kern w:val="0"/>
                <w:sz w:val="22"/>
                <w:szCs w:val="22"/>
                <w:highlight w:val="none"/>
                <w:u w:val="none"/>
                <w:lang w:val="en-US" w:eastAsia="zh-CN" w:bidi="ar"/>
              </w:rPr>
              <w:t>2mm</w:t>
            </w:r>
            <w:r>
              <w:rPr>
                <w:rFonts w:hint="eastAsia" w:ascii="宋体" w:hAnsi="宋体" w:eastAsia="宋体" w:cs="宋体"/>
                <w:i w:val="0"/>
                <w:iCs w:val="0"/>
                <w:color w:val="auto"/>
                <w:kern w:val="0"/>
                <w:sz w:val="22"/>
                <w:szCs w:val="22"/>
                <w:highlight w:val="none"/>
                <w:u w:val="none"/>
                <w:lang w:val="en-US" w:eastAsia="zh-CN" w:bidi="ar"/>
              </w:rPr>
              <w:t>，靠背400mm*高250mm±</w:t>
            </w:r>
            <w:r>
              <w:rPr>
                <w:rFonts w:hint="eastAsia" w:ascii="宋体" w:hAnsi="宋体" w:cs="宋体"/>
                <w:i w:val="0"/>
                <w:iCs w:val="0"/>
                <w:color w:val="auto"/>
                <w:kern w:val="0"/>
                <w:sz w:val="22"/>
                <w:szCs w:val="22"/>
                <w:highlight w:val="none"/>
                <w:u w:val="none"/>
                <w:lang w:val="en-US" w:eastAsia="zh-CN" w:bidi="ar"/>
              </w:rPr>
              <w:t>2mm</w:t>
            </w:r>
            <w:r>
              <w:rPr>
                <w:rFonts w:hint="eastAsia" w:ascii="宋体" w:hAnsi="宋体" w:eastAsia="宋体" w:cs="宋体"/>
                <w:i w:val="0"/>
                <w:iCs w:val="0"/>
                <w:color w:val="auto"/>
                <w:kern w:val="0"/>
                <w:sz w:val="22"/>
                <w:szCs w:val="22"/>
                <w:highlight w:val="none"/>
                <w:u w:val="none"/>
                <w:lang w:val="en-US" w:eastAsia="zh-CN" w:bidi="ar"/>
              </w:rPr>
              <w:t>，采用一次性中空吹塑塑料（原材料为 HDPE 高密度聚乙烯）成型，环保，硬度高，韧性强，表面耐磨、耐划伤、抗污抗老化、抗压抗冲击</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坐板采用弧形加凹型设计，符合人体工程学，为增加椅子的强度及使用寿命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靠板采用弧形设计符合人体工程学，贴合背部，在学生保持坐姿时感觉舒适，不易疲劳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4.桌钢支架：桌脚采用≥25mm*50mm*1.2mm椭圆管抽芯弯成型，连接拉杆采用≥25mm*50mm*1.2mm椭圆管，上部升降管采用≥20mm*40mm*1.2mm椭圆管抽芯弯成型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5.椅钢支架：椅脚采用≥25mm*50mm*1.2mm椭圆管抽芯弯成型，连接拉杆采用≥20mm*40mm*1.2mm椭圆管，上部升降管采用≥20mm*40mm*1.2mm椭圆管抽芯弯成型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坐板下框架管材采用≥15mm*30mm*1.4mm椭圆管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.脚套规格材质要求：桌采用PP新塑料注塑成型，耐磨稳固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.要求：钢架采用焊接而成，表面涂装：钢架表面经磨光、除锈、磷化防锈处理后作静电粉末喷涂，焊接完成钢管架，经200度高温粉体烤漆,产品长期使用也不能产生剥漆的现象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外观性能要求：金属件（喷涂层）耐腐蚀、涂层本身的耐腐蚀、涂层对基体的保护等级、耐磨性、甲醛释放量、抗冲击、涂层（硬度、冲击强度、附着力）均符合国家相关标准。</w:t>
            </w:r>
          </w:p>
          <w:p w14:paraId="3BC51034">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仿宋" w:hAnsi="仿宋" w:eastAsia="仿宋" w:cs="仿宋"/>
                <w:color w:val="auto"/>
                <w:sz w:val="21"/>
                <w:szCs w:val="21"/>
                <w:highlight w:val="none"/>
                <w:lang w:val="en-US" w:eastAsia="zh-CN"/>
              </w:rPr>
              <w:t>▲</w:t>
            </w:r>
            <w:r>
              <w:rPr>
                <w:rFonts w:hint="eastAsia" w:ascii="宋体" w:hAnsi="宋体" w:cs="宋体"/>
                <w:i w:val="0"/>
                <w:iCs w:val="0"/>
                <w:color w:val="auto"/>
                <w:kern w:val="0"/>
                <w:sz w:val="22"/>
                <w:szCs w:val="22"/>
                <w:highlight w:val="none"/>
                <w:u w:val="none"/>
                <w:lang w:val="en-US" w:eastAsia="zh-CN" w:bidi="ar"/>
              </w:rPr>
              <w:t>8.塑粉</w:t>
            </w:r>
            <w:r>
              <w:rPr>
                <w:rFonts w:hint="eastAsia" w:ascii="宋体" w:hAnsi="宋体" w:eastAsia="宋体" w:cs="宋体"/>
                <w:i w:val="0"/>
                <w:iCs w:val="0"/>
                <w:color w:val="auto"/>
                <w:kern w:val="0"/>
                <w:sz w:val="22"/>
                <w:szCs w:val="22"/>
                <w:highlight w:val="none"/>
                <w:u w:val="none"/>
                <w:lang w:val="en-US" w:eastAsia="zh-CN" w:bidi="ar"/>
              </w:rPr>
              <w:t>依据HG/T2006-2022《热固性和热塑性粉末涂料》标准，满足以下条件：涂膜外观正常；耐酸性[3%(质量分数)盐酸溶液]：≥240h无异常；耐碱性[≥5%(质量分数)氢氧化钠溶液]：≥168h无异常；耐沸水性(≥2h)：无异常。</w:t>
            </w:r>
            <w:r>
              <w:rPr>
                <w:rFonts w:hint="eastAsia" w:ascii="宋体" w:hAnsi="宋体" w:cs="宋体"/>
                <w:i w:val="0"/>
                <w:iCs w:val="0"/>
                <w:color w:val="auto"/>
                <w:kern w:val="0"/>
                <w:sz w:val="22"/>
                <w:szCs w:val="22"/>
                <w:highlight w:val="none"/>
                <w:u w:val="none"/>
                <w:lang w:val="en-US" w:eastAsia="zh-CN" w:bidi="ar"/>
              </w:rPr>
              <w:t>（提供第三方检验报告复印件，报告中需体现该功能内容）。</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0A74C7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19A308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2100</w:t>
            </w:r>
          </w:p>
        </w:tc>
      </w:tr>
      <w:tr w14:paraId="4E54A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0AD233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4-3</w:t>
            </w:r>
          </w:p>
        </w:tc>
        <w:tc>
          <w:tcPr>
            <w:tcW w:w="1170" w:type="dxa"/>
            <w:tcBorders>
              <w:top w:val="single" w:color="000000" w:sz="4" w:space="0"/>
              <w:left w:val="single" w:color="000000" w:sz="4" w:space="0"/>
              <w:bottom w:val="single" w:color="000000" w:sz="4" w:space="0"/>
              <w:right w:val="single" w:color="000000" w:sz="4" w:space="0"/>
            </w:tcBorders>
            <w:noWrap/>
            <w:vAlign w:val="center"/>
          </w:tcPr>
          <w:p w14:paraId="73F51F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后黑板</w:t>
            </w:r>
          </w:p>
        </w:tc>
        <w:tc>
          <w:tcPr>
            <w:tcW w:w="6765" w:type="dxa"/>
            <w:tcBorders>
              <w:top w:val="single" w:color="000000" w:sz="4" w:space="0"/>
              <w:left w:val="single" w:color="000000" w:sz="4" w:space="0"/>
              <w:bottom w:val="single" w:color="000000" w:sz="4" w:space="0"/>
              <w:right w:val="single" w:color="000000" w:sz="4" w:space="0"/>
            </w:tcBorders>
            <w:noWrap/>
            <w:vAlign w:val="center"/>
          </w:tcPr>
          <w:p w14:paraId="123D2785">
            <w:pPr>
              <w:keepNext w:val="0"/>
              <w:keepLines w:val="0"/>
              <w:widowControl/>
              <w:numPr>
                <w:ilvl w:val="0"/>
                <w:numId w:val="2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color w:val="auto"/>
                <w:kern w:val="0"/>
                <w:sz w:val="22"/>
                <w:szCs w:val="22"/>
                <w:highlight w:val="none"/>
                <w:u w:val="none"/>
                <w:lang w:val="en-US" w:eastAsia="zh-CN" w:bidi="ar"/>
              </w:rPr>
              <w:t>≥4000*1000mm</w:t>
            </w:r>
            <w:r>
              <w:rPr>
                <w:rFonts w:hint="eastAsia" w:ascii="宋体" w:hAnsi="宋体" w:cs="宋体"/>
                <w:i w:val="0"/>
                <w:iCs w:val="0"/>
                <w:color w:val="auto"/>
                <w:kern w:val="0"/>
                <w:sz w:val="22"/>
                <w:szCs w:val="22"/>
                <w:highlight w:val="none"/>
                <w:u w:val="none"/>
                <w:lang w:val="en-US" w:eastAsia="zh-CN" w:bidi="ar"/>
              </w:rPr>
              <w:t>。</w:t>
            </w:r>
          </w:p>
          <w:p w14:paraId="6ED4D9B8">
            <w:pPr>
              <w:keepNext w:val="0"/>
              <w:keepLines w:val="0"/>
              <w:widowControl/>
              <w:numPr>
                <w:ilvl w:val="0"/>
                <w:numId w:val="2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采用优质原装树脂漆面板，板面呈哑绿色，整板无拼接</w:t>
            </w:r>
            <w:r>
              <w:rPr>
                <w:rFonts w:hint="eastAsia" w:ascii="宋体" w:hAnsi="宋体" w:cs="宋体"/>
                <w:i w:val="0"/>
                <w:iCs w:val="0"/>
                <w:color w:val="auto"/>
                <w:kern w:val="0"/>
                <w:sz w:val="22"/>
                <w:szCs w:val="22"/>
                <w:highlight w:val="none"/>
                <w:u w:val="none"/>
                <w:lang w:val="en-US" w:eastAsia="zh-CN" w:bidi="ar"/>
              </w:rPr>
              <w:t>。</w:t>
            </w:r>
          </w:p>
          <w:p w14:paraId="07EBD0C0">
            <w:pPr>
              <w:keepNext w:val="0"/>
              <w:keepLines w:val="0"/>
              <w:widowControl/>
              <w:numPr>
                <w:ilvl w:val="0"/>
                <w:numId w:val="2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书写板：板面厚度≥0.3mm，板面光泽度＜12%，滚涂漆膜硬度：≥8H，经耗磨仪一万次摩擦后表面不露底</w:t>
            </w:r>
            <w:r>
              <w:rPr>
                <w:rFonts w:hint="eastAsia" w:ascii="宋体" w:hAnsi="宋体" w:cs="宋体"/>
                <w:i w:val="0"/>
                <w:iCs w:val="0"/>
                <w:color w:val="auto"/>
                <w:kern w:val="0"/>
                <w:sz w:val="22"/>
                <w:szCs w:val="22"/>
                <w:highlight w:val="none"/>
                <w:u w:val="none"/>
                <w:lang w:val="en-US" w:eastAsia="zh-CN" w:bidi="ar"/>
              </w:rPr>
              <w:t>。</w:t>
            </w:r>
          </w:p>
          <w:p w14:paraId="68F21911">
            <w:pPr>
              <w:keepNext w:val="0"/>
              <w:keepLines w:val="0"/>
              <w:widowControl/>
              <w:numPr>
                <w:ilvl w:val="0"/>
                <w:numId w:val="2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书写性能：用水泥性笔书写流畅不打滑，清擦干净无粉尘飘落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夹层板：保证师生安全，夹层甲醛释放量mg/l≦0.2</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采用整张不变形的环保挤塑聚苯乙烯板，厚度≥14mm。</w:t>
            </w:r>
          </w:p>
          <w:p w14:paraId="717A9718">
            <w:pPr>
              <w:keepNext w:val="0"/>
              <w:keepLines w:val="0"/>
              <w:widowControl/>
              <w:numPr>
                <w:ilvl w:val="0"/>
                <w:numId w:val="2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背面板：采用整块的防锈镀锌板，板厚≥0.20mm，经由高压生产一次性定型，结合处由专用AB胶水胶合，板面防腐蚀、防强压，防进水、防锈蚀，保证长时间书写平整</w:t>
            </w:r>
            <w:r>
              <w:rPr>
                <w:rFonts w:hint="eastAsia" w:ascii="宋体" w:hAnsi="宋体" w:cs="宋体"/>
                <w:i w:val="0"/>
                <w:iCs w:val="0"/>
                <w:color w:val="auto"/>
                <w:kern w:val="0"/>
                <w:sz w:val="22"/>
                <w:szCs w:val="22"/>
                <w:highlight w:val="none"/>
                <w:u w:val="none"/>
                <w:lang w:val="en-US" w:eastAsia="zh-CN" w:bidi="ar"/>
              </w:rPr>
              <w:t>。</w:t>
            </w:r>
          </w:p>
          <w:p w14:paraId="31C80B70">
            <w:pPr>
              <w:keepNext w:val="0"/>
              <w:keepLines w:val="0"/>
              <w:widowControl/>
              <w:numPr>
                <w:ilvl w:val="0"/>
                <w:numId w:val="20"/>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外框：采用高档磨砂亚光香槟色电泳铝材，色泽柔和，不反光。宽40mm.厚20mm.符合</w:t>
            </w:r>
            <w:r>
              <w:rPr>
                <w:rFonts w:hint="eastAsia" w:ascii="宋体" w:hAnsi="宋体" w:cs="宋体"/>
                <w:i w:val="0"/>
                <w:iCs w:val="0"/>
                <w:color w:val="auto"/>
                <w:kern w:val="0"/>
                <w:sz w:val="22"/>
                <w:szCs w:val="22"/>
                <w:highlight w:val="none"/>
                <w:u w:val="none"/>
                <w:lang w:val="en-US" w:eastAsia="zh-CN" w:bidi="ar"/>
              </w:rPr>
              <w:t>。</w:t>
            </w:r>
          </w:p>
          <w:p w14:paraId="7C32A965">
            <w:pPr>
              <w:keepNext w:val="0"/>
              <w:keepLines w:val="0"/>
              <w:widowControl/>
              <w:numPr>
                <w:ilvl w:val="0"/>
                <w:numId w:val="20"/>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包角材料：采用抗疲劳ABS工程塑料，模具成型，无锐角，边框与书写面板的固定，没有露的金属紧固件</w:t>
            </w:r>
            <w:r>
              <w:rPr>
                <w:rFonts w:hint="eastAsia" w:ascii="宋体" w:hAnsi="宋体" w:cs="宋体"/>
                <w:i w:val="0"/>
                <w:iCs w:val="0"/>
                <w:color w:val="auto"/>
                <w:kern w:val="0"/>
                <w:sz w:val="22"/>
                <w:szCs w:val="22"/>
                <w:highlight w:val="none"/>
                <w:u w:val="none"/>
                <w:lang w:val="en-US" w:eastAsia="zh-CN" w:bidi="ar"/>
              </w:rPr>
              <w:t>。</w:t>
            </w:r>
          </w:p>
          <w:p w14:paraId="68FED492">
            <w:pPr>
              <w:keepNext w:val="0"/>
              <w:keepLines w:val="0"/>
              <w:widowControl/>
              <w:numPr>
                <w:ilvl w:val="0"/>
                <w:numId w:val="20"/>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安装要求：全部实行隐形安装，安全可靠。</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05BEC3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4FCC7E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36</w:t>
            </w:r>
          </w:p>
        </w:tc>
      </w:tr>
      <w:tr w14:paraId="4CD7E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7B28D8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4-4</w:t>
            </w:r>
          </w:p>
        </w:tc>
        <w:tc>
          <w:tcPr>
            <w:tcW w:w="1170" w:type="dxa"/>
            <w:tcBorders>
              <w:top w:val="single" w:color="000000" w:sz="4" w:space="0"/>
              <w:left w:val="single" w:color="000000" w:sz="4" w:space="0"/>
              <w:bottom w:val="single" w:color="000000" w:sz="4" w:space="0"/>
              <w:right w:val="single" w:color="000000" w:sz="4" w:space="0"/>
            </w:tcBorders>
            <w:noWrap/>
            <w:vAlign w:val="center"/>
          </w:tcPr>
          <w:p w14:paraId="475C60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智慧黑板</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142B94EC">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一、总要求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1、屏幕：86英LED液晶屏，显示⽐例：16:9</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采用全金属外壳，一体化设计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外部无任何可见内部功能模块连接线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主副屏过渡平滑，中间无单独边框阻隔。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2、两侧面板可支持普通粉笔、液体粉笔等进行板书书写。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3、屏幕观看视角≥120°，要求：采用红外触控技术及书写划线。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仿宋" w:hAnsi="仿宋" w:eastAsia="仿宋" w:cs="仿宋"/>
                <w:color w:val="auto"/>
                <w:sz w:val="21"/>
                <w:szCs w:val="21"/>
                <w:highlight w:val="none"/>
                <w:lang w:val="en-US" w:eastAsia="zh-CN"/>
              </w:rPr>
              <w:t>▲</w:t>
            </w:r>
            <w:r>
              <w:rPr>
                <w:rFonts w:hint="eastAsia" w:ascii="宋体" w:hAnsi="宋体" w:cs="宋体"/>
                <w:i w:val="0"/>
                <w:iCs w:val="0"/>
                <w:color w:val="auto"/>
                <w:kern w:val="0"/>
                <w:sz w:val="22"/>
                <w:szCs w:val="22"/>
                <w:highlight w:val="none"/>
                <w:u w:val="none"/>
                <w:lang w:val="en-US" w:eastAsia="zh-CN" w:bidi="ar"/>
              </w:rPr>
              <w:t>4、整机配套教学应用APP可通过wifi直连技术，近场发现附近教学大屏设备，无需扫码、账号密码输入步骤，即可直接连接并登录教学大屏设备，基于统一身份认证机制可实现其他教学软件免登录操作。（提供第三方检验报告复印件，报告中需体现该功能内容）。</w:t>
            </w:r>
          </w:p>
          <w:p w14:paraId="514D5A4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、整机内置非独立广角高清摄像头，视场角≥135度且水平视场角≥120度，支持输出4:3、16:9比例的图片和视频；在清晰度为3840x2160（4K）分辨率下，支持30帧的视频输出，支持画面畸变矫正功能 。</w:t>
            </w:r>
          </w:p>
          <w:p w14:paraId="73EBC907">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6、整机侧边栏内置智能语音转文字工具，支持实时拾取整机系统播放的音视频源内容并进行文字转译，以悬浮字幕形式将文字显示在屏幕上。</w:t>
            </w:r>
          </w:p>
          <w:p w14:paraId="28856A95">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7、整机支持在无任何外部设备的情况下，实时录制用户朗读内容，识别用户声纹并进行统一身份登录，登录后自动获取个人云端教学课件列表，打开教学白板软件时可跳过软件自带登录步骤。</w:t>
            </w:r>
          </w:p>
          <w:p w14:paraId="3F5306A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二、内置电脑系统要求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1）内置电脑模块要求：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1、机身采用热浸镀锌金属材质，采用智能风扇低噪音散热设计,模块预留足够散热空间，确保封闭空间内有效散热。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2、搭载国产CPU，内存：8GB DDR4内存或以上配置，硬盘：256GB或以上SSD固态硬盘。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3、具有独立非外扩展的视频输出接口：</w:t>
            </w:r>
            <w:r>
              <w:rPr>
                <w:rFonts w:hint="eastAsia" w:ascii="宋体" w:hAnsi="宋体" w:cs="宋体"/>
                <w:i w:val="0"/>
                <w:iCs w:val="0"/>
                <w:color w:val="auto"/>
                <w:kern w:val="0"/>
                <w:sz w:val="22"/>
                <w:szCs w:val="22"/>
                <w:highlight w:val="none"/>
                <w:u w:val="none"/>
                <w:lang w:val="en-US" w:eastAsia="zh-CN" w:bidi="ar"/>
              </w:rPr>
              <w:t>不</w:t>
            </w:r>
            <w:r>
              <w:rPr>
                <w:rFonts w:hint="eastAsia" w:ascii="宋体" w:hAnsi="宋体" w:eastAsia="宋体" w:cs="宋体"/>
                <w:i w:val="0"/>
                <w:iCs w:val="0"/>
                <w:color w:val="auto"/>
                <w:kern w:val="0"/>
                <w:sz w:val="22"/>
                <w:szCs w:val="22"/>
                <w:highlight w:val="none"/>
                <w:u w:val="none"/>
                <w:lang w:val="en-US" w:eastAsia="zh-CN" w:bidi="ar"/>
              </w:rPr>
              <w:t>少</w:t>
            </w:r>
            <w:r>
              <w:rPr>
                <w:rFonts w:hint="eastAsia" w:ascii="宋体" w:hAnsi="宋体" w:cs="宋体"/>
                <w:i w:val="0"/>
                <w:iCs w:val="0"/>
                <w:color w:val="auto"/>
                <w:kern w:val="0"/>
                <w:sz w:val="22"/>
                <w:szCs w:val="22"/>
                <w:highlight w:val="none"/>
                <w:u w:val="none"/>
                <w:lang w:val="en-US" w:eastAsia="zh-CN" w:bidi="ar"/>
              </w:rPr>
              <w:t>于</w:t>
            </w:r>
            <w:r>
              <w:rPr>
                <w:rFonts w:hint="eastAsia" w:ascii="宋体" w:hAnsi="宋体" w:eastAsia="宋体" w:cs="宋体"/>
                <w:i w:val="0"/>
                <w:iCs w:val="0"/>
                <w:color w:val="auto"/>
                <w:kern w:val="0"/>
                <w:sz w:val="22"/>
                <w:szCs w:val="22"/>
                <w:highlight w:val="none"/>
                <w:u w:val="none"/>
                <w:lang w:val="en-US" w:eastAsia="zh-CN" w:bidi="ar"/>
              </w:rPr>
              <w:t xml:space="preserve">1路HDMI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具有独立非外扩展的电脑USB接口：</w:t>
            </w:r>
            <w:r>
              <w:rPr>
                <w:rFonts w:hint="eastAsia" w:ascii="宋体" w:hAnsi="宋体" w:cs="宋体"/>
                <w:i w:val="0"/>
                <w:iCs w:val="0"/>
                <w:color w:val="auto"/>
                <w:kern w:val="0"/>
                <w:sz w:val="22"/>
                <w:szCs w:val="22"/>
                <w:highlight w:val="none"/>
                <w:u w:val="none"/>
                <w:lang w:val="en-US" w:eastAsia="zh-CN" w:bidi="ar"/>
              </w:rPr>
              <w:t>不</w:t>
            </w:r>
            <w:r>
              <w:rPr>
                <w:rFonts w:hint="eastAsia" w:ascii="宋体" w:hAnsi="宋体" w:eastAsia="宋体" w:cs="宋体"/>
                <w:i w:val="0"/>
                <w:iCs w:val="0"/>
                <w:color w:val="auto"/>
                <w:kern w:val="0"/>
                <w:sz w:val="22"/>
                <w:szCs w:val="22"/>
                <w:highlight w:val="none"/>
                <w:u w:val="none"/>
                <w:lang w:val="en-US" w:eastAsia="zh-CN" w:bidi="ar"/>
              </w:rPr>
              <w:t>少</w:t>
            </w:r>
            <w:r>
              <w:rPr>
                <w:rFonts w:hint="eastAsia" w:ascii="宋体" w:hAnsi="宋体" w:cs="宋体"/>
                <w:i w:val="0"/>
                <w:iCs w:val="0"/>
                <w:color w:val="auto"/>
                <w:kern w:val="0"/>
                <w:sz w:val="22"/>
                <w:szCs w:val="22"/>
                <w:highlight w:val="none"/>
                <w:u w:val="none"/>
                <w:lang w:val="en-US" w:eastAsia="zh-CN" w:bidi="ar"/>
              </w:rPr>
              <w:t>于</w:t>
            </w:r>
            <w:r>
              <w:rPr>
                <w:rFonts w:hint="eastAsia" w:ascii="宋体" w:hAnsi="宋体" w:eastAsia="宋体" w:cs="宋体"/>
                <w:i w:val="0"/>
                <w:iCs w:val="0"/>
                <w:color w:val="auto"/>
                <w:kern w:val="0"/>
                <w:sz w:val="22"/>
                <w:szCs w:val="22"/>
                <w:highlight w:val="none"/>
                <w:u w:val="none"/>
                <w:lang w:val="en-US" w:eastAsia="zh-CN" w:bidi="ar"/>
              </w:rPr>
              <w:t>3路USB。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2）嵌入式系统要求：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1、整机采用≥12核国产化嵌入式芯片，CPU≥8核，整机嵌入式系统版本≥Android 15，主频≥1.6GHz，内存≥2GB，DDR最大速率≥2666MT/S，存储空间≥32GB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2、整机CPU芯片，WIFI与蓝牙芯片、摄像头图像处理芯片、均采用国产自主芯片；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3、整机全通道支持4K显示，包括安卓通道、PC通道、HDMI通道。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4、整机设备支持非外部插拔式运行内存扩展技术，实时可用运行内存可达4GB，提高运行速度。</w:t>
            </w:r>
          </w:p>
          <w:p w14:paraId="442D4FE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5、整机自带AI书写美化能力，智能识别批注的书写轨迹，进行笔锋智能美化，模拟纸上书写的起笔、行笔和收笔效果。</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7E8622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1EFFF0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42</w:t>
            </w:r>
          </w:p>
        </w:tc>
      </w:tr>
      <w:tr w14:paraId="76DAB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786F34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4-5</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5FAF2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高清视频展台</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13D28F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1.采用800万像素摄像头；采用 USB五伏电源直接供电，无需额外配置电源适配器，环保无辐射；箱内USB连线采用隐藏式设计，箱内无可见连线且USB口下出，有效防止积尘，且方便布线和返修。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2.A4大小拍摄幅面，1080P动态视频预览达到30帧/秒；托板及挂墙部分采用金属加强，托板可承重3kg，整机壁挂式安装。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3.支持展台成像画面实时批注，预设多种笔划粗细及颜色供选择，且支持对展台成像画面联同批注内容进行同步缩放、移动。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4.具有故障自动检测功能：在调用展台却无法出现镜头采集画面信号时，可自动出现检测链接，并给出导致性原因（如硬件连接、摄像头占用、配套软件版本等问题）。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5.展示托板正上方具备LED补光灯，保证展示区域的亮度及展示效果，补光灯开关采用触摸按键设计，同时可通过教学设备中的软件直接控制开关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6.带自动对焦摄像头；外壳在摄像头部分带保护镜片密封，防止灰尘沾染摄像头，防护等级达到IP4X级别。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7.整机采用圆弧式设计，无锐角；同时托板采用磁吸吸附式机构，防止托板打落，方便打开及固定，避免机械式锁具故障率高的问题。</w:t>
            </w:r>
          </w:p>
        </w:tc>
        <w:tc>
          <w:tcPr>
            <w:tcW w:w="525" w:type="dxa"/>
            <w:tcBorders>
              <w:top w:val="single" w:color="000000" w:sz="4" w:space="0"/>
              <w:left w:val="single" w:color="000000" w:sz="4" w:space="0"/>
              <w:bottom w:val="single" w:color="000000" w:sz="4" w:space="0"/>
              <w:right w:val="single" w:color="000000" w:sz="4" w:space="0"/>
            </w:tcBorders>
            <w:noWrap w:val="0"/>
            <w:vAlign w:val="center"/>
          </w:tcPr>
          <w:p w14:paraId="339171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6A85FE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42</w:t>
            </w:r>
          </w:p>
        </w:tc>
      </w:tr>
      <w:tr w14:paraId="60DA1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6CD264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4-6</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F2944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数字红外麦克风</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5DD0C0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1.红外麦克风采用五通道设计，红外线发射管≥8颗，麦克风接发射红外线波长≥870nm，符合IEC61603-7数字红外传输国际标准。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2.麦克风采用按键式音量加减键，根据使用习惯按键调整音量，也可共用音量键实现PPT翻页功能，高效简洁。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3.无线麦克风咪头外置凸显设计，拾音咪头长度≥1.3cm，拾音距离更佳，咪头适配外置防风罩，方便更换，高效卫生。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4.无线麦克风支持PTT功能，具有PPT翻页，MIC，L/M指示灯，可根据使用习惯进行切换。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5.无线麦克风可颈挂和手持同时使用，整体长度≥14.5cm，可配置磁吸颈挂绳，方便拆卸清洗。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6.无线麦克风对节能灯光有良好的抗干扰性，频率响应 100 Hz ~ 20 kHz，信噪比≥100 dB，总谐波失真 ≤0.02%。</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7.内置可充锂电池（不可拆卸，预防被盗），锂电池容量≥2300mAh，发言时间不低于7小时。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8.标配一个底座，可对一只无线麦克风进行充电，具备过热，过流，过载保护。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9.底部配备充电触点，无线麦克风放置进去即可充电，不分正反。</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789A38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1B1280A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kern w:val="0"/>
                <w:sz w:val="22"/>
                <w:szCs w:val="22"/>
                <w:highlight w:val="none"/>
                <w:u w:val="none"/>
                <w:lang w:val="en-US" w:eastAsia="zh-CN" w:bidi="ar"/>
              </w:rPr>
              <w:t>42</w:t>
            </w:r>
          </w:p>
        </w:tc>
      </w:tr>
      <w:tr w14:paraId="1CB38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4807F1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4-7</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582A3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数字红外扩声主机</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6FB116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1.频点对频和信号传输均采用纯数字红外技术，教室与教室之间保证互不干扰，无论多少个教室安装，同时使用都不会有串频和干扰现象不受无线电干扰，无电磁辐射。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2.红外主机内置数字红外处理芯片，可实现dirATC--数字红外音频传输及控制技术，符合IEC61603-7数字红外传输国际标准。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3.主机具有1路RS232接口，可对接中控，1路3.5mm线路输入（具备独立调音旋钮），1路3.5mm路线路输出（LINE OUT） 。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4.内置功放，可直接连接音箱。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5.频率响应:50 Hz ~ 20 kHz，信噪比: ≥90dBA，动态范围: ≥85dB，噪声情况下总谐波失真: ≤0.04%</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6.红外主机USB-C接口内置翻页驱动软件及声卡驱动程序，可与电脑直连，配合无线麦克风实现翻页功能及声音双向传输功能。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7.红外接收器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1）接收器与数字红外扩声主机连接。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2）接收面积：≥100㎡，接收角度：垂直：150° (±75°)，水平：360°，红外线波长≥870nm，无线辐射距离：≥25m。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3）带频点选择拨扭，接收器具有两组频点选择，可与主机搭配调谐，稳固信号传输。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8.壁挂音箱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1)定阻输入：8 Ω，额定功率≥30 W,峰值功率≥40 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2）音频单元：1×4″低音单元和 1×1″高音单元。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3）频率响应：90 Hz ~ 20 kHz，灵敏度：90dB。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4）最大声压级：104 dB SPL，110 dB SPL peak。</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0D55E0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4F5F93F6">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kern w:val="0"/>
                <w:sz w:val="22"/>
                <w:szCs w:val="22"/>
                <w:highlight w:val="none"/>
                <w:u w:val="none"/>
                <w:lang w:val="en-US" w:eastAsia="zh-CN" w:bidi="ar"/>
              </w:rPr>
              <w:t>42</w:t>
            </w:r>
          </w:p>
        </w:tc>
      </w:tr>
      <w:tr w14:paraId="78934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2F4725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4-8</w:t>
            </w:r>
          </w:p>
        </w:tc>
        <w:tc>
          <w:tcPr>
            <w:tcW w:w="1170" w:type="dxa"/>
            <w:tcBorders>
              <w:top w:val="single" w:color="000000" w:sz="4" w:space="0"/>
              <w:left w:val="single" w:color="000000" w:sz="4" w:space="0"/>
              <w:bottom w:val="single" w:color="000000" w:sz="4" w:space="0"/>
              <w:right w:val="single" w:color="000000" w:sz="4" w:space="0"/>
            </w:tcBorders>
            <w:noWrap/>
            <w:vAlign w:val="center"/>
          </w:tcPr>
          <w:p w14:paraId="1B7FEB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吊扇</w:t>
            </w:r>
          </w:p>
        </w:tc>
        <w:tc>
          <w:tcPr>
            <w:tcW w:w="6765" w:type="dxa"/>
            <w:tcBorders>
              <w:top w:val="single" w:color="000000" w:sz="4" w:space="0"/>
              <w:left w:val="single" w:color="000000" w:sz="4" w:space="0"/>
              <w:bottom w:val="single" w:color="000000" w:sz="4" w:space="0"/>
              <w:right w:val="single" w:color="000000" w:sz="4" w:space="0"/>
            </w:tcBorders>
            <w:noWrap/>
            <w:vAlign w:val="center"/>
          </w:tcPr>
          <w:p w14:paraId="62854C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56寸，额定频率50HZ，功率100W，3档高速、锌合金扇叶</w:t>
            </w:r>
            <w:r>
              <w:rPr>
                <w:rFonts w:hint="eastAsia" w:ascii="宋体" w:hAnsi="宋体" w:cs="宋体"/>
                <w:i w:val="0"/>
                <w:iCs w:val="0"/>
                <w:color w:val="auto"/>
                <w:kern w:val="0"/>
                <w:sz w:val="22"/>
                <w:szCs w:val="22"/>
                <w:highlight w:val="none"/>
                <w:u w:val="none"/>
                <w:lang w:val="en-US" w:eastAsia="zh-CN" w:bidi="ar"/>
              </w:rPr>
              <w:t>。</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26BB14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38B726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240</w:t>
            </w:r>
          </w:p>
        </w:tc>
      </w:tr>
      <w:tr w14:paraId="42B1BA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765" w:type="dxa"/>
            <w:tcBorders>
              <w:top w:val="single" w:color="000000" w:sz="4" w:space="0"/>
              <w:left w:val="single" w:color="000000" w:sz="4" w:space="0"/>
              <w:bottom w:val="single" w:color="000000" w:sz="4" w:space="0"/>
              <w:right w:val="single" w:color="000000" w:sz="4" w:space="0"/>
            </w:tcBorders>
            <w:noWrap/>
            <w:vAlign w:val="center"/>
          </w:tcPr>
          <w:p w14:paraId="62F291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4-9</w:t>
            </w:r>
          </w:p>
        </w:tc>
        <w:tc>
          <w:tcPr>
            <w:tcW w:w="1170" w:type="dxa"/>
            <w:tcBorders>
              <w:top w:val="single" w:color="000000" w:sz="4" w:space="0"/>
              <w:left w:val="single" w:color="000000" w:sz="4" w:space="0"/>
              <w:bottom w:val="single" w:color="000000" w:sz="4" w:space="0"/>
              <w:right w:val="single" w:color="000000" w:sz="4" w:space="0"/>
            </w:tcBorders>
            <w:noWrap/>
            <w:vAlign w:val="center"/>
          </w:tcPr>
          <w:p w14:paraId="0BD2A2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施工安装调试</w:t>
            </w:r>
          </w:p>
        </w:tc>
        <w:tc>
          <w:tcPr>
            <w:tcW w:w="6765" w:type="dxa"/>
            <w:tcBorders>
              <w:top w:val="single" w:color="000000" w:sz="4" w:space="0"/>
              <w:left w:val="single" w:color="000000" w:sz="4" w:space="0"/>
              <w:bottom w:val="single" w:color="000000" w:sz="4" w:space="0"/>
              <w:right w:val="single" w:color="000000" w:sz="4" w:space="0"/>
            </w:tcBorders>
            <w:noWrap/>
            <w:vAlign w:val="center"/>
          </w:tcPr>
          <w:p w14:paraId="72542B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专业技工施工安装调试与培训。</w:t>
            </w:r>
          </w:p>
        </w:tc>
        <w:tc>
          <w:tcPr>
            <w:tcW w:w="525" w:type="dxa"/>
            <w:tcBorders>
              <w:top w:val="single" w:color="000000" w:sz="4" w:space="0"/>
              <w:left w:val="single" w:color="000000" w:sz="4" w:space="0"/>
              <w:bottom w:val="single" w:color="000000" w:sz="4" w:space="0"/>
              <w:right w:val="single" w:color="000000" w:sz="4" w:space="0"/>
            </w:tcBorders>
            <w:noWrap/>
            <w:vAlign w:val="center"/>
          </w:tcPr>
          <w:p w14:paraId="52CB5F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0A3E16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36</w:t>
            </w:r>
          </w:p>
        </w:tc>
      </w:tr>
    </w:tbl>
    <w:p w14:paraId="1018DDD5">
      <w:pPr>
        <w:pStyle w:val="33"/>
        <w:rPr>
          <w:rFonts w:hint="eastAsia"/>
          <w:b/>
          <w:bCs/>
          <w:color w:val="auto"/>
          <w:highlight w:val="none"/>
          <w:lang w:val="en-US" w:eastAsia="zh-CN"/>
        </w:rPr>
      </w:pPr>
    </w:p>
    <w:tbl>
      <w:tblPr>
        <w:tblStyle w:val="43"/>
        <w:tblW w:w="9930" w:type="dxa"/>
        <w:tblInd w:w="-70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80"/>
        <w:gridCol w:w="1185"/>
        <w:gridCol w:w="6765"/>
        <w:gridCol w:w="545"/>
        <w:gridCol w:w="655"/>
      </w:tblGrid>
      <w:tr w14:paraId="51804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930" w:type="dxa"/>
            <w:gridSpan w:val="5"/>
            <w:tcBorders>
              <w:top w:val="single" w:color="000000" w:sz="4" w:space="0"/>
              <w:left w:val="single" w:color="000000" w:sz="4" w:space="0"/>
              <w:bottom w:val="single" w:color="000000" w:sz="4" w:space="0"/>
              <w:right w:val="single" w:color="000000" w:sz="4" w:space="0"/>
            </w:tcBorders>
            <w:noWrap/>
            <w:vAlign w:val="center"/>
          </w:tcPr>
          <w:p w14:paraId="4B481BA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AI巡课系统</w:t>
            </w:r>
          </w:p>
        </w:tc>
      </w:tr>
      <w:tr w14:paraId="45AEA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089A19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73B8C9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765" w:type="dxa"/>
            <w:tcBorders>
              <w:top w:val="single" w:color="000000" w:sz="4" w:space="0"/>
              <w:left w:val="single" w:color="000000" w:sz="4" w:space="0"/>
              <w:bottom w:val="single" w:color="000000" w:sz="4" w:space="0"/>
              <w:right w:val="single" w:color="000000" w:sz="4" w:space="0"/>
            </w:tcBorders>
            <w:noWrap/>
            <w:vAlign w:val="center"/>
          </w:tcPr>
          <w:p w14:paraId="6D3CCB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545" w:type="dxa"/>
            <w:tcBorders>
              <w:top w:val="single" w:color="000000" w:sz="4" w:space="0"/>
              <w:left w:val="single" w:color="000000" w:sz="4" w:space="0"/>
              <w:bottom w:val="single" w:color="000000" w:sz="4" w:space="0"/>
              <w:right w:val="single" w:color="000000" w:sz="4" w:space="0"/>
            </w:tcBorders>
            <w:noWrap/>
            <w:vAlign w:val="center"/>
          </w:tcPr>
          <w:p w14:paraId="79CCF8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655" w:type="dxa"/>
            <w:tcBorders>
              <w:top w:val="single" w:color="000000" w:sz="4" w:space="0"/>
              <w:left w:val="single" w:color="000000" w:sz="4" w:space="0"/>
              <w:bottom w:val="single" w:color="000000" w:sz="4" w:space="0"/>
              <w:right w:val="single" w:color="000000" w:sz="4" w:space="0"/>
            </w:tcBorders>
            <w:noWrap/>
            <w:vAlign w:val="center"/>
          </w:tcPr>
          <w:p w14:paraId="093F83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6BB8AB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5C1153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5-1</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0472B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课堂采集终端（内置双目）</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0269EB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1.主机架构：采用嵌入式架构，高度集成高清摄像机、录制、直播、导播、自动跟踪、音频编码、视频编码、音频处理、视频处理、存储、点播、互动、AI分析等多功能于一体。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2.主机摄像机：采用摄录一体化设计，采用双镜头设计；全景镜头采用≥1/2.7英寸CMOS传感器，有效像素要求≥800万</w:t>
            </w:r>
            <w:r>
              <w:rPr>
                <w:rFonts w:hint="default"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云台镜头采用≥1/3.1英寸CMOS传感器，有效像素要求≥1200万。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3.主机性能：主机配备高性能低功耗处理器，内置GPU与NPU协处理器，CPU核心数≥8，核心主频≥2.4GHz，整机功耗≤35W，正常工作状态下噪声≤20dB(A)；AI算力≥6TOPS，满足课堂分析需求。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4.视频接口：RJ45接口≥4，支持POE供电；HDMI输入≥1，HDMI输出≥2路。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5.音频接口：Line in≥1；Line out接口≥1；Mic接口≥2，Mic口支持向麦克风提供POE或幻象供电。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6.网络接口：RJ45接口≥1，支持100/1000M网络自适应及IPv4、IPv6双协议栈。</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7.控制接口：RJ45≥1；支持RS232串行通信协议进行外接控制。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8.外设接口：USB2.0接口≥1，输出音视频供第三方视频会议等软件使用。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9.视音频接入：满足低成本布线需求，视频信号、音频信号可基于一条双绞线实现供电、信号控制和信号传输。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10.视频录制：兼容H.264或H.265编码协议，AAC音频编码协议，RTMP、RTSP视频传输协议，H.323、SIP、WebRTC视频通信协议，视频封装格式MP4。</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仿宋" w:hAnsi="仿宋" w:eastAsia="仿宋" w:cs="仿宋"/>
                <w:color w:val="auto"/>
                <w:sz w:val="21"/>
                <w:szCs w:val="21"/>
                <w:highlight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11.AI边缘计算：主机内置AI课堂行为实时分析能力，无需额外设备或互联网云端服务，即可实现基于课堂师生行为、PPT课件等多模态数据的融合分析。（提供第三方检验报告复印件，报告中需体现该功能内容）</w:t>
            </w:r>
          </w:p>
        </w:tc>
        <w:tc>
          <w:tcPr>
            <w:tcW w:w="545" w:type="dxa"/>
            <w:tcBorders>
              <w:top w:val="single" w:color="000000" w:sz="4" w:space="0"/>
              <w:left w:val="single" w:color="000000" w:sz="4" w:space="0"/>
              <w:bottom w:val="single" w:color="000000" w:sz="4" w:space="0"/>
              <w:right w:val="single" w:color="000000" w:sz="4" w:space="0"/>
            </w:tcBorders>
            <w:noWrap w:val="0"/>
            <w:vAlign w:val="center"/>
          </w:tcPr>
          <w:p w14:paraId="300FA1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noWrap w:val="0"/>
            <w:vAlign w:val="center"/>
          </w:tcPr>
          <w:p w14:paraId="330DD3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F5F4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549541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5-2</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17B732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终端管理软件</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6F2056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一、整体要求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1.要求软件在出厂时内嵌于主机中。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2.兼容适配国产操作系统、国产浏览器，可在导播后台看到包含内置与外接摄像机以及HDMI信号等所有预览画面。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3.多流录制：支持教师画面、学生全景画面、课件画面等不少于3路画面的独立录制封装。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4.分段录制：支持分段录制功能，以应对长时间的视频录制情况，提供不分段、30分钟分段、60分钟分段分段方式不小于三种选择</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可在不结束录制的条件下，自动按选择时长将视频文件分割成多个视频归档保存。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台标字幕：录播主机支持在导播预览界面添加Logo台标与字幕，可自主上传Logo图标、设置logo位置、编辑字幕内容、选择字幕字体颜色与是否滚动显示，且后台管理设置可最多预设5个字幕作为备选，方便灵活调整与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6.音量控制：支持在导播过程中进行音量控制，可调整相关输入输出的音量大小，且支持一键静音功能。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7.摄像机调节：支持对外接的高清摄像机进行远程配置，统一维护和管理界面，快速调整拍摄画面质量。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8.音频设置：支持对录播主机任意线性音频输入通道做单独配置，提供无线MIC或多媒体设备等多种类型选择，支持对音频比特率与采样率进行配置，以保障音频效果。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9.多流直播：支持不少于4路RTMP同步推流直播，支持自定义直播分辨率和码率，实现多流直播。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10.直播模式：需支持RTMP直播、TS直播、集控推流直播等不少于3种不同直播模式，以适应不同场景直播需求。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11.互动协议：要求支持H.323、SIP、WebRTC等视音频互动协议技术，便捷进行远程互动教学应用。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12.通过主机的网络导播界面，需支持主讲端在互动过程中对其余互动参与者的发言权限进行控制，支持单人禁言/开启以及全场禁言/开启的控制方式。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13.要求录播主机在双向互动过程中，可实现1080P@30FPS画质，并支持基于SVC技术实现在不同网络状况下的画面质量自适应。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14.要求录播主机支持呼叫应答设置，默认支持自动应答与勾选手动应答两种方式以满足在专递课堂场景下听讲端的自动入会，以及在其余场景下录播教室内的用户接收到互动申请可自主选择是否加入会议的情况。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15.麦克风接入：需支持接入无线麦克风，可根据实际使用场景自定义配置无线麦克风的频段，并可通过添加无线麦设备白名单实现精准接入管理。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16.客户端软件：需支持课堂实录控制、直播控制、录制参数设置、远程互动控制、获取平台排课信息和录像文件管理等功能。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17.教学环节识别：要求支持按照教学环节定义将课程视频切片，并且在视频播放进度条上有明显标签显示对应的教学环节。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18.编辑教学环节：要求支持用户对AI课堂分析生成的教学环节结果进行自主纠偏，依据时间轴自主定义教学环节的时长并更改教学环节的结论，同时支持自主创建教学环节名称。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行为时序播放：支持在课程视频播放进度条上显示PPT翻页的具体时间节点，同时将教师行为与学生行为的时序分布依次展开，点击时序图上的具体行为节点，视频将自动跳转到对应位置，方便老师快速回顾课堂教学环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多模态课堂数据：支持对课堂多模态数据展开多维度综合分析，包含“课堂师生行为时序”“教学行为分析”“理答分析”“PPT分析”“教师讲授分析”“姿态与情感分析”“课堂管理分析”“学生学情分析”等多个数据板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二、教师教情分析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1.教师行为分析：支持自动分析并统计老师授课过程中的教学行为，包含“教师讲授”“教师提问”“PPT演示”“操作大屏”“教师发言”等。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2.PPT分析：支持教师授课PPT分析，可统计每页PPT的使用时长、PPT内图片与图表的页数，识别PPT中留给学生的课堂任务数量并分析任务时间占比，辅助开展课堂教学设计评价。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3.教师情感表达分析：支持分析授课过程中教师的表情，以图表形式呈现教师从开心到平静的情感变化，并记录教师在具体时间点的情感截图及对应的情感词汇。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4.教师姿态表达分析：支持分析授课过程中教师的姿态表达，以图表形式呈现教师姿态活跃度的变化，并记录教师在具体时间点的姿态应用情况。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5.教师巡视分析：支持分析教师的课堂管理能力，统计教师的巡视次数与巡视时长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6.S-T分析：支持以图表形式分析课堂过程中的师生行为，观察教师的课堂环节设计与师生互动情况。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7.教师课堂考勤分析：支持接入学校人脸信息库，实现教师人脸考勤分析，辅助统计教师出勤情况。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三、学生学情分析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1.学生行为分析：支持自动分析并统计学生课堂过程中的学习行为，包含“学生站立”“多人抬头”“学生上台”“学生举手”等。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2.个体观察分析：支持基于学生人脸的身份识别，分析呈现每个学生的听课状态、课堂抬头率分布和情绪分布，并记录每个学生具体某个时间点的行为截图。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3.学生站立分析：支持以热点图形式呈现学生站立、举手、补充发言的情况与分布，统计站立人数与站立次数，且针对学生站立行为可具体到某个时间及某位学生。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4.学生专注分析：支持分析统计不同场景下学生的抬头率，如教师板书时、学生上台时、教师PPT授课时，并呈现不同环节的抬头率比例。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5.学生上台分析：支持分析统计课堂学生上台情况，统计上台人数及上台次数，以课堂时间轴形式记录具体到某个时间及某位学生的上台情况。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6.课堂氛围分析：支持分析学生课堂表情，对各类表情进行实时监测，统计课堂过程中不同时间点学生开心或平静表情的峰值。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7.学生抬头率分析：支持分析学生的抬头率情况，提供最高抬头率以及平均抬头率，并用图表的形式呈现以辅助课堂纪律评价。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8.学生低头分析：支持整堂课学生的低头时长统计，并支持展示低头时间点的具体截图。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9.学生课堂考勤分析：支持接入学校人脸信息库，实现学生人脸考勤分析，辅助统计学生出勤情况。</w:t>
            </w:r>
          </w:p>
        </w:tc>
        <w:tc>
          <w:tcPr>
            <w:tcW w:w="545" w:type="dxa"/>
            <w:tcBorders>
              <w:top w:val="single" w:color="000000" w:sz="4" w:space="0"/>
              <w:left w:val="single" w:color="000000" w:sz="4" w:space="0"/>
              <w:bottom w:val="single" w:color="000000" w:sz="4" w:space="0"/>
              <w:right w:val="single" w:color="000000" w:sz="4" w:space="0"/>
            </w:tcBorders>
            <w:noWrap w:val="0"/>
            <w:vAlign w:val="center"/>
          </w:tcPr>
          <w:p w14:paraId="5D978F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5" w:type="dxa"/>
            <w:tcBorders>
              <w:top w:val="single" w:color="000000" w:sz="4" w:space="0"/>
              <w:left w:val="single" w:color="000000" w:sz="4" w:space="0"/>
              <w:bottom w:val="single" w:color="000000" w:sz="4" w:space="0"/>
              <w:right w:val="single" w:color="000000" w:sz="4" w:space="0"/>
            </w:tcBorders>
            <w:noWrap w:val="0"/>
            <w:vAlign w:val="center"/>
          </w:tcPr>
          <w:p w14:paraId="76F94A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9D7D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598341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5-3</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19765B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高清双目摄像机</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15F635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1.传感器：内置双目摄像设计，全景镜头要求采用≥1/3.1英寸CMOS传感器，有效像素要求≥1200万。云台镜头要求采用≥1/2.7英寸CMOS传感器，有效像素要求≥800万。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2.视频分辨率：最大可支持3840×2160并向下兼容。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3.云台转动：摄像头具备转动跟踪，水平转动范围达±155°，垂直转动范围达-30°~＋120°。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4.快门速度：要求支持高速与慢速快门速度，最快不小于1/10000s，最慢不小于1/25s。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5.全景镜头视场角：要求定焦摄像头水平视场角≥60°，垂直视场角≥35°。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6.视频编码：要求支持H.265、H.264高清视频编码协议。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7.视频输出：要求具备视频输出口：RJ45≥1、HDMI≥1。</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8.网络接入：RJ45网络接口≥1，并支持100M/1000M自适应以太网接入与RTSP协议网络视频输出。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9.音频编码：要求支持OPUS、G.711A、AAC等常用音频编码协议。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10.USB接口：要求具备USB Type-A≥1。</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11.控制协议：要求支持VISCA协议满足多种场景控制要求。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12.背光补偿：要求具备背光补偿功能。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13.支持2D/3D数字降噪，信噪比≥55dB。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14.要求与搭配的主机实现基于一条双绞线即可实现POE或POC供电、信号控制、信号传输。</w:t>
            </w:r>
          </w:p>
        </w:tc>
        <w:tc>
          <w:tcPr>
            <w:tcW w:w="545" w:type="dxa"/>
            <w:tcBorders>
              <w:top w:val="single" w:color="000000" w:sz="4" w:space="0"/>
              <w:left w:val="single" w:color="000000" w:sz="4" w:space="0"/>
              <w:bottom w:val="single" w:color="000000" w:sz="4" w:space="0"/>
              <w:right w:val="single" w:color="000000" w:sz="4" w:space="0"/>
            </w:tcBorders>
            <w:noWrap w:val="0"/>
            <w:vAlign w:val="center"/>
          </w:tcPr>
          <w:p w14:paraId="6C5748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noWrap w:val="0"/>
            <w:vAlign w:val="center"/>
          </w:tcPr>
          <w:p w14:paraId="44FD5C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8DF75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40FB3B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5-4</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67CDE5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摄像机管理软件</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53EA44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1.摄像机传输处理软件需采用B/S架构，支持通用浏览器直接访问进行管理。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2.需支持设置自动/手动/一键锁定/室内/室外多场景白平衡设置，红、蓝增益可调以满足不同环境取景需要。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3.需支持噪声抑制设置功能，支持2D、3D数字降噪。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4.需支持摄像机图像质量调节功能，包括亮度、对比度、色调、饱和度。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5.需支持图像水平、垂直翻转，适应摄像机不同的安装方式要求。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6.需支持摄像机控制功能，包括变焦摄像头控制、预置位设置与调用、焦距调节等。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7.变焦摄像头需支持自动/手动两种聚焦锁定模式。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8.变焦摄像头需支持设置预置位数量≥255，预置位设置精度≤0.1°。</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9.内置AI实时分析模型，支持拍摄教师时具备识别授课轨迹、姿态、表情等分析能力。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10.高效数据传输：支持对同品牌录播主机实现基于数据链路层的数字视频数据传输技术，能够实现≤100ms的声画同步，在拍摄运动画面和复杂场景时，有效避免镜头呼吸效应导致的周期性画面焦距抖动。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11.AI跟踪：内置先进的跟踪算法，无需额外辅助摄像头或其他设备，即可实现人像自动跟踪，PTZ实时跟焦，包含水平运动、俯仰运动、变焦、聚焦四维实时跟踪功能。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仿宋" w:hAnsi="仿宋" w:eastAsia="仿宋" w:cs="仿宋"/>
                <w:color w:val="auto"/>
                <w:sz w:val="21"/>
                <w:szCs w:val="21"/>
                <w:highlight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12.交叉识别：需支持对锁定跟拍对象进行人脸特征与肢体双重认证识别，在多人同时进入拍摄画面的情况下，持续锁定跟踪对象，不出现跟丢和误跟的情况。AI跟踪锁定解除：支持设置AI跟踪锁定解除时间，被锁定人员脱离画面跟踪区域后，在跟踪锁定解除时间到达之后自动解除人员锁定，回归默认状态，等待下一位人员进入画面中开始重新锁定跟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（提供第三方检验报告复印件，报告中需体现该功能内容）。</w:t>
            </w:r>
          </w:p>
        </w:tc>
        <w:tc>
          <w:tcPr>
            <w:tcW w:w="545" w:type="dxa"/>
            <w:tcBorders>
              <w:top w:val="single" w:color="000000" w:sz="4" w:space="0"/>
              <w:left w:val="single" w:color="000000" w:sz="4" w:space="0"/>
              <w:bottom w:val="single" w:color="000000" w:sz="4" w:space="0"/>
              <w:right w:val="single" w:color="000000" w:sz="4" w:space="0"/>
            </w:tcBorders>
            <w:noWrap/>
            <w:vAlign w:val="center"/>
          </w:tcPr>
          <w:p w14:paraId="7DA960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5" w:type="dxa"/>
            <w:tcBorders>
              <w:top w:val="single" w:color="000000" w:sz="4" w:space="0"/>
              <w:left w:val="single" w:color="000000" w:sz="4" w:space="0"/>
              <w:bottom w:val="single" w:color="000000" w:sz="4" w:space="0"/>
              <w:right w:val="single" w:color="000000" w:sz="4" w:space="0"/>
            </w:tcBorders>
            <w:noWrap w:val="0"/>
            <w:vAlign w:val="center"/>
          </w:tcPr>
          <w:p w14:paraId="00CFD8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5E30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5FAC59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5-5</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6018DE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拾音系统</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1ED08A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1.指向性：超心型。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2.频率响应：40Hz—16kHz。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3.灵敏度≥-7dB±1dB。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4.最大声压级≥110dB。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5.信噪比≥62dB。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6.动态范围≥78.5dB。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7.使用电源：麦克风一线通供电。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8.输出接口：RJ45，数字音频接口。</w:t>
            </w:r>
          </w:p>
        </w:tc>
        <w:tc>
          <w:tcPr>
            <w:tcW w:w="545" w:type="dxa"/>
            <w:tcBorders>
              <w:top w:val="single" w:color="000000" w:sz="4" w:space="0"/>
              <w:left w:val="single" w:color="000000" w:sz="4" w:space="0"/>
              <w:bottom w:val="single" w:color="000000" w:sz="4" w:space="0"/>
              <w:right w:val="single" w:color="000000" w:sz="4" w:space="0"/>
            </w:tcBorders>
            <w:noWrap/>
            <w:vAlign w:val="center"/>
          </w:tcPr>
          <w:p w14:paraId="0BFFCC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5" w:type="dxa"/>
            <w:tcBorders>
              <w:top w:val="single" w:color="000000" w:sz="4" w:space="0"/>
              <w:left w:val="single" w:color="000000" w:sz="4" w:space="0"/>
              <w:bottom w:val="single" w:color="000000" w:sz="4" w:space="0"/>
              <w:right w:val="single" w:color="000000" w:sz="4" w:space="0"/>
            </w:tcBorders>
            <w:noWrap w:val="0"/>
            <w:vAlign w:val="center"/>
          </w:tcPr>
          <w:p w14:paraId="37A045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94650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71"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4A2307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89A96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全连接智慧教学应用云平台服务</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157C6D8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需包含智慧教学云应用服务的三年使用授权。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学校智慧教学应用云服务功能要求：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一、用户工作台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1）个人信息：支持用户对头像、姓名、性别、邮箱、出生日期、手机号码、通信地址、简介、学历、职称、执教学科、荣誉、登录密码、第三方账号绑定等个人资料进行查看和修改。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教学日程：支持通览该用户在平台中参与的各业务开展情况，以日历方式直观呈现，点击某一教学日程可快速进入对应功能模块。3）快捷入口：支持将平台功能分列呈现，教学项和教研项方便用户快速进入课表、视频、专辑、资源、在线学堂、收藏、教研活动、评审活动、磨课备课、教学督导等功能模块，快速开展在线应用。</w:t>
            </w:r>
          </w:p>
          <w:p w14:paraId="62B2133D">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（4）待办任务：支持通览该用户在平台中已参与的业务活动，以列表方式按即将逾期的状态降序排序直观呈现，点击某一待办任务可快速进入对应功能模块。</w:t>
            </w:r>
          </w:p>
          <w:p w14:paraId="673EC8B8">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5）我的课表：支持用户自我管理教学计划课表，包括校内课表与跨校课表。课表内支持自定义课程名称、封面、主讲人、时间段、学段学科等基础信息并可上传附件。课表内授课形式支持普通直播课、校内互动课以及跨校互动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我的资源：支持浏览用户上传的所有资源，并以列表形式直观展示资源名称、类型、观看权限、章节目录、审核状态、允许下载、上传日期等信息。提供用户自主上传资源功能入口，方便用户快捷上传个人资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7）我的收藏：支持浏览用户在我的视频、我的专辑、教学督导、评审活动、在线学堂、校园电视等功能处收藏的资源，提供快速查询和分类筛选功能，点击某一资源即可快速查看其详情。</w:t>
            </w:r>
          </w:p>
          <w:p w14:paraId="3F07BBC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8）我的视频：支持用户打造个人视频管理空间，包含自主上传教学视频或通过平台录播课归档的课程视频，支持关联视频附件文档、设置知识点、微能力、教学环节、是否AI行为分析、填写教学反馈与活动掠影。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在线学堂：支持用户查看自主创建或所处教学班的学习课程，并可查看课程所有人与权限，页面提供编辑与查看学习统计按钮方便快速进行过程处理与结果导出，并支持对自己创建的课程快速取消发布与删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二、课程教学系统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课表排课：支持提供教师个人课表排课进行辅助教学。教师个人课表可由学校管理员统一推送，并支持教师在课表中查看自己的课程信息，同时支持教师根据实际情况在原基础上进行自主排课，自主排课的课程支持调课、修改时间、删除等管理操作。支持自定义排课周数来快速完成整个学期的排课计划。</w:t>
            </w:r>
          </w:p>
          <w:p w14:paraId="4B2E51B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2）课节时间：支持管理员自定义设置、修改课节时间，贴合不同学校或不同季节的开课时间安排。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排课类型：支持普通直播、校内互动与跨校互动三种排课类型。校内课程在校内课表进行排课，本校本地自主开课。跨校课程排课时，支持从系统中选择结对组、接收学校、接收教室作为听讲端建立互动课程，实现互动开课。</w:t>
            </w:r>
          </w:p>
          <w:p w14:paraId="742C417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4）排课录制：支持在排课时进行课堂录制预约，默认设置所排课程对应的课节时间作为录制预约时间，进行录制预约登记。录制视频统一归档至平台个人视频空间。</w:t>
            </w:r>
          </w:p>
          <w:p w14:paraId="67EF1B75">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5）授课统计：支持教师通过个人课表查看个人授课统计，统计内容须包括教学受益学生人数、计划课时、应授课时、实开课时等信息。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6）教学备课辅助：支持关联课表进行备课，课前上传备课课件、布置预习任务、随堂测试试卷等。同时支持布置课后作业以及课后辅导任务，并进行备课总结反思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7）备课资源：支持备课活动中从学校资源库中下载相应备课资源，或自行上传本地资源。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8）备课教学视频归档：支持已备课课堂的教学录制视频自动上传归档至对应备课活动，方便学校老师、教研组进行磨课备课分析应用。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9）备课模式：支持教师自主备课、校内集备、跨校集备三种备课模式。自主备课为教师个人备课。校内集备为校内同一年级学科教师的集体备课。跨校集备为不同学校教师之间的集体备课。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10）视频归档：支持学校教师在课表中预约录制视频的自动上传，归档至对应教师个人视频空间，并关联年级学科、录制时间、授课地点、视频时长等信息。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12）视频上传：支持用户自主上传课程视频发布用于课程点播，可对上传视频自主添加知识点、教学环节、行为分析等类型标识，点播播放时可点击相应知识点、教学环节跳转至对应时间点视频进行播放。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12）课程附件：支持在上传视频时同步上传课程附件，课程附件支持文档、图片、视频、压缩包等不同类型。附件上传后，在课程点播时支持同步下载。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13）视频检索：支持通过关键字、录制时间检索筛选相应视频。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课程直播：支持按日历时间查看开课信息并点击进入课程直播，实时观看教学直播内容。同时支持呈现近期课表中的课程直播状态（正在直播、即将开始、直播回放等）。支持观看直播过程中进行直播评论，发表学习意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四、学校教研活动系统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1）校级教研活动：支持创建、参与各年级、各学科的网络教研活动，支持自定义每个网络教研活动的展示封面、教研主题、教研内容，支持上传教研相关的视频、文档附件。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2）区域网络教研参与：支持连接区域平台，访问区域教研活动，方便快捷参与区域组织的网络教研活动。</w:t>
            </w:r>
          </w:p>
          <w:p w14:paraId="6C1CBC0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3）教研模式：支持直播观摩教研、点播观摩教研、互动教研三种方式。直播观摩教研面向实时授课直播画面进行观摩教研。点播观摩教研可获取平台录制教学视频进行点播观摩。互动教研可实现多终端实时音视频互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4）教研会控：进行互动教研会议时，创建者拥有“会控”权限，可在互动教研会议中进行画面、发言、参会人员管理等控制。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5）教研评分：创建主题教研后，支持自定义评分量表，在教研活动中根据打分量表进行教研观摩打分。</w:t>
            </w:r>
          </w:p>
          <w:p w14:paraId="5BF62D3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6）教研互动：提供教研评论、教研笔记、教研评分、话题研讨四种教研互动方式。用户可在教研过程中发表评论，在线进行评论交互。以教研笔记的方式总结教研过程思想，形成教研总结。教研员可针对每个教研活动指定多个不同的“教研话题”，教研组成员可对话题进行进一步探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7）教研标记：支持在发布教研笔记的时候关联当前观看视频时间作为标识，后续查看教研笔记时点击即可跳转教研视频至对应时间点进行观看，方便教研总结时充分理解笔记发布者的想法。</w:t>
            </w:r>
          </w:p>
          <w:p w14:paraId="07FE19B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8）教研签到记录：支持记录统计教研参与签到人员，形成签到列表，便于教研活动的人员管理。签到列表需支持签到用户名、签到地点、签到时间、签退时间的关联统计展示。</w:t>
            </w:r>
          </w:p>
          <w:p w14:paraId="786988D1">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9）临时用户参与：所有人可见的教研活动支持非本平台的“临时用户”的参与，支持将临时用户参与的评论、话题研讨等数据保留到平台中。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10）教研收藏：支持在教研活动界面点击收藏教研活动，收藏的教研活动可在个人账号下进行管理。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11）教研回顾：可以公开教研活动成果供用户对往届教研活动进行回顾。支持用户观看教研视频、查看教研笔记、查看评分结果，并下载各教研附件进行阅读和学习。</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12）教研签到功能：支持手机微信扫描教研活动二维码，填写基本信息以及通过手机定位获取签到地点后完成签到，并记录教研平台签到列表。</w:t>
            </w:r>
          </w:p>
          <w:p w14:paraId="41F8745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13）教研点评功能：支持对参与的教研互动进行评论发表、教研话题研讨，以及评课评分等，便捷实现教研观摩中的评课讨论。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14）教研历史：支持记录参与的教研活动历史，方便查询回顾，有效保障教研质量。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15）关键字检索：支持通过关键字搜索相应网络教研活动。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16）教研活动筛选：支持按照学段、年级、学科分类标识教研活动，在活动列表界面可选择相应分类筛选对应教研活动。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17）教研排序：支持按照评论数、参与用户数、收藏数三种方式由高到低进行教研活动排序。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18）教研动态：支持活动首页显示实时教研活动动态，以标题滚动的方式进行循环播放，方便用户实时展示教研应用信息。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19）教研活动统计：支持活动首页实时统计本校教研活动数据，包括但不限于已开展教研活动数量、已开展评审活动数量、参与用户数、教研员数量等信息。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五、校园在线巡课系统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1）支持通过平台进行本校课程直播视频调取，在线观看开课现场画面。同时可支持课程主讲人、主讲班级、课程直播时间等相关信息展示。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课堂列表：支持后台根据学校实际教学楼、班级分布情况进行信息输入，使得在巡课界面可调出课堂列表，且列表应根据学校课堂实际分布情况进行呈现，可自定义包括课堂教室名称、所属楼层、所属教学楼、所属校区等4级呈现。</w:t>
            </w:r>
          </w:p>
          <w:p w14:paraId="57157761">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3）支持在巡课界面通过教室列表自由切换巡课教室，从而实现对多个教室的远程直播巡课。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4）在线显示：支持仅显示当前在线的录播教室列表。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5）常用教室：支持将巡课教室进行分组，根据分组快捷选择课室进行巡课。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6）场景收藏：支持每位用户将当前画面布局及巡课教室进行收藏，巡课专家点击收藏的场景可快速将巡课教室布局在画面中。</w:t>
            </w:r>
          </w:p>
          <w:p w14:paraId="15CB97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7）画面布局：支持1分屏、2分屏、4分屏、6分屏、9分屏、10分屏六种巡课画面布局，每个分屏可直接拖拽教室信号进行巡课。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8）画面拍照：支持对当前巡课画面进行拍照留存于图片库中，提供大图预览、图片下载、图片删除等多种管理功能。</w:t>
            </w:r>
          </w:p>
        </w:tc>
        <w:tc>
          <w:tcPr>
            <w:tcW w:w="545" w:type="dxa"/>
            <w:tcBorders>
              <w:top w:val="single" w:color="000000" w:sz="4" w:space="0"/>
              <w:left w:val="single" w:color="000000" w:sz="4" w:space="0"/>
              <w:bottom w:val="single" w:color="000000" w:sz="4" w:space="0"/>
              <w:right w:val="single" w:color="000000" w:sz="4" w:space="0"/>
            </w:tcBorders>
            <w:noWrap/>
            <w:vAlign w:val="center"/>
          </w:tcPr>
          <w:p w14:paraId="5B5645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655" w:type="dxa"/>
            <w:tcBorders>
              <w:top w:val="single" w:color="000000" w:sz="4" w:space="0"/>
              <w:left w:val="single" w:color="000000" w:sz="4" w:space="0"/>
              <w:bottom w:val="single" w:color="000000" w:sz="4" w:space="0"/>
              <w:right w:val="single" w:color="000000" w:sz="4" w:space="0"/>
            </w:tcBorders>
            <w:noWrap/>
            <w:vAlign w:val="center"/>
          </w:tcPr>
          <w:p w14:paraId="4A4490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10B08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80" w:type="dxa"/>
            <w:tcBorders>
              <w:top w:val="single" w:color="000000" w:sz="4" w:space="0"/>
              <w:left w:val="single" w:color="000000" w:sz="4" w:space="0"/>
              <w:bottom w:val="single" w:color="000000" w:sz="4" w:space="0"/>
              <w:right w:val="single" w:color="000000" w:sz="4" w:space="0"/>
            </w:tcBorders>
            <w:noWrap/>
            <w:vAlign w:val="center"/>
          </w:tcPr>
          <w:p w14:paraId="58A1F9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35511B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AI智能语音分析主机</w:t>
            </w:r>
          </w:p>
        </w:tc>
        <w:tc>
          <w:tcPr>
            <w:tcW w:w="6765" w:type="dxa"/>
            <w:tcBorders>
              <w:top w:val="single" w:color="000000" w:sz="4" w:space="0"/>
              <w:left w:val="single" w:color="000000" w:sz="4" w:space="0"/>
              <w:bottom w:val="single" w:color="000000" w:sz="4" w:space="0"/>
              <w:right w:val="single" w:color="000000" w:sz="4" w:space="0"/>
            </w:tcBorders>
            <w:noWrap w:val="0"/>
            <w:vAlign w:val="center"/>
          </w:tcPr>
          <w:p w14:paraId="0BD7A4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1.硬件结构：采用嵌入式架构设计，标准机架式，内置NPU处理器，具备智能学习特性，充分保障AI处理能力。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2.操作系统：Linux。</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3.网络接口：1000M自适应LAN口*1，要求支持IPv4、IPv6双协议栈。</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4.其他接口：Console(RJ45)≥1路，USB≥1路。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5.设备复位：支持一键Reset复位。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6.工作电压：≤24V。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7.额定功率：≤84W。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8.协议标准：支持RTP/RTSP/RTMP/HTTP/TCP/UDP。</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9.编码标准：音频支持AAC编码协议。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10.分析能力：支持语音分析能力，包括语音转写、语速分析、高频词分析、敏感词提取、教师提问频次等。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11.接入认证：支持联动资源管理平台完成录播主机的接入认证，认证过的录播主机方能导入音频文件数据进行分析。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12.数据导入：支持基于网络方式获取音频数据，平台排课预约后即可下发指令，通过网络下发音频文件至分析主机进行导入分析，无需额外导入操作。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13.分析数据模式：支持自动获取平台排课预约推送音频与手动导入视频拆分音频分析的两种方式。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14.排队机制：支持分析任务排队机制，任务超过并发量自动进行排队等待，逐一进行分析。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15.本地分析能力：支持分析能力落在本地主机，内网连接即可用，无需连接互联网云端能力，最大程度保障数据安全。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1.教师提问情况分析：需支持基于课堂语音识别能力进行教师课堂提问行为分析，从提问次数与高频时间段两个核心维度进行数据统计，实现课堂提问情况的清晰回顾。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2.理答类型分析：要求支持对教师课堂理答情况进行分析，支持统计教师提问次数、抽答次数、追问次数，并以图表的形式呈现不同类型的占比。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3.教师追问分析：要求支持分析教师追问类型与次数，并标记具体在第几次提问时发起追问，对追问内容分析是否对学生有诱发思考的作用并统计次数。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4.教师普通话分析：需支持对教师授课音频进行自适应分段，并分析每个段落教师授课过程中的普通话水平、语速、音量以及关键词。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5.教师音量分析：要求支持分析本堂课教师平均的授课音量，以及根据时间推移呈现音量波动的变化图表。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6.课堂高频词分析：支持通过AI语音识别能力，抓取授课过程中出现的高频词汇，并统计出现频次以及出现来源，包括但不限于PPT、板书、教师音频，精准判断课堂教学重点。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7.课堂语气词分析：支持通过进行课堂语音识别，判断老师教学过程中出现的常规语气词出现频次，如“嗯”，“啊”，等语气词，辅助老师调整教学过程中的不良习惯。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8.课堂语音转写：需支持基于语音语义识别完成课堂音频的文字转换，实现课堂教学过程语音全纪录。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9.教师语速分析：需支持通过语音识别能力进行教师课堂授课语速分析，呈现数据需包括教师课堂说话字数以及平均语速。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10.教师情感表达：需支持通过分析教师授课语音中的积极与消极词汇，判断出教师此刻的情感状态，并用开心、平静等指标加以记录，绘制出本堂课的情感表达曲线图。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11.纪律管理：需支持通过分析教师授课语音中的课堂纪律提醒词汇，分析统计出本堂课教师纪律提醒次数，并以时间轴的形式记录。</w:t>
            </w:r>
          </w:p>
        </w:tc>
        <w:tc>
          <w:tcPr>
            <w:tcW w:w="545" w:type="dxa"/>
            <w:tcBorders>
              <w:top w:val="single" w:color="000000" w:sz="4" w:space="0"/>
              <w:left w:val="single" w:color="000000" w:sz="4" w:space="0"/>
              <w:bottom w:val="single" w:color="000000" w:sz="4" w:space="0"/>
              <w:right w:val="single" w:color="000000" w:sz="4" w:space="0"/>
            </w:tcBorders>
            <w:noWrap w:val="0"/>
            <w:vAlign w:val="center"/>
          </w:tcPr>
          <w:p w14:paraId="369E97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5" w:type="dxa"/>
            <w:tcBorders>
              <w:top w:val="single" w:color="000000" w:sz="4" w:space="0"/>
              <w:left w:val="single" w:color="000000" w:sz="4" w:space="0"/>
              <w:bottom w:val="single" w:color="000000" w:sz="4" w:space="0"/>
              <w:right w:val="single" w:color="000000" w:sz="4" w:space="0"/>
            </w:tcBorders>
            <w:noWrap w:val="0"/>
            <w:vAlign w:val="center"/>
          </w:tcPr>
          <w:p w14:paraId="485D4D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2818F934">
      <w:pPr>
        <w:pStyle w:val="33"/>
        <w:rPr>
          <w:rFonts w:hint="eastAsia"/>
          <w:b/>
          <w:bCs/>
          <w:color w:val="auto"/>
          <w:highlight w:val="none"/>
          <w:lang w:val="en-US" w:eastAsia="zh-CN"/>
        </w:rPr>
      </w:pPr>
    </w:p>
    <w:tbl>
      <w:tblPr>
        <w:tblStyle w:val="43"/>
        <w:tblW w:w="5863" w:type="pct"/>
        <w:tblInd w:w="-744"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47"/>
        <w:gridCol w:w="1235"/>
        <w:gridCol w:w="6726"/>
        <w:gridCol w:w="790"/>
        <w:gridCol w:w="686"/>
      </w:tblGrid>
      <w:tr w14:paraId="0A891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9AE0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多功能厅（249㎡）</w:t>
            </w:r>
          </w:p>
        </w:tc>
      </w:tr>
      <w:tr w14:paraId="61FD8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E9A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72D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437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2DF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43C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25508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545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1.桌椅</w:t>
            </w:r>
          </w:p>
        </w:tc>
      </w:tr>
      <w:tr w14:paraId="5CBF8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AF9DE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CFC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主席台</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9D05A">
            <w:pPr>
              <w:keepNext w:val="0"/>
              <w:keepLines w:val="0"/>
              <w:widowControl/>
              <w:numPr>
                <w:ilvl w:val="0"/>
                <w:numId w:val="2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1400W*600D*760H </w:t>
            </w:r>
            <w:r>
              <w:rPr>
                <w:rFonts w:hint="eastAsia" w:ascii="宋体" w:hAnsi="宋体" w:cs="宋体"/>
                <w:i w:val="0"/>
                <w:iCs w:val="0"/>
                <w:color w:val="auto"/>
                <w:kern w:val="0"/>
                <w:sz w:val="22"/>
                <w:szCs w:val="22"/>
                <w:highlight w:val="none"/>
                <w:u w:val="none"/>
                <w:lang w:val="en-US" w:eastAsia="zh-CN" w:bidi="ar"/>
              </w:rPr>
              <w:t>。</w:t>
            </w:r>
          </w:p>
          <w:p w14:paraId="639A2685">
            <w:pPr>
              <w:keepNext w:val="0"/>
              <w:keepLines w:val="0"/>
              <w:widowControl/>
              <w:numPr>
                <w:ilvl w:val="0"/>
                <w:numId w:val="2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三E1级密度板，面板贴黑桃木皮，实木封边，木皮厚度为</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0.3mm，隔断板厚度为</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18mm，背板厚度为</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18mm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FA8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D19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01A05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FA731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72F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主席台椅子</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95C98">
            <w:pPr>
              <w:keepNext w:val="0"/>
              <w:keepLines w:val="0"/>
              <w:widowControl/>
              <w:numPr>
                <w:ilvl w:val="0"/>
                <w:numId w:val="2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尺寸：</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720W*750D*1100H </w:t>
            </w:r>
            <w:r>
              <w:rPr>
                <w:rFonts w:hint="eastAsia" w:ascii="宋体" w:hAnsi="宋体" w:cs="宋体"/>
                <w:i w:val="0"/>
                <w:iCs w:val="0"/>
                <w:color w:val="auto"/>
                <w:kern w:val="0"/>
                <w:sz w:val="22"/>
                <w:szCs w:val="22"/>
                <w:highlight w:val="none"/>
                <w:u w:val="none"/>
                <w:lang w:val="en-US" w:eastAsia="zh-CN" w:bidi="ar"/>
              </w:rPr>
              <w:t>。</w:t>
            </w:r>
          </w:p>
          <w:p w14:paraId="1629EC15">
            <w:pPr>
              <w:keepNext w:val="0"/>
              <w:keepLines w:val="0"/>
              <w:widowControl/>
              <w:numPr>
                <w:ilvl w:val="0"/>
                <w:numId w:val="2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面料：黑色牛皮，经液态浸色及防潮、防污处理，皮面柔软舒适，光泽持久；海绵：PU低燃高密度定型海棉，软硬适中，座垫的密度≥55kg/m</w:t>
            </w:r>
            <w:r>
              <w:rPr>
                <w:rStyle w:val="172"/>
                <w:rFonts w:hint="eastAsia" w:ascii="宋体" w:hAnsi="宋体" w:eastAsia="宋体" w:cs="宋体"/>
                <w:color w:val="auto"/>
                <w:highlight w:val="none"/>
                <w:lang w:val="en-US" w:eastAsia="zh-CN" w:bidi="ar"/>
              </w:rPr>
              <w:t>³</w:t>
            </w:r>
            <w:r>
              <w:rPr>
                <w:rStyle w:val="154"/>
                <w:rFonts w:hint="eastAsia" w:ascii="宋体" w:hAnsi="宋体" w:eastAsia="宋体" w:cs="宋体"/>
                <w:color w:val="auto"/>
                <w:highlight w:val="none"/>
                <w:lang w:val="en-US" w:eastAsia="zh-CN" w:bidi="ar"/>
              </w:rPr>
              <w:t>,靠背的密度≥45kg/m</w:t>
            </w:r>
            <w:r>
              <w:rPr>
                <w:rStyle w:val="172"/>
                <w:rFonts w:hint="eastAsia" w:ascii="宋体" w:hAnsi="宋体" w:eastAsia="宋体" w:cs="宋体"/>
                <w:color w:val="auto"/>
                <w:highlight w:val="none"/>
                <w:lang w:val="en-US" w:eastAsia="zh-CN" w:bidi="ar"/>
              </w:rPr>
              <w:t>³</w:t>
            </w:r>
            <w:r>
              <w:rPr>
                <w:rStyle w:val="154"/>
                <w:rFonts w:hint="eastAsia" w:ascii="宋体" w:hAnsi="宋体" w:eastAsia="宋体" w:cs="宋体"/>
                <w:color w:val="auto"/>
                <w:highlight w:val="none"/>
                <w:lang w:val="en-US" w:eastAsia="zh-CN" w:bidi="ar"/>
              </w:rPr>
              <w:t>,回弹力≥65%，拉伸强度≥165.6KPA，柔软富有韧性，符合人体工程学原理要求，坐感舒适。</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DDA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6E2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1F35E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5AF4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73A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软包座席</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9E9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 xml:space="preserve">. 椅座、背塑胶保护壳材料ABS工程塑料附独特蜂窝式背隐吸音气孔，整体吸音率0.5，全场能在0.1秒内消除回音，保证座椅的良好透气性能和整个会场无噪音。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 xml:space="preserve">. 座、背泡绵采用聚胺脂泡绵，根据人体坐姿工学原理，经过冷固发泡一体成型制成抗变形，高弹性，舒适耐用；座发泡绵密度大于50kg/m3，背发泡绵密度大于45kg/m3。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 椅座及背部内衬板采用七层</w:t>
            </w:r>
            <w:r>
              <w:rPr>
                <w:rFonts w:hint="eastAsia" w:ascii="宋体" w:hAnsi="宋体" w:cs="宋体"/>
                <w:i w:val="0"/>
                <w:iCs w:val="0"/>
                <w:color w:val="auto"/>
                <w:kern w:val="0"/>
                <w:sz w:val="22"/>
                <w:szCs w:val="22"/>
                <w:highlight w:val="none"/>
                <w:u w:val="none"/>
                <w:lang w:val="en-US" w:eastAsia="zh-CN" w:bidi="ar"/>
              </w:rPr>
              <w:t>以上</w:t>
            </w:r>
            <w:r>
              <w:rPr>
                <w:rFonts w:hint="eastAsia" w:ascii="宋体" w:hAnsi="宋体" w:eastAsia="宋体" w:cs="宋体"/>
                <w:i w:val="0"/>
                <w:iCs w:val="0"/>
                <w:color w:val="auto"/>
                <w:kern w:val="0"/>
                <w:sz w:val="22"/>
                <w:szCs w:val="22"/>
                <w:highlight w:val="none"/>
                <w:u w:val="none"/>
                <w:lang w:val="en-US" w:eastAsia="zh-CN" w:bidi="ar"/>
              </w:rPr>
              <w:t>硬木夹板，经高周波，高压制成，承托力强，耐冲击，抗变形。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 布料：采用麻绒布；阻燃性能通过国家测试合格，（有多种颜色可供选择）。</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 扶手面选用榉木实木或PU胶射出一次成型（PU扶手内有金属骨架；加强了扶手的刚性）。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 写字板：写字板圆铁写字板支架，板面摒弃了市场上常用的铝合金支架易断,这种圆铁写字板支架承重力</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55KG</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经久耐用。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 脚可采用活动脚，有助于更方便移动及调整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立柱是</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2.5mm 厚的冷轧钢板，底脚是</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3.0mm厚的冷轧钢板！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 扶手脚采用不小于2.0mm的钢板经油压、焊接成型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扶手脚底板由不小于2.5mm钢板拉伸成型；使座椅固定于地板上。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9</w:t>
            </w:r>
            <w:r>
              <w:rPr>
                <w:rFonts w:hint="eastAsia" w:ascii="宋体" w:hAnsi="宋体" w:eastAsia="宋体" w:cs="宋体"/>
                <w:i w:val="0"/>
                <w:iCs w:val="0"/>
                <w:color w:val="auto"/>
                <w:kern w:val="0"/>
                <w:sz w:val="22"/>
                <w:szCs w:val="22"/>
                <w:highlight w:val="none"/>
                <w:u w:val="none"/>
                <w:lang w:val="en-US" w:eastAsia="zh-CN" w:bidi="ar"/>
              </w:rPr>
              <w:t>. 中心轴采用直径为</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Φ14的钢棒；支撑椅座及供椅座复位使用。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10</w:t>
            </w:r>
            <w:r>
              <w:rPr>
                <w:rFonts w:hint="eastAsia" w:ascii="宋体" w:hAnsi="宋体" w:eastAsia="宋体" w:cs="宋体"/>
                <w:i w:val="0"/>
                <w:iCs w:val="0"/>
                <w:color w:val="auto"/>
                <w:kern w:val="0"/>
                <w:sz w:val="22"/>
                <w:szCs w:val="22"/>
                <w:highlight w:val="none"/>
                <w:u w:val="none"/>
                <w:lang w:val="en-US" w:eastAsia="zh-CN" w:bidi="ar"/>
              </w:rPr>
              <w:t>. 座位采用内藏自动回复装置，使椅座能自动复位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回复速度快，无杂音，零故障。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11</w:t>
            </w:r>
            <w:r>
              <w:rPr>
                <w:rFonts w:hint="eastAsia" w:ascii="宋体" w:hAnsi="宋体" w:eastAsia="宋体" w:cs="宋体"/>
                <w:i w:val="0"/>
                <w:iCs w:val="0"/>
                <w:color w:val="auto"/>
                <w:kern w:val="0"/>
                <w:sz w:val="22"/>
                <w:szCs w:val="22"/>
                <w:highlight w:val="none"/>
                <w:u w:val="none"/>
                <w:lang w:val="en-US" w:eastAsia="zh-CN" w:bidi="ar"/>
              </w:rPr>
              <w:t>. 按照国家有关标准生产，各种钢制骨架表面经酸洗除锈，碱洗除油，磷化烘干等工艺，采用静电粉末喷涂（哑光黑或灰色）；铁架壁厚均为不小于2.0mm，底脚全部焊接口平直、牢固、无焊疵，焊接处打磨平整，各构件平直，横竖条搭接垂直，插口吻合，底脚与地面用膨胀螺丝紧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装配平整、牢靠、稳定。</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073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位</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C60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w:t>
            </w:r>
          </w:p>
        </w:tc>
      </w:tr>
      <w:tr w14:paraId="46973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150B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2.显示屏系统</w:t>
            </w:r>
          </w:p>
        </w:tc>
      </w:tr>
      <w:tr w14:paraId="48A773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A1E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85CE656">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户内全彩LED屏</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33679C4">
            <w:pPr>
              <w:keepNext w:val="0"/>
              <w:keepLines w:val="0"/>
              <w:widowControl/>
              <w:numPr>
                <w:ilvl w:val="0"/>
                <w:numId w:val="2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显示屏净尺寸4.8m*2.88m=13.824平米，屏体分辨率：1920*1152</w:t>
            </w:r>
            <w:r>
              <w:rPr>
                <w:rFonts w:hint="eastAsia" w:ascii="宋体" w:hAnsi="宋体" w:cs="宋体"/>
                <w:i w:val="0"/>
                <w:iCs w:val="0"/>
                <w:color w:val="auto"/>
                <w:kern w:val="0"/>
                <w:sz w:val="22"/>
                <w:szCs w:val="22"/>
                <w:highlight w:val="none"/>
                <w:u w:val="none"/>
                <w:lang w:val="en-US" w:eastAsia="zh-CN" w:bidi="ar"/>
              </w:rPr>
              <w:t>。</w:t>
            </w:r>
          </w:p>
          <w:p w14:paraId="4E495DFB">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像数点间距≤ 2.5mm 像素密度</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160000Dots/㎡</w:t>
            </w:r>
            <w:r>
              <w:rPr>
                <w:rFonts w:hint="eastAsia" w:ascii="宋体" w:hAnsi="宋体" w:cs="宋体"/>
                <w:i w:val="0"/>
                <w:iCs w:val="0"/>
                <w:color w:val="auto"/>
                <w:kern w:val="0"/>
                <w:sz w:val="22"/>
                <w:szCs w:val="22"/>
                <w:highlight w:val="none"/>
                <w:u w:val="none"/>
                <w:lang w:val="en-US" w:eastAsia="zh-CN" w:bidi="ar"/>
              </w:rPr>
              <w:t>。</w:t>
            </w:r>
          </w:p>
          <w:p w14:paraId="10EC6F4E">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像素构成 1R1G1B 灯管封装 SMD2020</w:t>
            </w:r>
            <w:r>
              <w:rPr>
                <w:rFonts w:hint="eastAsia" w:ascii="宋体" w:hAnsi="宋体" w:cs="宋体"/>
                <w:i w:val="0"/>
                <w:iCs w:val="0"/>
                <w:color w:val="auto"/>
                <w:kern w:val="0"/>
                <w:sz w:val="22"/>
                <w:szCs w:val="22"/>
                <w:highlight w:val="none"/>
                <w:u w:val="none"/>
                <w:lang w:val="en-US" w:eastAsia="zh-CN" w:bidi="ar"/>
              </w:rPr>
              <w:t>。</w:t>
            </w:r>
          </w:p>
          <w:p w14:paraId="158FF34C">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尺寸(长*宽*厚) </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320*160*15mm 重量 0.37kg±0.01kg</w:t>
            </w:r>
            <w:r>
              <w:rPr>
                <w:rFonts w:hint="eastAsia" w:ascii="宋体" w:hAnsi="宋体" w:cs="宋体"/>
                <w:i w:val="0"/>
                <w:iCs w:val="0"/>
                <w:color w:val="auto"/>
                <w:kern w:val="0"/>
                <w:sz w:val="22"/>
                <w:szCs w:val="22"/>
                <w:highlight w:val="none"/>
                <w:u w:val="none"/>
                <w:lang w:val="en-US" w:eastAsia="zh-CN" w:bidi="ar"/>
              </w:rPr>
              <w:t>。</w:t>
            </w:r>
          </w:p>
          <w:p w14:paraId="63E3D725">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结构特点 灯驱合一 单元板分辨率 128*64=8192Dots</w:t>
            </w:r>
            <w:r>
              <w:rPr>
                <w:rFonts w:hint="eastAsia" w:ascii="宋体" w:hAnsi="宋体" w:cs="宋体"/>
                <w:i w:val="0"/>
                <w:iCs w:val="0"/>
                <w:color w:val="auto"/>
                <w:kern w:val="0"/>
                <w:sz w:val="22"/>
                <w:szCs w:val="22"/>
                <w:highlight w:val="none"/>
                <w:u w:val="none"/>
                <w:lang w:val="en-US" w:eastAsia="zh-CN" w:bidi="ar"/>
              </w:rPr>
              <w:t>。</w:t>
            </w:r>
          </w:p>
          <w:p w14:paraId="004D0AA2">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输入电压(直流) 4.5±0.1V 最大电流 ≤5.2A</w:t>
            </w:r>
            <w:r>
              <w:rPr>
                <w:rFonts w:hint="eastAsia" w:ascii="宋体" w:hAnsi="宋体" w:cs="宋体"/>
                <w:i w:val="0"/>
                <w:iCs w:val="0"/>
                <w:color w:val="auto"/>
                <w:kern w:val="0"/>
                <w:sz w:val="22"/>
                <w:szCs w:val="22"/>
                <w:highlight w:val="none"/>
                <w:u w:val="none"/>
                <w:lang w:val="en-US" w:eastAsia="zh-CN" w:bidi="ar"/>
              </w:rPr>
              <w:t>。</w:t>
            </w:r>
          </w:p>
          <w:p w14:paraId="715F5E9C">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单元板功率 ≤23W 驱动方式 1/64恒流驱动</w:t>
            </w:r>
            <w:r>
              <w:rPr>
                <w:rFonts w:hint="eastAsia" w:ascii="宋体" w:hAnsi="宋体" w:cs="宋体"/>
                <w:i w:val="0"/>
                <w:iCs w:val="0"/>
                <w:color w:val="auto"/>
                <w:kern w:val="0"/>
                <w:sz w:val="22"/>
                <w:szCs w:val="22"/>
                <w:highlight w:val="none"/>
                <w:u w:val="none"/>
                <w:lang w:val="en-US" w:eastAsia="zh-CN" w:bidi="ar"/>
              </w:rPr>
              <w:t>。</w:t>
            </w:r>
          </w:p>
          <w:p w14:paraId="67DF917A">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亮度 ≥400cd/㎡ 亮度均匀性 ＞0.95</w:t>
            </w:r>
            <w:r>
              <w:rPr>
                <w:rFonts w:hint="eastAsia" w:ascii="宋体" w:hAnsi="宋体" w:cs="宋体"/>
                <w:i w:val="0"/>
                <w:iCs w:val="0"/>
                <w:color w:val="auto"/>
                <w:kern w:val="0"/>
                <w:sz w:val="22"/>
                <w:szCs w:val="22"/>
                <w:highlight w:val="none"/>
                <w:u w:val="none"/>
                <w:lang w:val="en-US" w:eastAsia="zh-CN" w:bidi="ar"/>
              </w:rPr>
              <w:t>。</w:t>
            </w:r>
          </w:p>
          <w:p w14:paraId="219FD20F">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屏幕水平视角 140±10度 屏幕垂直视角 130±10度</w:t>
            </w:r>
            <w:r>
              <w:rPr>
                <w:rFonts w:hint="eastAsia" w:ascii="宋体" w:hAnsi="宋体" w:cs="宋体"/>
                <w:i w:val="0"/>
                <w:iCs w:val="0"/>
                <w:color w:val="auto"/>
                <w:kern w:val="0"/>
                <w:sz w:val="22"/>
                <w:szCs w:val="22"/>
                <w:highlight w:val="none"/>
                <w:u w:val="none"/>
                <w:lang w:val="en-US" w:eastAsia="zh-CN" w:bidi="ar"/>
              </w:rPr>
              <w:t>。</w:t>
            </w:r>
          </w:p>
          <w:p w14:paraId="3C044C5B">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最佳视距 ≥2.5m 使用环境 室内</w:t>
            </w:r>
            <w:r>
              <w:rPr>
                <w:rFonts w:hint="eastAsia" w:ascii="宋体" w:hAnsi="宋体" w:cs="宋体"/>
                <w:i w:val="0"/>
                <w:iCs w:val="0"/>
                <w:color w:val="auto"/>
                <w:kern w:val="0"/>
                <w:sz w:val="22"/>
                <w:szCs w:val="22"/>
                <w:highlight w:val="none"/>
                <w:u w:val="none"/>
                <w:lang w:val="en-US" w:eastAsia="zh-CN" w:bidi="ar"/>
              </w:rPr>
              <w:t>。</w:t>
            </w:r>
          </w:p>
          <w:p w14:paraId="54695900">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每平方单元板最大功率 ≤457W/㎡ </w:t>
            </w:r>
            <w:r>
              <w:rPr>
                <w:rFonts w:hint="eastAsia" w:ascii="宋体" w:hAnsi="宋体" w:cs="宋体"/>
                <w:i w:val="0"/>
                <w:iCs w:val="0"/>
                <w:color w:val="auto"/>
                <w:kern w:val="0"/>
                <w:sz w:val="22"/>
                <w:szCs w:val="22"/>
                <w:highlight w:val="none"/>
                <w:u w:val="none"/>
                <w:lang w:val="en-US" w:eastAsia="zh-CN" w:bidi="ar"/>
              </w:rPr>
              <w:t>。</w:t>
            </w:r>
          </w:p>
          <w:p w14:paraId="1E9DA8EC">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配电功率（每平方最大功率÷78%÷85%） ≤689W/m2</w:t>
            </w:r>
            <w:r>
              <w:rPr>
                <w:rFonts w:hint="eastAsia" w:ascii="宋体" w:hAnsi="宋体" w:cs="宋体"/>
                <w:i w:val="0"/>
                <w:iCs w:val="0"/>
                <w:color w:val="auto"/>
                <w:kern w:val="0"/>
                <w:sz w:val="22"/>
                <w:szCs w:val="22"/>
                <w:highlight w:val="none"/>
                <w:u w:val="none"/>
                <w:lang w:val="en-US" w:eastAsia="zh-CN" w:bidi="ar"/>
              </w:rPr>
              <w:t>。</w:t>
            </w:r>
          </w:p>
          <w:p w14:paraId="601A1F3D">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灰度等级 红、绿、蓝各12-14bits 显示颜色 43980亿种</w:t>
            </w:r>
            <w:r>
              <w:rPr>
                <w:rFonts w:hint="eastAsia" w:ascii="宋体" w:hAnsi="宋体" w:cs="宋体"/>
                <w:i w:val="0"/>
                <w:iCs w:val="0"/>
                <w:color w:val="auto"/>
                <w:kern w:val="0"/>
                <w:sz w:val="22"/>
                <w:szCs w:val="22"/>
                <w:highlight w:val="none"/>
                <w:u w:val="none"/>
                <w:lang w:val="en-US" w:eastAsia="zh-CN" w:bidi="ar"/>
              </w:rPr>
              <w:t>。</w:t>
            </w:r>
          </w:p>
          <w:p w14:paraId="1EE2EC94">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换帧频率 ≥60帧/秒 刷新频率 3840Hz</w:t>
            </w:r>
            <w:r>
              <w:rPr>
                <w:rFonts w:hint="eastAsia" w:ascii="宋体" w:hAnsi="宋体" w:cs="宋体"/>
                <w:i w:val="0"/>
                <w:iCs w:val="0"/>
                <w:color w:val="auto"/>
                <w:kern w:val="0"/>
                <w:sz w:val="22"/>
                <w:szCs w:val="22"/>
                <w:highlight w:val="none"/>
                <w:u w:val="none"/>
                <w:lang w:val="en-US" w:eastAsia="zh-CN" w:bidi="ar"/>
              </w:rPr>
              <w:t>。</w:t>
            </w:r>
          </w:p>
          <w:p w14:paraId="4FB0336C">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控制方式 计算机控制，逐点一一对应，视频同步，实时显示 亮度调节 256级手动/自动</w:t>
            </w:r>
            <w:r>
              <w:rPr>
                <w:rFonts w:hint="eastAsia" w:ascii="宋体" w:hAnsi="宋体" w:cs="宋体"/>
                <w:i w:val="0"/>
                <w:iCs w:val="0"/>
                <w:color w:val="auto"/>
                <w:kern w:val="0"/>
                <w:sz w:val="22"/>
                <w:szCs w:val="22"/>
                <w:highlight w:val="none"/>
                <w:u w:val="none"/>
                <w:lang w:val="en-US" w:eastAsia="zh-CN" w:bidi="ar"/>
              </w:rPr>
              <w:t>。</w:t>
            </w:r>
          </w:p>
          <w:p w14:paraId="408252FE">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输入信号 DVI/VGA/HDMI/DP、复合视频信号、S-VIDEO、YpbPr(HDTV) </w:t>
            </w:r>
            <w:r>
              <w:rPr>
                <w:rFonts w:hint="eastAsia" w:ascii="宋体" w:hAnsi="宋体" w:cs="宋体"/>
                <w:i w:val="0"/>
                <w:iCs w:val="0"/>
                <w:color w:val="auto"/>
                <w:kern w:val="0"/>
                <w:sz w:val="22"/>
                <w:szCs w:val="22"/>
                <w:highlight w:val="none"/>
                <w:u w:val="none"/>
                <w:lang w:val="en-US" w:eastAsia="zh-CN" w:bidi="ar"/>
              </w:rPr>
              <w:t>。</w:t>
            </w:r>
          </w:p>
          <w:p w14:paraId="0AE3D34F">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平均无故障时间 ≥5000小时</w:t>
            </w:r>
            <w:r>
              <w:rPr>
                <w:rFonts w:hint="eastAsia" w:ascii="宋体" w:hAnsi="宋体" w:cs="宋体"/>
                <w:i w:val="0"/>
                <w:iCs w:val="0"/>
                <w:color w:val="auto"/>
                <w:kern w:val="0"/>
                <w:sz w:val="22"/>
                <w:szCs w:val="22"/>
                <w:highlight w:val="none"/>
                <w:u w:val="none"/>
                <w:lang w:val="en-US" w:eastAsia="zh-CN" w:bidi="ar"/>
              </w:rPr>
              <w:t>。</w:t>
            </w:r>
          </w:p>
          <w:p w14:paraId="346EEBA5">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工作温度范围 -20-40℃ 工作湿度范围 10％-65％RH(无结露)</w:t>
            </w:r>
            <w:r>
              <w:rPr>
                <w:rFonts w:hint="eastAsia" w:ascii="宋体" w:hAnsi="宋体" w:cs="宋体"/>
                <w:i w:val="0"/>
                <w:iCs w:val="0"/>
                <w:color w:val="auto"/>
                <w:kern w:val="0"/>
                <w:sz w:val="22"/>
                <w:szCs w:val="22"/>
                <w:highlight w:val="none"/>
                <w:u w:val="none"/>
                <w:lang w:val="en-US" w:eastAsia="zh-CN" w:bidi="ar"/>
              </w:rPr>
              <w:t>。</w:t>
            </w:r>
          </w:p>
          <w:p w14:paraId="2786CD62">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防护性能 超温/过载/掉电/图像补偿/各种校正技术/过流/过压/防雷(可选项)</w:t>
            </w:r>
            <w:r>
              <w:rPr>
                <w:rFonts w:hint="eastAsia" w:ascii="宋体" w:hAnsi="宋体" w:cs="宋体"/>
                <w:i w:val="0"/>
                <w:iCs w:val="0"/>
                <w:color w:val="auto"/>
                <w:kern w:val="0"/>
                <w:sz w:val="22"/>
                <w:szCs w:val="22"/>
                <w:highlight w:val="none"/>
                <w:u w:val="none"/>
                <w:lang w:val="en-US" w:eastAsia="zh-CN" w:bidi="ar"/>
              </w:rPr>
              <w:t>。</w:t>
            </w:r>
          </w:p>
          <w:p w14:paraId="64CF2046">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屏幕水平平整度 ＜1mm/㎡</w:t>
            </w:r>
            <w:r>
              <w:rPr>
                <w:rFonts w:hint="eastAsia" w:ascii="宋体" w:hAnsi="宋体" w:cs="宋体"/>
                <w:i w:val="0"/>
                <w:iCs w:val="0"/>
                <w:color w:val="auto"/>
                <w:kern w:val="0"/>
                <w:sz w:val="22"/>
                <w:szCs w:val="22"/>
                <w:highlight w:val="none"/>
                <w:u w:val="none"/>
                <w:lang w:val="en-US" w:eastAsia="zh-CN" w:bidi="ar"/>
              </w:rPr>
              <w:t>。</w:t>
            </w:r>
          </w:p>
          <w:p w14:paraId="7E67C98E">
            <w:pPr>
              <w:keepNext w:val="0"/>
              <w:keepLines w:val="0"/>
              <w:widowControl/>
              <w:numPr>
                <w:ilvl w:val="0"/>
                <w:numId w:val="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屏幕垂直平整度 ＜1mm/㎡</w:t>
            </w:r>
            <w:r>
              <w:rPr>
                <w:rFonts w:hint="eastAsia" w:ascii="宋体" w:hAnsi="宋体" w:cs="宋体"/>
                <w:i w:val="0"/>
                <w:iCs w:val="0"/>
                <w:color w:val="auto"/>
                <w:kern w:val="0"/>
                <w:sz w:val="22"/>
                <w:szCs w:val="22"/>
                <w:highlight w:val="none"/>
                <w:u w:val="none"/>
                <w:lang w:val="en-US" w:eastAsia="zh-CN" w:bidi="ar"/>
              </w:rPr>
              <w:t>。</w:t>
            </w:r>
          </w:p>
          <w:p w14:paraId="3C9669B1">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仿宋" w:hAnsi="仿宋" w:eastAsia="仿宋" w:cs="仿宋"/>
                <w:color w:val="auto"/>
                <w:sz w:val="21"/>
                <w:szCs w:val="21"/>
                <w:highlight w:val="none"/>
                <w:lang w:val="en-US" w:eastAsia="zh-CN"/>
              </w:rPr>
              <w:t>22.</w:t>
            </w:r>
            <w:r>
              <w:rPr>
                <w:rFonts w:hint="eastAsia" w:ascii="宋体" w:hAnsi="宋体" w:eastAsia="宋体" w:cs="宋体"/>
                <w:i w:val="0"/>
                <w:iCs w:val="0"/>
                <w:color w:val="auto"/>
                <w:sz w:val="22"/>
                <w:szCs w:val="22"/>
                <w:highlight w:val="none"/>
                <w:u w:val="none"/>
              </w:rPr>
              <w:t>具备低蓝光模式，可在控制软件中选择30%、40%、70%三档调节显示屏蓝光输出，有效减少蓝光辐射对眼睛的伤害</w:t>
            </w:r>
            <w:r>
              <w:rPr>
                <w:rFonts w:hint="eastAsia" w:ascii="宋体" w:hAnsi="宋体" w:eastAsia="宋体" w:cs="宋体"/>
                <w:i w:val="0"/>
                <w:iCs w:val="0"/>
                <w:color w:val="auto"/>
                <w:sz w:val="22"/>
                <w:szCs w:val="22"/>
                <w:highlight w:val="none"/>
                <w:u w:val="none"/>
                <w:lang w:val="en-US" w:eastAsia="zh-CN"/>
              </w:rPr>
              <w:t>的</w:t>
            </w:r>
            <w:r>
              <w:rPr>
                <w:rFonts w:hint="eastAsia" w:ascii="宋体" w:hAnsi="宋体" w:eastAsia="宋体" w:cs="宋体"/>
                <w:i w:val="0"/>
                <w:iCs w:val="0"/>
                <w:color w:val="auto"/>
                <w:sz w:val="22"/>
                <w:szCs w:val="22"/>
                <w:highlight w:val="none"/>
                <w:u w:val="none"/>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7E780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85E66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13.8240 </w:t>
            </w:r>
          </w:p>
        </w:tc>
      </w:tr>
      <w:tr w14:paraId="0E36F2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20D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B77B9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视频处理器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D1405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1.采用1U标准机箱，配置4路千兆网口，输出连接LED屏幕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2.支持单机最大带载260万像素点，最宽3840像素或最高2000像素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3.支持2路HDMI1.4、1路DVI、1路VGA、1路CVBS视频信号输入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4.支持最大输入分辨率1920×1080@60Hz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5.支持8bit色深视频源输入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6.支持23.976~120Hz输入帧率适应技术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7.支持单画面显示，画面大小和位置可自由调节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8.支持视频信号任意裁剪、切换、缩放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9.支持16个场景的保存和调用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10.支持U盘播放图片、视频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11.支持OSD遥控屏幕菜单控制图像、声音、设置等（选配遥控器）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12.支持画面调整，可调节设备输出的对比度、饱和度、色调、亮度补偿、锐度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13.支持亮度调节，通过设备液晶面板或软件100级控制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14.支持色温调节，可调节显示屏2000K~10000K区间色温值</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15.支持低亮高灰，有效保证低亮度下的灰阶完整显示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16.支持精确颜色管理，可调节显示屏色域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17.支持音频传输，通过HDMI解析和3.5mm独立音频输入输出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18.支持亮度自动调节，通过多功能卡配置亮度传感器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19.支持环境信息实时监测，通过多功能卡配置对应传感器如空气质量、噪音等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20.支持单机网口冗余备份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21.支持HDCP协议的高带宽数字内容保护技术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22.支持USB和RS232串口控制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23.工作电压：AC 100V~240V,50/60Hz，额定功率10W</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BFC13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356BF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6357A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45E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3F5E6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台式电脑（强制采购节能产品）</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D1DA0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1.处理器：</w:t>
            </w:r>
            <w:r>
              <w:rPr>
                <w:rFonts w:hint="eastAsia" w:ascii="宋体" w:hAnsi="宋体" w:cs="宋体"/>
                <w:i w:val="0"/>
                <w:iCs w:val="0"/>
                <w:color w:val="auto"/>
                <w:kern w:val="0"/>
                <w:sz w:val="22"/>
                <w:szCs w:val="22"/>
                <w:highlight w:val="none"/>
                <w:u w:val="none"/>
                <w:lang w:val="en-US" w:eastAsia="zh-CN" w:bidi="ar"/>
              </w:rPr>
              <w:t>性能</w:t>
            </w:r>
            <w:r>
              <w:rPr>
                <w:rFonts w:hint="eastAsia" w:ascii="宋体" w:hAnsi="宋体" w:eastAsia="宋体" w:cs="宋体"/>
                <w:i w:val="0"/>
                <w:iCs w:val="0"/>
                <w:color w:val="auto"/>
                <w:kern w:val="0"/>
                <w:sz w:val="22"/>
                <w:szCs w:val="22"/>
                <w:highlight w:val="none"/>
                <w:u w:val="none"/>
                <w:lang w:val="en-US" w:eastAsia="zh-CN" w:bidi="ar"/>
              </w:rPr>
              <w:t>不低于13</w:t>
            </w:r>
            <w:r>
              <w:rPr>
                <w:rFonts w:hint="eastAsia" w:ascii="宋体" w:hAnsi="宋体" w:cs="宋体"/>
                <w:i w:val="0"/>
                <w:iCs w:val="0"/>
                <w:color w:val="auto"/>
                <w:kern w:val="0"/>
                <w:sz w:val="22"/>
                <w:szCs w:val="22"/>
                <w:highlight w:val="none"/>
                <w:u w:val="none"/>
                <w:lang w:val="en-US" w:eastAsia="zh-CN" w:bidi="ar"/>
              </w:rPr>
              <w:t>或</w:t>
            </w:r>
            <w:r>
              <w:rPr>
                <w:rFonts w:hint="eastAsia" w:ascii="宋体" w:hAnsi="宋体" w:eastAsia="宋体" w:cs="宋体"/>
                <w:i w:val="0"/>
                <w:iCs w:val="0"/>
                <w:color w:val="auto"/>
                <w:kern w:val="0"/>
                <w:sz w:val="22"/>
                <w:szCs w:val="22"/>
                <w:highlight w:val="none"/>
                <w:u w:val="none"/>
                <w:lang w:val="en-US" w:eastAsia="zh-CN" w:bidi="ar"/>
              </w:rPr>
              <w:t>I5</w:t>
            </w:r>
            <w:r>
              <w:rPr>
                <w:rFonts w:hint="eastAsia" w:ascii="宋体" w:hAnsi="宋体" w:cs="宋体"/>
                <w:i w:val="0"/>
                <w:iCs w:val="0"/>
                <w:color w:val="auto"/>
                <w:kern w:val="0"/>
                <w:sz w:val="22"/>
                <w:szCs w:val="22"/>
                <w:highlight w:val="none"/>
                <w:u w:val="none"/>
                <w:lang w:val="en-US" w:eastAsia="zh-CN" w:bidi="ar"/>
              </w:rPr>
              <w:t>的国产</w:t>
            </w:r>
            <w:r>
              <w:rPr>
                <w:rFonts w:hint="eastAsia" w:ascii="宋体" w:hAnsi="宋体" w:eastAsia="宋体" w:cs="宋体"/>
                <w:i w:val="0"/>
                <w:iCs w:val="0"/>
                <w:color w:val="auto"/>
                <w:kern w:val="0"/>
                <w:sz w:val="22"/>
                <w:szCs w:val="22"/>
                <w:highlight w:val="none"/>
                <w:u w:val="none"/>
                <w:lang w:val="en-US" w:eastAsia="zh-CN" w:bidi="ar"/>
              </w:rPr>
              <w:t>处理器。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2.内存：</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16G</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3.硬盘：1TB SSD</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5.包含</w:t>
            </w:r>
            <w:r>
              <w:rPr>
                <w:rStyle w:val="154"/>
                <w:rFonts w:hint="eastAsia" w:ascii="宋体" w:hAnsi="宋体" w:eastAsia="宋体" w:cs="宋体"/>
                <w:color w:val="auto"/>
                <w:highlight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21.45英寸显示器</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F9840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7CB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E0365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0FD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CED9A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配电柜</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371B1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1.具备过流、短路、断路、过载、浪涌等全方位电气保护措施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2.具备实体按键、手持遥控器、电脑远控等多种控制方式，快捷方便，实体按键和手持遥控器仅对整个电箱同时上下电，其中手持遥控器在空旷距离下控制距离可达800米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3.具备单台、集群管理功能，采用RS485有线以太网等多种远程通信端口，在局域网内任意一台电脑进行控制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4.具备设置4组开关时间，支持每天定时通电和断电功能，设定完成后系统自动循环，满足不同场合的管理需求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5.具备通过PLC软件实现实时温度、湿度监测，实时烟雾监测，高温、高湿、烟雾告警自动断电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6.具备触发告警后，电脑自动强制弹屏提示，PLC模块、电脑蜂鸣器长鸣等多种告警方式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7.具备继电器回路整体上下电，也可通过PLC软件单独控制每个接触器的上下电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8.烟雾485通讯探头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9.壁挂式安装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10.PLC软件具备中英文双语切换界面，可运行于银河麒麟、统信、鸿蒙HarmonyOS等国产操作系统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11.PLC软件具备自动保存所有操作记录、告警记录、温湿度运行数据，支持历史记录查询，导出Excel文档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1.额定功率：10kW，输出路数:3路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2.交流接触器：(额定电流32A)*1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3.额定电流：16.8A，主断路器电流:40A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4.输入电压：三相五线制AC380V±10％，频率50Hz±5％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5.输出电压：单相220VAC</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6.控制方式：PLC远程控制+手动控制+定时控制+中控控制+遥控控制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7.内置避雷器：具有避雷防雷功能，B级防雷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8.温度测量范围：-40~+85℃，±0.3℃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9.湿度测量范围：0~100%RH，±2%RH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10.工作环境湿度：0%—95%RH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11.工作环境温度：‐10℃~+80℃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12.设备材质：冷扎钢加烤漆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13.备用三孔万能插座：10A-16A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14.外壳防护等级：IP30</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4707D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B41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F6CA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F6E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43B7E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275AD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1.用于安装支撑屏体的结构及安装费用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2.包边要求：采用铝塑板，不锈钢进行包边，颜色默认为黑色及灰色，或客户自选</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BC992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DE232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13.8240 </w:t>
            </w:r>
          </w:p>
        </w:tc>
      </w:tr>
      <w:tr w14:paraId="2A7F3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AA0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176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辅材</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2E5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屏体连接线：短网线、三芯电缆线、长排线，5V卡线</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6F155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82DC8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13.8240 </w:t>
            </w:r>
          </w:p>
        </w:tc>
      </w:tr>
      <w:tr w14:paraId="01CF6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4531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3.舞台灯光系统</w:t>
            </w:r>
          </w:p>
        </w:tc>
      </w:tr>
      <w:tr w14:paraId="0405B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8904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10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1027F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固定染色灯</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BA1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1.调光：0-100%电子线性调光，无抖动平滑调光技术。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2.频闪：0-25次/秒电子频闪，速度可调节，内置随机频闪或脉冲频闪。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3.混色系统：RGBWAP(红绿蓝白琥珀紫)线性混色，42亿种颜色（0-100%饱和度可调），内置宏功能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rPr>
              <w:t>支持3200K-7200K色温线性调节。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4.特点：光效高，混色均匀，铸铝外壳散热好，性能稳定。配一进一出手拉手电源线和信号线（各1.3米长），提高现场布灯效率。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5.软件更新：支持DMX信号更新、云端服务器远程在线更新，软件更新快速便捷。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6.显示界面：数码管显示；配置4个机械按键。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7.温度保护：内置NTC温度控测功能，当LED工作过热时，智能降低LED的输出功率。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1.输入电压：AC 110-240V，50/60Hz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180W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4.光源：18×10W RGBWAP六合一LED</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5.光源平均寿命：</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50000H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6.色温：3200K-7200K</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7.色容差：单色SDCM≤5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8.光通量：</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52</w:t>
            </w:r>
            <w:r>
              <w:rPr>
                <w:rFonts w:hint="eastAsia" w:ascii="宋体" w:hAnsi="宋体" w:cs="宋体"/>
                <w:i w:val="0"/>
                <w:iCs w:val="0"/>
                <w:color w:val="auto"/>
                <w:kern w:val="0"/>
                <w:sz w:val="22"/>
                <w:szCs w:val="22"/>
                <w:highlight w:val="none"/>
                <w:u w:val="none"/>
                <w:lang w:val="en-US" w:eastAsia="zh-CN" w:bidi="ar"/>
              </w:rPr>
              <w:t>000</w:t>
            </w:r>
            <w:r>
              <w:rPr>
                <w:rFonts w:hint="eastAsia" w:ascii="宋体" w:hAnsi="宋体" w:eastAsia="宋体" w:cs="宋体"/>
                <w:i w:val="0"/>
                <w:iCs w:val="0"/>
                <w:color w:val="auto"/>
                <w:kern w:val="0"/>
                <w:sz w:val="22"/>
                <w:szCs w:val="22"/>
                <w:highlight w:val="none"/>
                <w:u w:val="none"/>
                <w:lang w:val="en-US" w:eastAsia="zh-CN" w:bidi="ar"/>
              </w:rPr>
              <w:t>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9.显色指数：Ra≥90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10.光束角度：20°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11.光斑角度：50°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12.控制方式：DMX512协议，RDM协议，内置主从模式、自走模式、声控模式、手动控制模式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13.通道模式：精简模式6CH，标准模式10CH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14.声控灵敏度：65dB-130dB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15.外壳材料：铸铝外壳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16.电源接口：1个电源输入接口，1个电源输出接口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17.信号接口：1个DMX512输入接口，1个DMX512输出接口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19.防护等级：防火V-1，防护IP20</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1685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0C6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253C3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F0C5E">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6-1</w:t>
            </w:r>
            <w:r>
              <w:rPr>
                <w:rFonts w:hint="eastAsia" w:ascii="宋体" w:hAnsi="宋体" w:cs="宋体"/>
                <w:i w:val="0"/>
                <w:iCs w:val="0"/>
                <w:color w:val="auto"/>
                <w:kern w:val="0"/>
                <w:sz w:val="22"/>
                <w:szCs w:val="22"/>
                <w:highlight w:val="none"/>
                <w:u w:val="none"/>
                <w:lang w:val="en-US" w:eastAsia="zh-CN" w:bidi="ar"/>
              </w:rPr>
              <w:t>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C6B75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影视灯</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445D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1.调光：0-100%电子线性调光，无抖动平滑调光技术。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2.频闪：0-25次/秒电子频闪，速度可调节，内置随机频闪或脉冲频闪。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3.混色系统：暖白+冷白2种颜色可线性混光调色温。</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4.软件更新：支持DMX信号更新、云端服务器远程在线更新，软件更新快速便捷；</w:t>
            </w:r>
          </w:p>
          <w:p w14:paraId="2D75445F">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bidi="ar"/>
              </w:rPr>
              <w:t>5.显示界面：采用1.8英寸蓝屏LCD显示屏；配置4个机械按键。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6.智能散热：采用高效可调速风扇+智能温控算法，根据灯具内部温度动态调整风扇转速，平衡噪音与散热效率。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7.温度保护：内置多重传感器，当温度超过安全阈值时智能降低光源的输出功率或暂时关闭。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1.输入电压：AC 110-240V，50/60Hz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2.额定功率：320W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4.光源：630*0.5W LED（WW300+CW330）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5.光源平均寿命：≥50000H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6.色温：</w:t>
            </w:r>
            <w:r>
              <w:rPr>
                <w:rFonts w:hint="eastAsia" w:ascii="宋体" w:hAnsi="宋体" w:cs="宋体"/>
                <w:i w:val="0"/>
                <w:iCs w:val="0"/>
                <w:color w:val="auto"/>
                <w:kern w:val="0"/>
                <w:sz w:val="22"/>
                <w:szCs w:val="22"/>
                <w:highlight w:val="none"/>
                <w:u w:val="none"/>
                <w:lang w:val="en-US" w:eastAsia="zh-CN"/>
              </w:rPr>
              <w:t>支持3000K-6500K色温线性调节。</w:t>
            </w:r>
          </w:p>
          <w:p w14:paraId="2FB3EA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7.色容差：SDCM≤3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8.光通量：≥16180lm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9.显色指数：Ra≥95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10.光斑角度：≥100°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11.通道模式：精简模式2CH，标准模式6CH，拓展模式7CH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12.控制方式：DMX512协议，RDM协议，内置主从模式、自走模式、手动控制模式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13.外壳材料：铝合金结构+阻燃塑料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14.电源接口：1个电源输入接口，1个电源输出接口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15.信号接口：1个DMX512输入接口，1个DMX512输出接口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17.防护等级：IP20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18.灯具尺寸（L×W×H）：≥559×354×155mm</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DEEE4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557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1306C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7C5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6-1</w:t>
            </w:r>
            <w:r>
              <w:rPr>
                <w:rFonts w:hint="eastAsia" w:ascii="宋体" w:hAnsi="宋体" w:cs="宋体"/>
                <w:i w:val="0"/>
                <w:iCs w:val="0"/>
                <w:color w:val="auto"/>
                <w:kern w:val="0"/>
                <w:sz w:val="22"/>
                <w:szCs w:val="22"/>
                <w:highlight w:val="none"/>
                <w:u w:val="none"/>
                <w:lang w:val="en-US" w:eastAsia="zh-CN" w:bidi="ar"/>
              </w:rPr>
              <w:t>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23D7C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固定染色灯</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337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1.调光：0-100%电子线性调光，无抖动平滑调光技术。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2.频闪：0-25次/秒电子频闪，速度可调节，内置随机频闪或脉冲频闪。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3.混色系统：RGBW(红绿蓝白)线性混色；1680万种颜色（0-100%饱和度可调），内置宏功能。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4.特点：光效高，混色均匀，铸铝外壳散热好，性能稳定。配一进一出手拉手电源线和信号线（各1.3米长），提高现场布灯效率。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5.软件更新：支持DMX信号更新、云端服务器远程在线更新，软件更新快速便捷。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6.显示界面：数码管显示；配置4个机械按键。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7.温度保护：内置NTC温度控测功能，当LED工作过热时，智能降低LED的输出功率。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1.输入电压：AC 110-240V，50/60Hz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2.额定功率：165W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4.光源：54×3W LED(R14+G14+B14+W12)</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5.光源平均寿命：≥50000H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6.色温：3200K-7200K</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7.色容差：单色SDCM≤5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8.光通量：≥5887lm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9.显色指数：Ra≥75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10.光束角度：≥15°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11.光斑角度：≥30°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12.控制方式：DMX512协议，RDM协议，内置主从模式、自走模式、声控模式、手动控制模式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13.通道模式：精简模式4CH，标准模式8CH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14.声控灵敏度：65dB-130dB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15.外壳材料：铸铝外壳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16.电源接口：1个电源输入接口，1个电源输出接口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17.信号接口：1个DMX512输入接口，1个DMX512输出接口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19.防护等级：防火V-1，防护IP20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20.产品尺寸（L×W×H）：≥287×215×330mm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5A058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849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41BB2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949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6-1</w:t>
            </w:r>
            <w:r>
              <w:rPr>
                <w:rFonts w:hint="eastAsia" w:ascii="宋体" w:hAnsi="宋体" w:cs="宋体"/>
                <w:i w:val="0"/>
                <w:iCs w:val="0"/>
                <w:color w:val="auto"/>
                <w:kern w:val="0"/>
                <w:sz w:val="22"/>
                <w:szCs w:val="22"/>
                <w:highlight w:val="none"/>
                <w:u w:val="none"/>
                <w:lang w:val="en-US" w:eastAsia="zh-CN" w:bidi="ar"/>
              </w:rPr>
              <w:t>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A74AA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摇头灯</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372B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1.光学系统：采用耐高温高透光学玻璃材质光学镜组（6层镀膜），φ145mm口径出光镜头。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2.调光：0-100%线性调光，支持4种调光曲线（平方曲线、反曲线、直线和S曲线），满足不同的场合使用需求。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3.频闪：0-23次/秒双片式频闪，速度可调节，内置随机频闪或脉冲频闪。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4.颜色盘：14个颜色+1个白光，双向彩虹效果，速度可调，任意定位功能。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5.固定图案盘：16个固定图案+1个白光，单向流水，速度可调，任意定位功能。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6.调焦：线性电动调焦。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7.棱镜：1个十六棱镜+1个六排镜，可正反旋转，速度可调，棱镜叠加功能。</w:t>
            </w:r>
          </w:p>
          <w:p w14:paraId="4B181FE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8.雾化：1个独立的雾化片，实现柔光雾化效果。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9.扫描范围：X轴540°或630°（16位精密扫描)，Y轴270°(16位精密扫描)电子纠错，采用非触式磁旋编码器定位，精确扫描定位，信号反馈，绝对位置记忆。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10.软件更新：支持DMX信号更新、云端服务器远程在线更新，软件更新快速便捷。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11.显示界面：采用≥2.8英寸全触控LCD显示屏，配置≥5个机械按键，配备可视化UI界面，提供直观操作体验，可轻松调节颜色和亮度等参数；支持中、英两种语言随意切换，以及字体倒转180°显示功能。</w:t>
            </w:r>
          </w:p>
          <w:p w14:paraId="6C458BC3">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12.实时监控：通过实时监控风扇转速，可以在显示屏上直观地显示风扇的旋转状态和速度，帮助用户更好地了解设备的运行状态和散热情况。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13.智能散热：采用高效可调速风扇+智能温控算法，根据灯具内部温度动态调整风扇转速，平衡噪音与散热效率。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14.温度保护：内置多重传感器，当温度超过安全阈值时智能降低光源的输出功率或暂时关闭。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15.场景编辑：配备20个独立可编辑场景，单机编程录制出多变的场景灯光效果。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16.弹窗预警：支持弹窗式预警功能，在设备运行出现故障或其他问题时自动弹出一个警告窗口，及时提醒用户设备出现的问题，以便用户能够及时采取措施。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17.屏保模式：支持六种屏保模式，当显示屏在一段时间内没有活动时，将自动进入屏保模式，以节省电能并保护显示器。</w:t>
            </w:r>
          </w:p>
          <w:p w14:paraId="2FC510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shd w:val="clear"/>
                <w:lang w:val="en-US" w:eastAsia="zh-CN" w:bidi="ar"/>
              </w:rPr>
              <w:t>▲18.支持通过在线服务小程序提交工单，可提交的类型包括“维护”、“指导调试”、“指导安装”、“指导布线”、“远程调试”类别可选。（提供功能界面截图佐证或提供第三方检验报告复印件，证明材料需体现该功能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1.输入电压：AC 110-240V，50/60Hz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2.额定功率：350W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4.镇流器：电子镇流器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5.光源：OSRAM 251W灯泡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6.光源平均寿命：≥3000H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7.色温：6000K-7800K</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8.光通量：≥12500lm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9.显色指数：Ra≥80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10.光束角度：2.5°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11.控制方式：DMX512协议，RDM协议，内置主从模式、自走模式、声控模式、手动控制模式、单机编程控制模式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12.通道模式：精简模式13CH，标准模式15CH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13.外壳材料：耐高温塑料+模压合金材料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14.电源接口：1个电源输入接口，1个电源输出接口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15.信号接口：1个DMX512输入接口，1个DMX512输出接口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17.防护等级：IP20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18.产品尺寸（L×W×H）：≥340×240×506mm</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6C6FB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3F1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15ADAC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DF5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6-1</w:t>
            </w:r>
            <w:r>
              <w:rPr>
                <w:rFonts w:hint="eastAsia" w:ascii="宋体" w:hAnsi="宋体" w:cs="宋体"/>
                <w:i w:val="0"/>
                <w:iCs w:val="0"/>
                <w:color w:val="auto"/>
                <w:kern w:val="0"/>
                <w:sz w:val="22"/>
                <w:szCs w:val="22"/>
                <w:highlight w:val="none"/>
                <w:u w:val="none"/>
                <w:lang w:val="en-US" w:eastAsia="zh-CN" w:bidi="ar"/>
              </w:rPr>
              <w:t>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B3211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影视灯</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C27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1.调光：0-100%电子线性调光，无抖动平滑调光技术。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2.频闪：0-25次/秒电子频闪，速度可调节，内置随机频闪或脉冲频闪。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3.混色系统：暖白+冷白2种颜色可线性混光调色温。</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4.特点：光效高，光斑均匀，铸铝外壳散热好，性能稳定。配一进一出手拉手电源线和信号线（各1.3米长），提高现场布灯效率。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5.软件更新：支持DMX信号更新、云端服务器远程在线更新，软件更新快速便捷。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6.显示界面：数码管显示；配置4个机械按键。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7.温度保护：内置NTC温度控测功能，当LED工作过热时，智能降低LED的输出功率。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1.输入电压：AC 110-240V，50/60Hz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2.额定功率：200W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3.功率因数：PF≥0.98</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4.光源：200W LED(CW+WW)COB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5.光源平均寿命：≥50000H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6.色温：3000K-6000K</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7.色容差：SDCM≤3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8.光通量：≥4350lm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9.显色指数：Ra≥80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10.光束角度：45°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11.控制方式：DMX512协议，RDM协议，内置主从模式、自走模式、手动控制模式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12.通道模式：精简模式2CH，标准模式6CH，拓展模式7CH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13.外壳材料：铸铝外壳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14.电源接口：1个电源输入接口，1个电源输出接口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15.信号接口：1个DMX512输入接口，1个DMX512输出接口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17.防护等级：防火V-1，防护IP20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18.产品尺寸（L×W×H）：≥223×306×332mm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365EB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AE0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w:t>
            </w:r>
          </w:p>
        </w:tc>
      </w:tr>
      <w:tr w14:paraId="39AB2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4F08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4.外围设备及控制系统</w:t>
            </w:r>
          </w:p>
        </w:tc>
      </w:tr>
      <w:tr w14:paraId="09BDA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1A0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6-1</w:t>
            </w:r>
            <w:r>
              <w:rPr>
                <w:rFonts w:hint="eastAsia" w:ascii="宋体" w:hAnsi="宋体" w:cs="宋体"/>
                <w:i w:val="0"/>
                <w:iCs w:val="0"/>
                <w:color w:val="auto"/>
                <w:kern w:val="0"/>
                <w:sz w:val="22"/>
                <w:szCs w:val="22"/>
                <w:highlight w:val="none"/>
                <w:u w:val="none"/>
                <w:lang w:val="en-US" w:eastAsia="zh-CN" w:bidi="ar"/>
              </w:rPr>
              <w:t>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9C1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控台</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105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1.DMX512 通道数：物理固定输出1024个DMX512控制通道，可使用ART-NET拓展到4个输出口，共2048个DMX512通道。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2.电脑灯的配接数量：≥96。</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3.电脑灯重新配接地址码：支持。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4.灯具水平垂直交换：支持。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5.灯具通道反相输出：支持。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6.灯具通道滑步模式切换：支持。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7.每台电脑灯可用控制通道模式：40主通道+40微调通道。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8.灯库：支持珍珠R20灯库。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9.可保存的场景数量：60。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10.可同时运行的场景数量：10。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11.多步场景的总步数：600。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12.场景的时间控制：淡入、淡出、LTP滑步。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13.每个场景可存储图形数量：5。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14.推杆启动场景并进行调光：支持。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15.互锁场景：支持。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16.点控场景：支持。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17.图形生成器：可生成Dimmer， P/T， RGB， CMY， Color， Gobo， Iris， Focus图形。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18.可同时运行图形数量：10。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19.主控推杆：全局、重演、灯具。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20.立即黑场：支持。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21.转盘调整通道数值：支持。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22.推杆调整通道数值：支持。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23.推杆调光：支持。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24.U盘读取：支持FAT32格式。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25.Art-net协议与RDM协议：支持。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1.输入电压：AC 100-240V，50/60Hz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2.额定功率：15.6W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3.功率因数：PF≥0.98</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4.外壳材料：冷轧板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5.电源接口：1个电源输入接口，1个DMX512输出接口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6.信号接口：1个USB接口，4个DMX512输出接口，1个RJ45网络接口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8.防护等级：IP20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9.产品尺寸（L×W×H）：485×400×105mm</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A85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8AE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C52E9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4A2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6-1</w:t>
            </w:r>
            <w:r>
              <w:rPr>
                <w:rFonts w:hint="eastAsia" w:ascii="宋体" w:hAnsi="宋体" w:cs="宋体"/>
                <w:i w:val="0"/>
                <w:iCs w:val="0"/>
                <w:color w:val="auto"/>
                <w:kern w:val="0"/>
                <w:sz w:val="22"/>
                <w:szCs w:val="22"/>
                <w:highlight w:val="none"/>
                <w:u w:val="none"/>
                <w:lang w:val="en-US" w:eastAsia="zh-CN" w:bidi="ar"/>
              </w:rPr>
              <w:t>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A41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舞台灯光控台嵌入式操作软件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E1F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1.软件内嵌于设备，实现通过DMX512信号控制。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2.支持与灯具配接，实现对灯具调控。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3.支持素材管理。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4.系统设置功能，包括数据处理、语言切换、灯库管理、网络设置等操作</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9C0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84E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4F05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BA2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6-1</w:t>
            </w:r>
            <w:r>
              <w:rPr>
                <w:rFonts w:hint="eastAsia" w:ascii="宋体" w:hAnsi="宋体" w:cs="宋体"/>
                <w:i w:val="0"/>
                <w:iCs w:val="0"/>
                <w:color w:val="auto"/>
                <w:kern w:val="0"/>
                <w:sz w:val="22"/>
                <w:szCs w:val="22"/>
                <w:highlight w:val="none"/>
                <w:u w:val="none"/>
                <w:lang w:val="en-US" w:eastAsia="zh-CN" w:bidi="ar"/>
              </w:rPr>
              <w:t>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08399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直通箱</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D2A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1.过载与短路双重保护高分断空气开关。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2.具备A.B.C三相工作指示灯。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3.设两脚和三脚万能用插座方便使用，进口接线端输入，单32A胶木插输出。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1.供电：三相五线制AC 380V±10％，频率50Hz±5％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2.空载功率：10W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3.功率因数：PF≥0.98</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4.额定功率：12路×4KW，可适用于任何负载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5.外壳材料：冷轧板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6.电源接口：12个电源输出接口，1个插座接口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8.防护等级：IP20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9.外形尺寸：国际标准3U</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37389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DD5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CCA1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58B2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18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7D22A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信号放大器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532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1.数字信号类型：DMX512。</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2.输入输出光电隔离。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3.具备8路独立放大驱动输出。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4.信号放大整形功能，延长信号传输距离增强数据总线接入设备数量的能力。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5.保护灯光控制台DMX512输出接口，故障现场隔离，提高数字式灯光控制系统的安全可靠性。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6.独立的LED信号指示。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1.输入电压：AC 110-240V，50/60Hz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2.额定功率：5W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3.功率因数：PF≥0.98</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4.外壳材料：冷轧板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5.电源接口：1个电源输入接口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6.信号接口：1个DMX512输入公接口，1个DMX512输入母接口，8个DMX512输出接口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7.工作环境温度：-10℃-45℃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8.防护等级：IP30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9.外形尺寸：国际标准1U</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E7456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E1A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14AC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2A5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5.技术服务费</w:t>
            </w:r>
          </w:p>
        </w:tc>
      </w:tr>
      <w:tr w14:paraId="2D72B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289C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19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D1E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大灯勾</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B91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1.规格：≥28mm厚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2.承重：≥50kg</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.卡管：40-58mm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.配套：外六角螺栓M10*30（GB5783，≥4.8级）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.材质：拉伸铝</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95E29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ACD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r>
      <w:tr w14:paraId="559EF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311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EDF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多功能灯勾</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22D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1.规格：≥30mm厚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2.承重：≥150kg</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.卡管：44-52mm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.配套：外六角螺栓M10*40（GB5783，≥4.8级）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.材质：拉伸铝</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21B54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C2B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14</w:t>
            </w:r>
          </w:p>
        </w:tc>
      </w:tr>
      <w:tr w14:paraId="556D2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44B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C79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安全绳</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1E58B">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1.规格：直径≥4.0mm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2.长度：总长≥845mm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3.材质：铁+包胶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4.承重：≥100kg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.备注：配1个5号扣，铝套</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5BC51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DF4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w:t>
            </w:r>
          </w:p>
        </w:tc>
      </w:tr>
      <w:tr w14:paraId="1D907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D21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823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辅材</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DF67D">
            <w:pPr>
              <w:jc w:val="left"/>
              <w:rPr>
                <w:rFonts w:hint="default" w:ascii="宋体" w:hAnsi="宋体" w:eastAsia="宋体" w:cs="宋体"/>
                <w:i w:val="0"/>
                <w:iCs w:val="0"/>
                <w:color w:val="auto"/>
                <w:sz w:val="22"/>
                <w:szCs w:val="22"/>
                <w:highlight w:val="none"/>
                <w:u w:val="none"/>
                <w:lang w:val="en-US" w:eastAsia="zh-CN"/>
              </w:rPr>
            </w:pPr>
            <w:r>
              <w:rPr>
                <w:rFonts w:hint="eastAsia" w:ascii="宋体" w:hAnsi="宋体" w:cs="宋体"/>
                <w:i w:val="0"/>
                <w:iCs w:val="0"/>
                <w:color w:val="auto"/>
                <w:sz w:val="22"/>
                <w:szCs w:val="22"/>
                <w:highlight w:val="none"/>
                <w:u w:val="none"/>
                <w:lang w:val="en-US" w:eastAsia="zh-CN"/>
              </w:rPr>
              <w:t>网线、电源线、高清线等线材及卡扣等设备安装调试所需辅材。</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1BF4B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4B9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F9CF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C852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6.扩声系统</w:t>
            </w:r>
          </w:p>
        </w:tc>
      </w:tr>
      <w:tr w14:paraId="1BBB1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A93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076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专业功放</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ADF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1.智能削峰限幅器，控制功率模块及扬声器系统在安全范围内工作。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2.智能控制强制散热设计，风机噪音小，散热效率高等特点。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3.开机软启动，防止开机时向电网吸收大电流，干扰其它用电设备。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4.具有：过压保护，欠压保护，过流保护，直流保护，输出短路保护，温控风扇等功能。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5.电源采用开关电源技术，效率高，有效的抑制电源谐波，达到欧盟绿色电源标准。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6.采用最新D类数字功放设计方案，失真小，效率高。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7.标准XLR输入接口，和LINK输出口，简洁的接口更加方便不同用户需求。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8.1U机箱设计，体积小，重量轻。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9.具有单声道、立体声、桥接三种模式可选择切换。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1.频率响应(@1W功率下)：20Hz-20KHz/±1dB @8Ω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2.THD+N(@1/8功率下) ：≤0.01%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3.分离度(@1KHz) ：≥80dB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4.阻尼系数(@1KHz) ：≥200@ 8 ohms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5.信噪比（A计权）：≥102dB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6.输入灵敏度：2.2dBu(1V)/8.2dBu(2V)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7.输入阻抗：10KΩ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8.输出功率：立体声@8Ω：700W×2；立体声@4Ω：1000W×2；桥接@16Ω：1400W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9.；桥接@8Ω：2000W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10.输入电压：~220V/50Hz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11.整机功耗：450W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12.产品尺寸(L*W*H)：484*265*44mm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说明：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输出功率：是按CEA-2006-B/CEA-490-A标准使用20ms脉冲1kHz正弦波在1%总谐波失真下测量得出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整机功耗：依据GB4943.1-2022测试手法：在1kHz正弦波额定负载1/8功率条件下测得</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363BD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D58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3A167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C79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832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专业音箱</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5DDB8">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1.额定功率为400W；峰值功率为1600W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二分频设计，采用高品质滤波元件和优良的无源滤波技术及相位校正技术再加上专业声学工程师精心调校，高音部分表现无比通透且极具穿透力，低频丰满低沉富有弹性，中频圆润清晰不吵；高音1.7""压缩高音单元×1，低音12""低音×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1.尺寸：高615×宽380×深410mm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2..指定频带内的声压级（±2dB）：122dB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.覆盖角度：(H)90°(V)80°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.阻抗（±20%）：8Ω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.频响（-10dB）：45Hz-20kHz"</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C5E39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5D3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6174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ED4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EC3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D47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1.固定面板尺寸（长*宽）：227mm*150mm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2.臂杆长度：280mm至400mm（可调节）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3.类型：音箱支架</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0B50E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F25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58C1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41D7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D17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专业功放</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FE3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1.智能削峰限幅器，控制功率模块及扬声器系统在安全范围内工作。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2.智能控制强制散热设计，风机噪音小，散热效率高等特点。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3.开机软启动，防止开机时向电网吸收大电流，干扰其它用电设备。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4.具有：过压保护，欠压保护，过流保护，直流保护，输出短路保护，温控风扇等功能。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5.电源采用开关电源技术，效率高，有效的抑制电源谐波，达到欧盟绿色电源标准。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6.采用最新D类数字功放设计方案，失真小，效率高。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7.标准XLR输入接口，和LINK输出口，简洁的接口更加方便不同用户需求。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8.1U机箱设计，体积小，重量轻。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9.具有单声道、立体声、桥接三种模式可选择切换。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1.频率响应(@1W功率下)：20Hz-20KHz/±1dB @8Ω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2.THD+N(@1/8功率下) ：≤0.01%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3.分离度(@1KHz)：≥80dB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4.阻尼系数(@1KHz)：≥200@ 8 ohms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5.信噪比（A计权）：≥107dB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6.输入灵敏度：2.2dBu(1V)/8.2dBu(2V)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7.输入阻抗：10KΩ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8.输出功率：立体声8Ω ：500W×2；立体声4Ω：850W×2；桥接16Ω：1000W ；桥接8Ω：1700W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9.输入电压：~220V/50Hz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10.整机功耗：300W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说明：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输出功率：是按CEA-2006-B/CEA-490-A标准使用20ms脉冲1kHz正弦波在1%总谐波失真下测量得出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整机功耗：依据GB4943.1-2022测试手法：在1kHz正弦波额定负载1/8功率条件下测得</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258D7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54C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D71C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C32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6-2</w:t>
            </w:r>
            <w:r>
              <w:rPr>
                <w:rFonts w:hint="eastAsia" w:ascii="宋体" w:hAnsi="宋体" w:cs="宋体"/>
                <w:i w:val="0"/>
                <w:iCs w:val="0"/>
                <w:color w:val="auto"/>
                <w:kern w:val="0"/>
                <w:sz w:val="22"/>
                <w:szCs w:val="22"/>
                <w:highlight w:val="none"/>
                <w:u w:val="none"/>
                <w:lang w:val="en-US" w:eastAsia="zh-CN" w:bidi="ar"/>
              </w:rPr>
              <w:t>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143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专业音箱</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B24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1.额定功率为300W；峰值功率为1200W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二分频设计，采用高品质滤波元件和优良的无源滤波技术及相位校正技术再加上专业声学工程师精心调校，高音部分表现无比通透且极具穿透力，低频丰满低沉富有弹性，中频圆润清晰不吵；高音1.7"压缩高音单元×1，低音10"低音×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1.尺寸：高530×宽350×深360 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2.指定频带内的声压级（±2dB）：119dB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.覆盖角度：(H)90°(V)80°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.阻抗（±20%）：8Ω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.频响（-10dB）：45Hz-20kHz</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00976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B28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BE13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BCF4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28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813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DECD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eastAsia="zh-CN"/>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6-25。</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B3E9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475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4A859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8E8DB">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29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CB9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专业功放</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B01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6-26。</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F1349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900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6F1A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68D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946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专业音箱</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47D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1.阻抗：8Ω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2.额定功率：300W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3.峰值功率：1200W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4.灵敏度：98dB/W/M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5.最大声压级（额定/峰值）：123dB/129dB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6.覆盖角度：(H)80°(V)60°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7.频响：60Hz-20KHz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.安装方式：支持吊装，落地安装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9</w:t>
            </w:r>
            <w:r>
              <w:rPr>
                <w:rFonts w:hint="eastAsia" w:ascii="宋体" w:hAnsi="宋体" w:eastAsia="宋体" w:cs="宋体"/>
                <w:i w:val="0"/>
                <w:iCs w:val="0"/>
                <w:color w:val="auto"/>
                <w:kern w:val="0"/>
                <w:sz w:val="22"/>
                <w:szCs w:val="22"/>
                <w:highlight w:val="none"/>
                <w:u w:val="none"/>
                <w:lang w:val="en-US" w:eastAsia="zh-CN" w:bidi="ar"/>
              </w:rPr>
              <w:t>.材料：箱体采用15mm夹板制作，内贴防尘网棉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10</w:t>
            </w:r>
            <w:r>
              <w:rPr>
                <w:rFonts w:hint="eastAsia" w:ascii="宋体" w:hAnsi="宋体" w:eastAsia="宋体" w:cs="宋体"/>
                <w:i w:val="0"/>
                <w:iCs w:val="0"/>
                <w:color w:val="auto"/>
                <w:kern w:val="0"/>
                <w:sz w:val="22"/>
                <w:szCs w:val="22"/>
                <w:highlight w:val="none"/>
                <w:u w:val="none"/>
                <w:lang w:val="en-US" w:eastAsia="zh-CN" w:bidi="ar"/>
              </w:rPr>
              <w:t>.高音：1.4"环形聚乙烯振膜压缩高音单元×1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11</w:t>
            </w:r>
            <w:r>
              <w:rPr>
                <w:rFonts w:hint="eastAsia" w:ascii="宋体" w:hAnsi="宋体" w:eastAsia="宋体" w:cs="宋体"/>
                <w:i w:val="0"/>
                <w:iCs w:val="0"/>
                <w:color w:val="auto"/>
                <w:kern w:val="0"/>
                <w:sz w:val="22"/>
                <w:szCs w:val="22"/>
                <w:highlight w:val="none"/>
                <w:u w:val="none"/>
                <w:lang w:val="en-US" w:eastAsia="zh-CN" w:bidi="ar"/>
              </w:rPr>
              <w:t>.低音：10"中低音单元×1</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AE3E3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9A5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85F4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A39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7.舞台发言部分</w:t>
            </w:r>
          </w:p>
        </w:tc>
      </w:tr>
      <w:tr w14:paraId="1E772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56B5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E1E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无线话筒</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F07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1.发射机指标：音头：动圈式麦克风(手持话筒)；输出功率为≥10dBm；工作电流为≤200mA；充电接口1×Type-C；单台发射机电池2×3.7V锂电池（标称）；.电池使用时长＞10H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2.接收机指标：天线接口为BNC/50Ω；接收灵敏度为＜-95dBm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最大输出为平衡输出500mV，非平衡输出1000mV；电源为DC 12V/1A；工作电流为≤320mA。</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3.系统指标：频率范围为540MHz-590MHz、640MHz-690MHz；调制方式为pi/4-DQPSK；频率响应为20Hz~20kHz （±3dB）；信噪比为≥105dB（XLR）；THD+N：＜0.1%；工作距离为视距80m。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4.发射机具有≥0.96英寸OLED显示屏，能够显示频率信息、音频加密状态、功率挡位、静音状态、电量格数信息。发射机供电方式灵活多样，具有1个Type-C充电接口，支持Type-C直充、专用充电底座充电及5号电池（兼容镍氢/碱性/锂电池）供电，满足不同场景需求。发射机发射功率1-7档可调，可按需调节发射功率，满足不同场景使用。（提供第三方检验报告复印件，报告中需体现该功能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接收机前面板具有≥2个显示屏、≥2个编码旋钮、≥2个频率扫描实体按键、≥2个红外对频实体按键、≥1个电源开关按键、≥1个二合一指示灯（红外发射管+对频指示灯）；后面板具有≥1个LINE-OUT接口、≥2个XLR-OUT接口、≥2个BNC接口、≥1个DC接口。发射机具有≥1个OLED 显示屏、≥1个开关机/静音按键、≥1个工作状态指示灯。接收机具有两路平衡输出、一路非平衡混音输出，满足用户不同需求。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6.接收机采用≥2.2英寸TFT-LCD显示屏，用户可通过显示屏查看设备射频信号强度、音频信号强度、麦克风开启状态、发射机电池电量情况、当前频率数值、音量大小、语言切换选项等，可轻松获取设备当前信息。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7.具有一键静音按键，短按按键可开启或关闭发射机静音功能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具有ID码防串扰功能，采用32位唯一ID码，用于接收和发射配对，收发ID码必须相同才能对码，能够有效防止相同频率的信号相互串台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具有长时间续航，发射机连续使用时长10小时。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8.基于数字U段的传输技术，pi/4-DQPSK调制方式，采用国产主控芯片，传输距离80米；具有混响、均衡、智能静音、音频加密、功率调节功能。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9.具有1台接收主机、2只手持发射机；频率范围540MHz-590MHz、640MHz-690MHz两个频段使用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发射机采用符合人体工学设计，外形圆润贴合手部曲线，握感舒适。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10.具有音频加密功能，开启后发射机与接收机通过独特的ID码导频加密技术，达到设备不串频的效果。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11.具有多频段均衡调节功能，均衡调节≥2197种，麦克风均衡器调节功能，具有高、中、低音三种调节档位，每种效果支持≥13档调节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具有自动静音功能，麦克风跌落、抛掷时，毫秒级自动静音，避免冲击声；实时监测设备姿态，静置</w:t>
            </w: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5秒静音，</w:t>
            </w: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8分钟关机，无需手动干预。（提供第三方检验报告复印件，报告中需体现该功能内容）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12.具有自动频率扫描功能，可快速地给发射机找到清晰的频率，操作简单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具有通过红外扫描和同步，将发射机与接收机轻松配对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具有多档位混响调节功能，混响效果≥15625个，效果占比、回响延时、混响幅度调节，三种音效各具有≥25档调节方式。</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938B7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B98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B78A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FEC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D08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话筒呼叫控制嵌入软件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A8B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1.软件内嵌于无线话筒系统设备，话筒呼叫控制功能。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2.采用UHF超高频段双真分集接收，并采用PLL锁相环多信道频率合成技术。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3.支持自动选讯接收方式。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4.支持信道选择、频率可调、可设置主机与话筒配对。</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AAFC5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3EF44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B0FD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834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A5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无线话筒</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DD5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1.具有1台接收主机、2只头戴腰包；频率范围540MHz-590MHz、640MHz-690MHz两个频段使用。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2.基于数字U段的传输技术，pi/4-DQPSK调制方式，采用国产主控芯片，传输距离≥80米；具有混响、均衡、智能静音、音频加密、功率调节功能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采用独有的加密方式进行音频传输，保障会议内容安全。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多频段均衡调节功能，均衡调节2197种，麦克风均衡器调节功能，具有高、中、低音三种调节档位，每种效果支持13档调节。具有多档位混响调节功能，混响效果15625个，效果占比、回响延时、混响幅度调节，三种音效各具有25档调节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接收机前面板具有2个TFT-LCD显示屏、2个编码旋钮、2个频率扫描实体按键、2个红外对频实体按键、1个电源开关按键、1个二合一指示灯（红外发射管+对频指示灯）；后面板具有1个LINE-OUT接口、2个XLR-OUT接口、2个BNC接口、1个DC接口。发射机具有1个显示屏、4个实体按键（包括1个静音键、1个音量减少键、1个音量增加键、1个电源开关键）、1个电源状态指示灯、1个静音指示灯。2个2.2英寸的TFT-LCD显示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5.发射机具有0.96英寸OLED显示屏，能够显示频率信息、音频加密状态、功率挡位、静音状态、电量格数信息。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6.发射机供电方式灵活多样，具有1个Type-C充电接口，支持Type-C直充、专用充电底座充电及5号电池（兼容镍氢/碱性/锂电池）供电，满足不同场景需求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具有两路平衡输出、一路非平衡混音输出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具有一键静音功能，实用性强。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7.接收机面板精湛工艺制作，大气美观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具有ID码防串扰功能，采用32位唯一ID码，用于接收和发射配对，收发ID码必须相同才能对码，能够有效防止相同频率的信号相互串台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一键频率扫描，避开干扰；一键红外对频，操作简单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具有长时间续航，发射机连续使用时长10小时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发射机具有音量调节键，可调节音量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发射功率7档可调，按需调节发射功率。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1.接收机尺寸(W×D×H)：482×232×56mm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2.接收机天线接口：BNC/50Ω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3.接收机电源：DC 12V/1A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4.接收机工作电流：≤320mA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5.接收机接收灵敏度：＜-95dBm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6.接收机最大输出：平衡输出500mV，非平衡输出1000mV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7.发射机尺寸：87×67×27mm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8.发射机重量：160g(含电池)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9.发射机工作电流：≤200mA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10.发射机输出功率：≥10dBm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11.发射机单台发射机电池：2×3.7V锂电池（标称）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12.发射机充电接口：1×Type-C</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13.发射机音头：电容式麦克风(头戴话筒)</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14.发射机电池使用时长：＞10H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15.系统工作距离：视距80m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16.系统耳机线长：≥1m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17.系统频率响应：20Hz~20kHz （±3dB）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.系统信噪比：≥105dB（XLR）</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19</w:t>
            </w:r>
            <w:r>
              <w:rPr>
                <w:rFonts w:hint="eastAsia" w:ascii="宋体" w:hAnsi="宋体" w:eastAsia="宋体" w:cs="宋体"/>
                <w:i w:val="0"/>
                <w:iCs w:val="0"/>
                <w:color w:val="auto"/>
                <w:kern w:val="0"/>
                <w:sz w:val="22"/>
                <w:szCs w:val="22"/>
                <w:highlight w:val="none"/>
                <w:u w:val="none"/>
                <w:lang w:val="en-US" w:eastAsia="zh-CN" w:bidi="ar"/>
              </w:rPr>
              <w:t>.系统THD+N：＜0.1%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.系统频率范围：540MHz-590MHz、640MHz-690MHz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.系统调制方式：pi/4-DQPSK</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613D3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0A7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C644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8DC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F46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话筒呼叫控制嵌入软件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2AC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6-32。</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940EB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DA95F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3F7B3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B01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6BE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充电底座</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AFC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1.产品支持通过智能充电管理软件远程监控充电状态（异常、空闲、充电中、充满）、显示设备状态（异常、在线、离线）、设备名称、IP地址等设备信息；可查看级联充电底座的设备信息；支持编辑设备名称、网络配置信息。（提供功能界面截图佐证或提供第三方检验报告复印件，证明材料需体现该功能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2.产品支持推送设备异常、离线、充满状态消息；支持新消息未读标识提示和声音提醒功能，可选择开关；支持一键清空消息列表；支持打开弹窗查看消息列表，可标记单条或批量消息为已读。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3.产品支持通过智能充电管理软件实现区域筛选、状态筛选充电底座，查看充电底座使用情况和设备定位功能。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产品具有2个Type-C多功能充电孔位（兼容手持话筒和腰包机）；具有2个级联接口，无需额外接线即可实现级，联最多支持4台设备，具有1个RJ45接口，可通过软件统一管理；具有4个AA电池充电接口（带状态指示）和1个显示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5.产品和手持话筒/腰包发射机之间通过Type-C接口充电，和AA电池之间通过弹片充电，确保稳定接触和高效充电。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6.产品具有≥0.96英寸OLED显示屏和电源指示灯实时显示当前充电状态，包括充电进度、功率分配及设备识别状态。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7.产品与话筒、腰包发射机搭配使用，充满自动切换至维护模式，无需频繁更换电池。</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1.充电设备：手持麦克风、腰包发射机、3.7V锂电池、镍氢电池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2.充电时长：锂电池约1.5h；镍氢电池约5h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.升级方式：支持网络和串口两种升级方式，支持通过智能充电管理软件进行固件升级，网络支持单个或批量固件升级，串口仅支持单个固件升级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..电源输入：5V/3A；20V/3.25A PD电源适配器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.级联扩展功能：无需额外接线即可实现级联（最多4台设备），满足大型项目多设备集中充电需求，系统自动识别级联拓扑</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29DE4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7E8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6D7F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91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CBB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智能充电管理软件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5035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1.软件可同时管理充电底座、手持麦克风、腰包机等设备，支持多台设备同时管控及操作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软件支持管理员和普通用户两种角色，根据不同角色管理操作权限；支持输入账号和密码登录；支持勾选记住密码功能。（提供第三方检验报告复印件，报告中需体现该功能内容）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2.软件具有数据总览界面，可显示设备总数、设备在线、离线、异常数量；具有充电底座设备使用情况显示，可显示空闲、充电中、充满、异常、离线状态；在远端也可查看设备使用情况。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3.软件支持用户操作日志上传至云端，实现云日志管理。支持软件在线升级，可支持在线下载客户端软件最新版本安装包。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4.软件支持推送设备异常、离线、充满等状态消息；支持新消息未读标识提示和声音提醒功能，可选择开关；支持打开弹窗查看消息列表，可标记单条或批量消息为已读；支持一键清空消息列表。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5.软件支持设置系统日志保存时间、声音开关、语言；支持系统信息的导入和导出，方便用户进行系统迁移和备份；支持恢复出厂设置功能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记录设备的新增、删除、上线、离线、异常和充电状态等信息；支持日志日期、类型和关键字筛选功能；支持日志导出功能。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6.软件支持中英文界面在线切换。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7.软件支持跨平台使用，支持Windows操作系统，支持国产操作系统（麒麟飞腾ARM、麒麟兆芯X86）或Linux的国产操作系统，支持苹果MacOS操作系统使用。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shd w:val="clear"/>
                <w:lang w:val="en-US" w:eastAsia="zh-CN" w:bidi="ar"/>
              </w:rPr>
              <w:t>8.软件支持通过区域筛选、状态筛选充电底座查看充电底座使用情况和设备定位功能。软件支持添加、修改、删除设备区域；支持选择区域设备，分区域管理设备。软件支持扫描设备、手动添加设备；支持显示设备状态（在线、离线、异常）、设备名称、IP地址等设备信息；支持查看级联充电底座的设备信息；支持编辑设备名称、网络配置信息；支持设备定位；支持设备筛选功能。</w:t>
            </w:r>
          </w:p>
          <w:p w14:paraId="220824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9.软件支持网络和串口两种升级方式，支持充电底座、手持麦克风、腰包机等设备进行固件升级，网络支持单个或批量固件升级，串口仅支持单个固件升级。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10.软件支持添加、修改、删除用户；支持管理员重置普通用户密码；支持用户修改密码；支持用户筛选功能。</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F8BC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F75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B01F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176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6-3</w:t>
            </w:r>
            <w:r>
              <w:rPr>
                <w:rFonts w:hint="eastAsia" w:ascii="宋体" w:hAnsi="宋体" w:cs="宋体"/>
                <w:i w:val="0"/>
                <w:iCs w:val="0"/>
                <w:color w:val="auto"/>
                <w:kern w:val="0"/>
                <w:sz w:val="22"/>
                <w:szCs w:val="22"/>
                <w:highlight w:val="none"/>
                <w:u w:val="none"/>
                <w:lang w:val="en-US" w:eastAsia="zh-CN" w:bidi="ar"/>
              </w:rPr>
              <w:t>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516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天线分配器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CEC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1.适合用在大型场所，比如体育馆，体育场，学校运动场等场合。</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2.具备放大射频信号，补偿因信号功率被分配至多个输出而造成的插入损耗。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3.具备两个天线级联接口，支持无限制级联分配器，可实现扩展无线话筒的目的。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4.具有4个直流电源接口，支持给4台接收机提供供电，免去繁琐布线。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5.具备2个天线输入接口，支持接收天线信号，实现分配多路射频信号的效果。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1.连接器端口：BNC</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2.信号输入接口：BNC接口×2</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3.尺寸（L×W×H）：482×209×45mm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4.频率范围：470MHZ-950MHZ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5.直流输出接口：12V DC/3A（MAX）×4 组 中央点为正极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6.电源：12V DC/3A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7.总增益：0±2dB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8.输入/出阻抗：50Ω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9.天线供电：12V</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505FA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D34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C4F02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588C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38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909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话筒天线</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1DF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1.天线接收频段广，可接收 470-950MHZ 的频率。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2.此款天线安装方便，简易。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3.电压驻波比为≤2.0。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4.极化方式为线极化。</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5.此天线具有防腐蚀、抗紫外线、防震及轻型的特点，在不同环境下可长时间及稳定工作。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6.此壁挂天线在有源的状态下，天线在其面向 180 度接收角度范围广，比指向性天线 覆盖的范围广。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7.最大增益为8.0dBi。</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1.工作温度:-30～+60℃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2.天线尺寸:207×177×44mm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3.供电电压:DC 8～12V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4.输入阻抗:50Ω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5.放大器OIP3:＞25dBm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6.放大器增益：五档可调（+3dB/+6dB/+10dB/+16dB）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7.指向性:180°指向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8.接头型号:BNC 接头</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FCA12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1BEB1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E90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F00D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8.控制处理部分</w:t>
            </w:r>
          </w:p>
        </w:tc>
      </w:tr>
      <w:tr w14:paraId="3E123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D5FA6">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39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89F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数字调音台</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7A0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1.支持30组场景预设，可导入USB存储，便于备份调用。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2.内置自适应陷波反馈抑制算法。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3.内置正弦波、白/粉噪声信号发生器。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4.内置USB录音、播放功能，支持APE\MP3\FLAC\WAV无损音频格式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内置4G的媒体空间，可导入音乐文件或导出录音文件。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5.每路输入通道具有6段参量均衡器、压缩器、噪声门、极性、延时器。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6.每路输出通道具有8段参量均衡器、31段图示均衡器、高低通滤波器、压限器、延时器。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7.具有防误触碰、误操作面板锁。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8.具有8路DCA编组、8路静音编组，输入输出、效果器通道均可编入。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9.具有7路输出通道，包含1组立体主输出通道、4路AUX辅助输出通道、1路TRS监听输出通道。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10.具有4个内置效果器，设备自带有经典混响、大房间混响等效果。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11.具有1路网络接口，支持主流操作系统windows、linux ubuntu、Android、ios、MacOS进行远程控制。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12.具有1个7英寸高清触摸屏，友好的软件界面和清晰的导航设计，支持1024×600分辨率。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13.具有16路输入通道，包含8路数字增益话放通道、2路高阻单声通道、2组立体声输入通道、2路USB播放通道。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14.独特的Link连接功能，可进行相邻通道绑定设置。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1.采样率：48kHz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2.信噪比：-90dBu</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3.总谐波失真&amp;噪声：＜0.002% @ 18dBu A+权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4.屏幕：7英寸高清触摸屏，1024×600分辨率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5.频率响应(20Hz～20KHz)：20Hz~20kHz ,±0.2dB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6.量化位数：24bit</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7.最大电平(输入)：+20dBu，平衡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8.最大电平(输出)：+18dBu，平衡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9.幻象供电：48V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10.模/数动态范围：108dB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11.数/模动态范围：108dB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12.输入阻抗(平衡式)：20KΩ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13.输出阻抗(平衡式)：100Ω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14.通道隔离度@1KHz：100dB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15.输入：8路平衡式XLR/TRS组合输入接口；2路TRS单声道高阻输入接口；2组TRS立体声输入接口；2路USB3.0输入声卡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16.输出：1组立体主输出；4路AUX辅助输出；1路TRS监听输出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17.工作温度：0℃-55℃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18.工作电源：19V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19.电源功耗：30W</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CC508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5CDB6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7095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A22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95B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AI音频处理器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6BE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1.采用AI人工智能宽度学习算法进行噪声抑制，根据使用场景不同AI语音降噪提供了强、中、弱三个档位可调整，有效消除拍掌、敲击桌子等非稳态噪声，确保语音清晰度和可懂度(降噪能力可达40dB)。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2.输入通道具有12路平衡式话筒/线路，采用裸线接口端子，平衡接法；输出通道具有12路平衡式线路输出，采用裸线接口端子，平衡接法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3.Ethernet多用途数据传输及控制端口，可以支持实时管理单台及多台设备。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4.音频处理器具有跨平台软件，可运行于windows操作系统或国产银河麒麟桌面操作系统（兆芯版）或国产银河麒麟桌面操作系统（飞腾版）或macOS系统或统信UOS或Ubuntu桌面版操作系统。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5.产品实现与运维平台的云端协同，支持设备联网后自动检测OTA升级固件包，具备完整的远程固件更新能力。具有Web页面管理功能，可以通过Web页面下载控制软件，可以通过Web页面调节每个通道的增益。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6.模/数动态范围：116dB；数/模动态范围：120dB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7.高性能四核ARM CorteX-A53处理器（2.0GHZ主频），32bit/48KHz AD/DA，专业 DSP 处理，提供卓越的高品质声音。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8.具有12进12出音频矩阵，输入可根据音源的不同调整灵敏度。每路输入支持48V幻象电源供电，可单独配置开启关闭，灵活方便。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9.幻象供电：DC 48V；频率响应：20Hz～20KHz；总谐波失真+噪声：≤0.005% OUTPUT=18dBu/1kHz；信噪比：≥112dB@1kHz 18dBu（A计权）通道分离度：≥100dB@1kHz 18dBu（A计权）；降噪能力：≥40dB；输入阻抗(平衡式)：平衡:20KΩ；最大输出阻抗(平衡式)：平衡:100Ω；输入范围：≤+18dBu；Q值范围：10-50；频率分辨率：1Hz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输入通道支持前级放大、信号发生器、扩展器、压缩器、均衡器（12段参量均衡、可选10/15/31段图示均衡器可调，图示均衡器可用于单独调节带宽）、闪避器、AGC自动增益、AM自动混音功能（门限式、增益共享式）、AFC自适应反馈消除、AEC回声消除、ANC噪声消除、音频矩阵；输出通道支持均衡器（16段参量均衡、可选10/15/31段图示均衡器可调，图示均衡器可用于单独调节带宽）、延时器、分频器、高低通滤波器、限幅器；基于啸叫检测门限更新法，具有移频+陷波组合反馈抑制，可以使用24个可编程陷波点，可自由分配动态/静态点，自动/手动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11.面板具有2英寸IPS真彩显示屏，显示设备网络信息、实时电平、通道静音状态、矩阵混音等状态。具有恢复出厂设置功能。支持通道拷贝、粘贴、联控功能。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12.面板具备USB接口，支持多媒体存储，可进行存储录音或播放。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13.支持场景预设、导入、导出，支持8个场景；场景切换可在0.1秒内完成。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14.具有RS-232 接口，可用于对接外部中控系统，实现集中管控。具有RS-485 接口，可对接中控系统、摄像跟踪系统，可实现自动摄像跟踪功能。具有8通道可编程 GPIO 控制接口（可自定义输入输出）。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音频处理器软件可融入会议音频综合管理平台实现音频设备统一管理，平台可扫描数字会议主机、音频处理器、混音器、抑制器、功放类产品在线情况，同款产品多台在线设备也可扫描，并显示设备硬件名称、硬件IP地址、在线、离线状态信息；具备一键上传配置信息至云端或保存本地进行备份和一键还原配置信息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16.支持中控控制功能，可以实现增益加减，增益限制，每个通道电平条查询，增益加减步进值设置。支持断电自动保存功能。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17.支持双机热备份；当主机出现故障时，备用主机自动承担服务，切换时间小于2s，保证系统在不需要人工干预的情况下能正常运行。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18.产品具有PC客户端、手机移动端、安卓平板端、IOS手机移动端、IOS平板端不同控制方式，可以通同时登入APP软件、PC客户端同时连接设备，并实现多端数据的同步。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19.支持通过安卓手机，平板APP软件进行操作控制，设备登录、场景切换、输入输出、矩阵路由和通道设置等功能。极低的系统处理延时，延时仅1.1ms。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后面板具有12路线路音频凤凰端子平衡输入接口（具有48V幻象供电）、12路线路音频凤凰端子平衡输出接口、1个拨码开关、1个RJ45接口、1个RS232接口、1个RS485接口、8个可编程GPIO控制接口、1个接地柱；前面板具有2.0英寸 IPS真彩显示屏、1个编码旋钮、1个USB存储设备接口。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21.设备具有统一集中控制功能，支持65535台设备通过软件集中控制。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22.设备具有编码旋钮和IPS屏幕，可用于控制和配置设备静音，增益，场景；IPS屏幕能够显示IP地址，输入和输出通道的实时电平。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23.具有设备定位功能，客户端一键定位局域网内同类设备，被定位的设备会显示定位信息。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1.分频器：提供贝塞尔、林克威治-瑞利、巴特沃斯三种滤波器类型供选择，并且支持6/12/18/24/32/40/48db/oct斜率设置，滤波器全频段可调。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回声消除：用于远程音视频会议，消除回声，增加语音清晰度；回声消除可以根据视频会场（房间）大小选择不同档位（具有小房间、中房间、大房间）三挡可选；可调节降噪等级，具有6dB、12dB、18dB、24dB、30dB五档可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3.闪避器：用于背景音乐自动闪避话筒发言，提供多种参数设置，方便现场灵活运用。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4.话筒自动增益：用于控制话筒的拾音信号的动态范围，实现远近音质一致。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智能混音：包括增益共享混音以及门限自动混音两种方式，输入通道可单独选择是否参与智能混音，可根据不同的场景应用需求，选择相应的混音模式。可有效解决话筒多开导致扩声系统不稳定容易啸叫等痛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6.矩阵增益调节：每个输入通道参与混音的增益可调，增益调节范围-72db到12db。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均衡器：提供参量均衡器和图示均衡器，每路输入具有12段参量均衡器/10段图示均衡器/15段图示均衡器/31段图示均衡器可供选择，每路输出具有16段参量均衡器/10段图示均衡器/15段图示均衡器/31段图示均衡器可供选择。参量均衡器支持高架、低架、峰值滤波器三种类型，图示均衡器支持单点带宽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8.反馈抑制：陷波器+移频器两种处理方案，有效解决声反馈问题。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9.噪声消除：可以有效消除空调声、风扇声等环境噪声，提高语音清晰度稳态降噪等级可根据现场需求调节不同档位（具有6dB、12dB、18dB、24dB、30dB五档可选）。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10.扩展器：扩展信号的动态范围，用于消除设备的底噪。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11.压缩器：压缩信号的动态范围，用于压缩输出信号的大小。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12.限幅器：限制输出信号的大小，防止信号过大损坏扩声设备。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13.延时器：提供最大2000ms延时调整，用于调整各路输出信号延时，使得各路音频信号在到达听众耳朵保持同步。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14.产品尺寸（L×D×H）：≥484×258.2×45mm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15..冷却：风机强制散热</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.FFT长度：1024</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.传声增益：4—10dB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.系统增益：0dB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19</w:t>
            </w:r>
            <w:r>
              <w:rPr>
                <w:rFonts w:hint="eastAsia" w:ascii="宋体" w:hAnsi="宋体" w:eastAsia="宋体" w:cs="宋体"/>
                <w:i w:val="0"/>
                <w:iCs w:val="0"/>
                <w:color w:val="auto"/>
                <w:kern w:val="0"/>
                <w:sz w:val="22"/>
                <w:szCs w:val="22"/>
                <w:highlight w:val="none"/>
                <w:u w:val="none"/>
                <w:lang w:val="en-US" w:eastAsia="zh-CN" w:bidi="ar"/>
              </w:rPr>
              <w:t>.供电范围：AC 110V-240V 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.电源功耗：≤40W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.工作温度：-10℃～+45℃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.相对湿度：20%～80%相对湿度，无结露</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652EF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43B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90F2C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C06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940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会议音频综合管理平台软件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FC3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软件概况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跨平台使用，音频综合管理平台软件可运行于windows操作系统或国产操作系统或macOS系统或统信UOS或Ubuntu桌面版操作系统；其中支持跨平台的子模块包括：电子桌牌软件模块、智能混音器软件模块、数字音频处理器软件模块、智控数字专业功放软件模块、全数字会议系统综合控制软件模块（国产）、智能充电管理软件模块、数字调音台控制软件模块、数字调音台管理软件模块（兼容8路调音台）、FIR音箱处理器软件模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软件具有数字音频处理器软件模块，软件支持多设备管理、8场景切换、在线批量升级、用户管理，恢复出厂设置、备份还原、摄像跟踪、实时啸叫点检测、深度可调陷波器、高精度移频、自动混音、回声消除、限幅器、均衡器、延时器、GPIO设置、串口设置等音频参数配置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3.软件具有电子桌牌软件模块，支持铭牌设置及更新、自定义投票表决、模拟排位、签到、表决、 IP 设置、集中控制（一键关机、息屏、清屏、亮屏功能）、无线表决器人员设置。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4.软件具有反馈抑制器软件模块，支持反馈抑制AFC、场景切换及导入导出、在线固件升级、多设备管理、用户管理、信号选择、模拟输入、模拟输出、陷波器、噪声门、限幅器的音频参数配置功能。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登入后，进入各子模块，包括反馈抑制器软件模块、智能充电管理软件模块、数字调音台控制软件模块、智能混音器软件模块、数字音频处理器软件模块、智控数字专业功放软件模块、数字调音台管理软件模块、FIR音箱处理器软件模块，无需反复输入密码，可以直接进入界面操作、控制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软件具有数字调音台控制软件模块，支持设备管理、场景管理、通道分类导航、显示通道列表、增益调节、静音选择、灵敏度、相位切换、幻象供电、信号延时、通道监听、声像/平衡、通道联调、效果器类型、均衡器、噪声门、压缩器、限幅器、反馈抑制器、通道复制、设备信息、本机地址、面板锁、语言切换、恢复出厂设置、自检信号发生器、监听类型、自动混音、静音编组、录播、固件升级、自定义按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7.平台支持与全数字会议系统软件模块、电子桌牌软件模块实现数据联动功能，支持在平台显示数字会议系统会议、数字会议系统会议服务、电子桌牌系统会议服务等信息。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软件具有FIR音箱处理器软件模块，支持设备列表、延时器、RMS压缩器、噪声门、动态响度滤波器、峰值限幅器、场景列表、输入/输出矩阵、硬限幅器、输入均衡器、输出均衡器、FIR导入、导出、FIR编辑、麦克风测试功能、自动均衡、信号发生器、恢复出厂设置及中英文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通过平台扫描并管理设备，支持（包括电子桌牌、音频处理器、智能混音器、反馈抑制器、数字功放、FIR音箱处理器、充电底座、桌面式数字调音台、机架式数字调音台）的功能，支持手动添加（包括全数字会议系统主机、国产会议主机、PDU电源时序器）设备，在平台查看设备硬件名称、硬件IP地址、在线、离线状态信息；可针对不同硬件类型选择适用软件版本，并直接下载或打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软件功能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1.具有安卓无线表决器软件模块：软件支持评分投票类型满意度测评表决、常规签到表决和会议管理、投票多选项、设备亮度、场景选择、屏幕休眠时间设置、投票签到提示音、呼叫服务等表决器功能。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2.具有全数字会议系统软件模块，具有话筒管理、会议管理、签到、表决、模拟排位、摄像跟踪、译员机多语言功能。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音频综合管理平台具有应用列表，通过平台可下载全数字会议系统软件模块、电子桌牌软件模块、反馈抑制器软件模块、数字音频处理器软件模块、智控数字专业功放软件模块、全数字会议系统综合控制软件模块（国产）、音频矩阵管理软件模块、FIR音箱处理器软件模块、智能混音器软件模块、数字调音台管理软件模块、智能充电管理软件模块、数字调音台控制软件模块、网络PDU管理系统模块，下载后在主界面实时显示，可选择打开应用、卸载应用，应用上移、下移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4.具有音频矩阵管理软件模块，具备远程控制功能，支持设备管理、远程切换场景、场景预案、IO关联。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音频综合管理平台集成全数字会议系统软件模块、智控数字专业功放软件模块、全数字会议系统综合控制软件模块（国产）、FIR音箱处理器软件模块、智能充电管理软件模块、数字调音台控制软件模块、电子桌牌软件模块、反馈抑制器软件模块、智能混音器软件模块、数字音频处理器软件模块、音频矩阵管理软件模块、数字调音台管理软件模块、网络PDU管理系统模块，各模块打开呈现在状态栏窗口，可快速管理和调用，并具备自动检测音频处理器、智能混音器、反馈抑制器、数字功放、FIR音箱处理器、充电底座、数字调音台设备硬件版本、软件版本功能；检测到有新版本时提供更新提示，可对硬件进行升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6.具有系统设置功能：可设置软件是否开机自动启动功能；支持设备关闭功能键最小化或者直接退出程序。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音频综合管理平台具有软件配置信息备份和还原功能，通过平台可以一键备份全数字会议系统软件模块、反馈抑制器软件模块、智能混音器软件模块、数字调音台管理软件模块、数字音频处理器软件模块、智控数字专业功放软件模块、智能充电管理软件模块、数字调音台控制软件模块、FIR音箱处理器软件模块配置信息上传云端或者保存本地；可通过平台一键还原备份的数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8.音频综合管理平台具有应用中心功能，支持通过关键字查找不同系统应用，支持13款软件。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9.具有智能混音器软件模块：软件支持多设备管理、4场景切换、在线批量升级，分组设置、数据备份、自定义通道名称、自动混音、矩阵、分频器、均衡器、闪避器的音频参数配置调节。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数字调音台管理软件模块：支持设备管理、限幅器、反馈抑制器、通道复制、设备信息、本机地址、面板锁、语言切换、恢复出厂设置、场景管理、通道分类导航、显示通道列表、增益调节、音量调节、静音选择、相位切换、噪声门、压缩器、幻象供电、信号延时、通道监听、声像/平衡、通道联调、效果器类型、均衡器、自检信号发生器、监听类型、自动混音、静音编组、USB录音、USB播放、自定义按键、固件升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2.具有智能充电管理软件模块：支持管理充电底座、多设备同时管控、充电状态查看、手持麦克风、腰包机等设备，支持区域管理、网络和串口固件升级、设备日志记录、云端日志上传、中英文切换。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智控数字专业功放软件模块：软件支持多设备管理、通道复制、桥接模式、灵敏度设置、在线固件批量升级、音量调节、正反向切换、矩阵、输入输出、扩展器、压缩器、限幅器、均衡器、分频器的音频参数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4.具有网络PDU管理系统模块：支持电源监控、插座状态、总控开关、插座排程、电能计量、系统设置。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5.具有全数字会议系统综合控制软件模块（国产）：支持签到、组织架构管理、模拟排位、表决、会议服务、话筒管理、会议管理、人员管理、摄像跟踪、译员机语种。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color w:val="auto"/>
                <w:sz w:val="24"/>
                <w:szCs w:val="24"/>
                <w:highlight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6.平台具有AI助手（需要连接广域网才能使用）：支持通过智能问答与快捷指令协助用户操作，能够基于语义理解识别用户意图，并完成平台内子软件的打开、关闭、下载、跳转等指令执行；内置产品知识库，可通过AI助手查询产品功能、修改IP地址指引、音频处理功能说明、设备应用解答等信息；支持上下文理解与多轮对话，内置可扩展的常用操作指令模板，并支持生成系统运行报告；平台可对接大模型，为用户提供实时智能问答，用户在交互界面输入问题后，AI助手生成的结果将显示在专用回答框内。（提供功能界面截图佐证</w:t>
            </w:r>
            <w:r>
              <w:rPr>
                <w:rFonts w:hint="eastAsia" w:ascii="宋体" w:hAnsi="宋体" w:cs="宋体"/>
                <w:i w:val="0"/>
                <w:iCs w:val="0"/>
                <w:color w:val="auto"/>
                <w:kern w:val="0"/>
                <w:sz w:val="22"/>
                <w:szCs w:val="22"/>
                <w:highlight w:val="none"/>
                <w:u w:val="none"/>
                <w:lang w:val="en-US" w:eastAsia="zh-CN" w:bidi="ar"/>
              </w:rPr>
              <w:t>或</w:t>
            </w:r>
            <w:r>
              <w:rPr>
                <w:rFonts w:hint="eastAsia" w:ascii="宋体" w:hAnsi="宋体" w:eastAsia="宋体" w:cs="宋体"/>
                <w:i w:val="0"/>
                <w:iCs w:val="0"/>
                <w:color w:val="auto"/>
                <w:kern w:val="0"/>
                <w:sz w:val="22"/>
                <w:szCs w:val="22"/>
                <w:highlight w:val="none"/>
                <w:u w:val="none"/>
                <w:lang w:val="en-US" w:eastAsia="zh-CN" w:bidi="ar"/>
              </w:rPr>
              <w:t>提供第三方检验报告复印件，证明材料需体现该功能内容）</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44040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92897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04B0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5EE4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9.WIFI会议系统</w:t>
            </w:r>
          </w:p>
        </w:tc>
      </w:tr>
      <w:tr w14:paraId="44F33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AF4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5E5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全数字会议系统主机</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D0ED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1.支持主机U盘和客户端软件两种录音方式；搭配会议话筒和录音盒可以录制单个会议单元发言音频和录制所有会议单元混音发言音频。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2.设备具有≥1路EXTENSION口（用于连接会议系统扩展设备）、≥1路WIFI网口（用于连接无线AP）、≥1路PC网口（用于连接电脑）、≥4路DELEGATES输出接口（用于连接会议发言单元）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1个USB接口；后面板具有≥2路RS-232接口（≥1路用于摄像跟踪，≥1路用于对接外部设备）、≥1路RS-485接口（用于摄像跟踪）、≥4路RJ45通讯接口；具有≥1路RCA输入、≥1路卡侬输入、≥2路凤凰端子输入接口；≥1路RCA输出、≥1路卡侬输出、≥16路凤凰端子输出接口；≥1个拨码开关、≥1个接地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3.采样率48K的非压缩音频传输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采用超五类线屏蔽线，确保会议信息长距离可靠传输，同时提供完美音质。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4.支持T型链路备份功能，链路中即使多台会议单元出现故障，其他会议单元不受影响，保障会议正常进行。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5.支持主机双机热备功能，可设置一台设备为主机，另一台设置为从机，当主机出现故障时，可自动切换至从机运行，实现双备份功能。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6.支持环形双链路功能，确保在其中的一条网线断开或者单元出问题时，会议能继续正常进行。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搭配会议话筒处理器使用，主机与话筒处理器之间通过网线连接方式传输音频，可以同时传输≥16路有线会议单元和≥8路无线会议单元发言的音频信号，并提供反馈抑制、智能混音以及自动增益音频调节处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8.≥16通道角色分离输出模式，可使有线或无线单元根据ID号独立输出，最大支持≥128路有线单元或无线单元独立音频输出，并支持通过录音软件实现每个单元独立录音、或语音转写设备对接实现角色分离。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9.系统支持与语音转写系统深度适配，系统之间通过网线交互数据，实现角色分离语音转写功能。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10.内置DSP处理器，具有≥16路音频矩阵、啸叫抑制、≥10段EQ调节、音量dB值调节、延时器调节功能。设备采用分段压缩混音处理技术和时钟同步传输技术，会议单元拾音到主机输出延时5ms。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11.具有≥1路RS-485接口，支持一台摄像机实现摄像跟踪，支持PELCO-D、VISCA控制协议。配合摄像跟踪主机达到多路视频自动跟踪功能。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16路音频输出通道，通过扩展可实现≥272个音频输出通道，音频输出通道可配置为有线角色分离输出模式、无线角色分离输出模式、同传输出模式；每个音频输出通道都能独立调节音频参数，包括≥30级音量调节、≥10段均衡器调节、≥100级延时器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13.支持AP信道扫描，监测现场的无线信道使用情况，支持信道自动或手动配置最佳信道，支持AP名称在线显示列表，方便查阅。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14.主机具有16通道音频分组输出接口；采用会议分区相控技术，可拆分≥16个独立的会议系统使用，也可以组成一个大型的会议系统使用，实现多种方式的会议室合并/拆分。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15.具有≥4.3英寸全彩触摸屏，可实现对参数设置或查看，进行任意触摸操作。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.支持≥4096台有线会议单元和≥300台无线会议单元同时接入管理使用；支持≥4396台会议单元同时参与会议议程签到、表决、服务等以及发言控制。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.系统支持≥24台会议单元同时发言，其中支持≥16台有线会议单元和≥8台无线会议单元同时发言。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具有C/S、B/S管控架构，包括客户端、WEB端、本机全彩触摸屏、安卓手机/平板控制方式；通过客户端、WEB端可调节音频矩阵参数（包括EQ、音量、延时器、会议单元灵敏度等）、≥16通道输出模式切换、开关会议单元、中英俄法四种语言切换、控制角色分离主机功能；使用本机全彩触摸屏可调节会议模式、有线/无线会议单元开麦数量、编ID、主机/从机设置、中英俄法四种语言切换、显示亮度/输出音量调节、显示剩余使用天数、输入注册码进行主机注册功能；使用安卓手机/平板可控制会议单元开关、开启签到、投票、表决、接收会议服务信息、一键关闭无线会议单元功能，免PC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19</w:t>
            </w:r>
            <w:r>
              <w:rPr>
                <w:rFonts w:hint="eastAsia" w:ascii="宋体" w:hAnsi="宋体" w:eastAsia="宋体" w:cs="宋体"/>
                <w:i w:val="0"/>
                <w:iCs w:val="0"/>
                <w:color w:val="auto"/>
                <w:kern w:val="0"/>
                <w:sz w:val="22"/>
                <w:szCs w:val="22"/>
                <w:highlight w:val="none"/>
                <w:u w:val="none"/>
                <w:lang w:val="en-US" w:eastAsia="zh-CN" w:bidi="ar"/>
              </w:rPr>
              <w:t>.系统具有发起会议签到、表决、选举、评级、满意度、自定义等功能。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.具有自定义会议单元发言人数功能，有线会议单元发言人数范围可设置为1至16之间的任意数量。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.主机兼容同时连接有线与无线会议单元，二者可并行使用；采用跨域音频同步技术，有线与无线会议单元音频的音频无缝混音输出。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前面板具有≥5个状态指示灯，可显示有线无线会议单元使用状态；其中≥4个有线会议发言单元通讯指示灯，有线会议单元正常通讯使用为闪烁状态；其中≥1个为无线会议发言单元通讯指示灯，接上无线收发器正常使用进入闪烁状态；未接入设备时不亮，可快速检测链路使用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.无线会议单元发言人数范围可设置为1至8之间的任意数量。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.WEB管理端具有切换个性化主题风格功能，可切换4种风格，可选简约主题、政务主题、时尚主题、活力主题，不同主题提供不同UI界面背景颜色。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.采用会议系统多环路检测及网络补给技术，实现会议单元手拉手链路出现故障时快速恢复，环路恢复时间5ms。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.PC软件可查看在线无线单元的电池电量、WiFi信号等信息状态；支持一键关闭所有无线单元、单独关闭某个无线单元。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.16通道同传输出模式，可使同传音频根据通道号独立输出，可供录音或监听设备使用。且输出通道数量，可通过外部设备扩展。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1.音频输入：LINEIN1:775mVrms平衡；≥2路输入凤凰端子:775mVrms平衡；LINEIN2:775mVrms非平衡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2.音频输出：LINEOUT1:1Vrms平衡；≥16路多功能输出凤凰端子:1Vrms平衡；LINEOUT2:1Vrms非平衡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3.编ID功能：可对有线单元、无线单元、译员机、角色分离主机进行编ID</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4.动态范围：＞80dB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5.消防报警联动触发接口：支持对接烟雾报警器实时检测，触发后火灾报警信息可同步至话筒界面和主机界面，第一时间提醒会场人员紧急撤离，确保与会人员安全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6.USB录音功能：可录制和播放会议记录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7.同声传译功能：系统最大可同时传输63+1的有线同声传译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8.多种语言：支持中、英、俄、法文多种语言任意切换显示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9.多种话筒管理模式：FIFO（先进先出）、NORMAL（普通模式）、VOICE（声控模式）、APPLY（申请模式）等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10.主机双机热备功能：可设置主机或从机功能，当主机出现故障时，可自动切换至从机运行，实现双备份功能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11.自定义会议话筒身份功能：可根据现场需要定义为主席单元或代表单元或“VIP”单元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12.主电源：100-120VAC/200-240VACbyswitch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13.频率响应：80~16KHz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14.信噪比：＞78dB(A)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15.总谐波失真：＜0.05%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16.输出负载：＞1KΩ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17.静态功耗：30W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18.输出功耗：320W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19.有线话筒连接方式：专用电缆（6芯）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.运维管理平台的功能：可通过web端远程固件升级；具有日志管理功能，可以自动收集和存储系统日志；比如实时监测设备运行状态、设备故障信息，包括内存不足、火警提示、id重复等。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.≥10段EQ调节功能：≥16路多功能输出通道与≥2路LINEOUT输出通道都具有≥10段EQ调节功能。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.注册天数显示功能：可以随时了解注册后使用的剩余天数；支持触摸设备屏幕输入注册码进行主机注册</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B70B2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212B0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5393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4FF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849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数字会议系统</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C7F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1.软件内嵌于会议系统主机设备，应用于音频传输软件的管理或控制。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2.支持同声传译功能。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3.内置DSP音频处理技术，支持EQ均衡调节音频处理能力。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4.支持话筒管理能力，通过不同的模式限制话筒发言数量，保障会场发言秩序。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5.软件支持根据话筒ID提供不同的代码编号给中控系统，与中控系统对接后，可实现摄像自动跟踪功能。</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6DB35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13307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5931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767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747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AI会议话筒处理器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503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1.面板具有AFC触摸按键和功能工作指示灯。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2.具有自动增益功能，能够有效将话筒音量保持在一定动态范围。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智能混音、语音检测功能，可以实现16个有线会议单元+8个无线会议单元同时开启并实时检测会议单元dB值；当发言人讲话时，会议单元自动调整为发言状态，并联动摄像机自动跟踪发言人；当发言人停止讲话时，会议单元自动调整为静音状态，并联动摄像机自动切换到全景画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4.具有话筒语音激励功能，可设置跟踪阈值，当话筒发言达阈值时可实现联动摄像跟踪功能。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5.采用啸叫检测门限更新法，移频+陷波组合反馈抑制方式，具有24个可编程陷波点，可自由分配动态/静态点，自动/手动切换。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6.具有EQ调节功能，输出具有31段图示均衡器调节。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7.具有2路网口，用于连接无线AP和与会议主机通信；通过网络协议对接数字会议主机，实现音频数据传输。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8.具有1路卡侬平衡输出，1路莲花非平衡输出。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9.具有1路RS-485通信接口，支持对接摄像机实现摄像跟踪。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10.具有1路RS-232通信接口（语音转写），支持对接语音转写服务器，实现语音转写功能。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11.具有1路RS-232通信接口（摄像跟踪），对接中控系统主机或摄像跟踪主机实现发言摄像跟踪功能。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12.具有1路EXTENSION接口，可用于连接数字会议主机扩展口。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13.搭配数字会议主机，配合自动混音功能，支持最多同时开启16个有线话筒和8个无线话筒。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14.内置64个话筒预置位，满足大型会议室摄像跟踪需求。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15.后面板具有1个船形开关、4个RJ45、1个RS485、2个RS232、1个TYPE-C接口、1个拨码开关、1路卡侬输出接口和2路RCA输出接口；前面板具有1个AFC电容触摸开关；4个状态指示灯（包括1个AFC 功能状态指示灯、1个音频信号灯、1个处理器工作状态指示灯、1个工作电源指示灯）。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处理器与数字会议主机通过网络传输链路传输会议单元音频信号，只需要通过网线即可以接收数字会议单元音频信号，并提供自动增益、自动混音、AFC反馈抑制（24个可编程陷波点）、EQ调节（31段图示均衡器调节）音频处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产品软件与数字会议主机软件集成，可以实现使用同一软件配置数字会议主机和会议话筒处理器；支持搭配音频综合管理平台集中管控各种音频设备，包含数字会议系统软件模块、电子桌牌软件模块、反馈抑制器软件模块、智能混音器软件模块、数字音频处理器软件模块、智控数字专业功放软件模块，各模块打开呈现在状态栏窗口，可快速管理和调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1.指示灯：AFC功能指示灯、音频信号灯、工作状态指示灯、电源指示灯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2.安装方式：19英寸标准机柜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3.频率响应：80Hz~16kHz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4.信噪比：＞75dB(A)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5.动态范围：＞75dB(A)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6.总谐波失真：＜0.05%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7.音频输出：LINE OUT 1: 1V 卡侬平衡输出；LINE OUT 2: 1V 莲花座非平衡输出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8.连接方式：RJ45网口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9.工作温度：-10℃~+60℃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10.工作湿度：20%～80%相对湿度，无结露</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11.主电源：100-240AC/50-60Hz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12.输出负载：＞1KΩ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13.静态功耗：3.3W</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72B3C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A659E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855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893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BA9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会议话筒</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5BC3B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1.主席具备优先权功能，可关闭正在发言的所有代表话筒。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2.支持通过Type-C口充电，支持18W快充，具有智能指标状态。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3.支持签到功能，通过PC软件设置并发起。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4.支持离线升级程序。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5.支持会议投票功能、支持五键选举、三键表决功能，灵活方便。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6.内置锂电池，电池容量支持14小时持续发言。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7.可通过UI设置SSID。</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8.具有中英文切换显示功能，通过PC软件统一设置。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9.具有智能检测故障功能，提示用户AP故障、主机通信故障、信号强度过低等情况。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10.具有声控功能，可智能打开话筒。通过软件调节声控灵敏度及设置关闭时间。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11.具有发言计时和定时发言功能，具备3.5mm耳机孔，可连接外置麦克风。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12.话筒采用48kHz采样率，高于CD的音质,清晰明亮。内部具有DSP音频处理，没有“噗噗”的低频冲击声。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13.电源开关按键设计于话筒底部，让话筒整体更加美观。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14.采用128位AES加密技术，支持 WPA/WPA2 无线安全技术，防止窃听和非授权访问，提供更高的会议系统机密性。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15.采用先进处理芯片架构，及独特的处理算法，话筒开机连接时间只需5秒。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16.采用无线传输技术，只需要极少会场布置时间，即可开展会场活动。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17.采用4.3英寸全视角IPS电容触摸显示屏。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1.显示屏：IPS屏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2.尺寸(LxWxH)：13</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×140×48mm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±2mm）(不含咪杆长度)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3.安装方式：桌面式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4.电池容量：10200 mAh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5.咪杆长度：240mm±5mm一体式方形短咪杆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6.签到功能：触屏签到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7.麦克风类型：心型指向性驻极体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8.频率响应：80Hz~16kHz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9.麦克风输入阻抗：1KΩ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10.灵敏度：-40±1dB (0dB=1V/Pa,at 1KHz)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11.最大SPL：120dB(THD＜3%)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12.信噪比：＞80dB(A)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13.串扰：＞70dB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14.动态范围：＞80dB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15.THD：＜0.1%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16.最大功耗：3W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17.供电方式：锂电池供电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18.充电方式：通过Type-C接口，连接充电箱充电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19</w:t>
            </w:r>
            <w:r>
              <w:rPr>
                <w:rFonts w:hint="eastAsia" w:ascii="宋体" w:hAnsi="宋体" w:eastAsia="宋体" w:cs="宋体"/>
                <w:i w:val="0"/>
                <w:iCs w:val="0"/>
                <w:color w:val="auto"/>
                <w:kern w:val="0"/>
                <w:sz w:val="22"/>
                <w:szCs w:val="22"/>
                <w:highlight w:val="none"/>
                <w:u w:val="none"/>
                <w:lang w:val="en-US" w:eastAsia="zh-CN" w:bidi="ar"/>
              </w:rPr>
              <w:t>.无线频率范围：5.15~5.85GHz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.发言模式工作时长：</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13小时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.混合模式工作时长：</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14小时</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BE021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BAD67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C1C3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185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4DB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全数字会议系统音频传输内嵌软件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FCD6C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1.软件内嵌于会议单元设备，应用于音频传输软件的管理或控制。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2.支持中英文语言管理界面。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3.支持48KHz采样率音频处理能力。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4.支持电池管理功能，可显示电量/信号等信息。</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F8D43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07219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02B35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CFE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6-4</w:t>
            </w:r>
            <w:r>
              <w:rPr>
                <w:rFonts w:hint="eastAsia" w:ascii="宋体" w:hAnsi="宋体" w:cs="宋体"/>
                <w:i w:val="0"/>
                <w:iCs w:val="0"/>
                <w:color w:val="auto"/>
                <w:kern w:val="0"/>
                <w:sz w:val="22"/>
                <w:szCs w:val="22"/>
                <w:highlight w:val="none"/>
                <w:u w:val="none"/>
                <w:lang w:val="en-US" w:eastAsia="zh-CN" w:bidi="ar"/>
              </w:rPr>
              <w:t>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BA1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会议话筒</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5BC7260">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设备功能</w:t>
            </w:r>
          </w:p>
          <w:p w14:paraId="67C9C34E">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1.代表机具有申请发言功能，通过主席机批准申请人发言。</w:t>
            </w:r>
          </w:p>
          <w:p w14:paraId="31CC8D1E">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2.支持通过Type-C口充电，支持18W快充，具有智能指标状态。</w:t>
            </w:r>
          </w:p>
          <w:p w14:paraId="5997714F">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3.支持签到功能，通过PC软件设置并发起。</w:t>
            </w:r>
          </w:p>
          <w:p w14:paraId="0DB75B53">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4.支持离线升级程序。</w:t>
            </w:r>
          </w:p>
          <w:p w14:paraId="234C76CE">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5.支持会议投票功能、支持五键选举、三键表决功能，灵活方便。</w:t>
            </w:r>
          </w:p>
          <w:p w14:paraId="2A91EAFA">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6.内置锂电池，电池容量支持14小时持续发言。</w:t>
            </w:r>
          </w:p>
          <w:p w14:paraId="3518D9B7">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7.可通过UI设置SSID。</w:t>
            </w:r>
          </w:p>
          <w:p w14:paraId="67346A8C">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8.具有中英文切换显示功能，通过PC软件统一设置。</w:t>
            </w:r>
          </w:p>
          <w:p w14:paraId="3E9D9C42">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9.具有智能检测故障功能，提示用户AP故障、主机通信故障、信号强度过低等情况。</w:t>
            </w:r>
          </w:p>
          <w:p w14:paraId="5E571E4F">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10.具有声控功能，可智能打开话筒。通过软件调节声控灵敏度及设置关闭时间。</w:t>
            </w:r>
          </w:p>
          <w:p w14:paraId="786BDDD0">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11.具有发言计时和定时发言功能，具备3.5mm耳机孔，可连接外置麦克风。</w:t>
            </w:r>
          </w:p>
          <w:p w14:paraId="6E1A56AD">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12.话筒采用48kHz采样率，高于CD的音质,清晰明亮。内部具有DSP音频处理，没有“噗噗”的低频冲击声。</w:t>
            </w:r>
          </w:p>
          <w:p w14:paraId="27CD90EB">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13.电源开关按键设计于话筒底部，让话筒整体更加美观。</w:t>
            </w:r>
          </w:p>
          <w:p w14:paraId="3E7449BE">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14.采用128位AES加密技术，支持 WPA/WPA2 无线安全技术，防止窃听和非授权访问，提供更高的会议系统机密性。</w:t>
            </w:r>
          </w:p>
          <w:p w14:paraId="3360DE5C">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15.采用先进处理芯片架构，及独特的处理算法，话筒开机连接时间只需5秒。</w:t>
            </w:r>
          </w:p>
          <w:p w14:paraId="07BBE091">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16.采用无线传输技术，只需要极少会场布置时间，即可开展会场活动。</w:t>
            </w:r>
          </w:p>
          <w:p w14:paraId="106E0465">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17.采用4.3英寸全视角IPS电容触摸显示屏。</w:t>
            </w:r>
          </w:p>
          <w:p w14:paraId="0B0B4E79">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技术规格</w:t>
            </w:r>
          </w:p>
          <w:p w14:paraId="7997CD07">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1.显示屏：IPS屏</w:t>
            </w:r>
          </w:p>
          <w:p w14:paraId="0F22EE5B">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2.尺寸(LxWxH)：136×140×48.5mm(不含咪杆长度)</w:t>
            </w:r>
          </w:p>
          <w:p w14:paraId="0D953A59">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3.安装方式：桌面式</w:t>
            </w:r>
          </w:p>
          <w:p w14:paraId="67E50A16">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4.电池容量：10200 mAh</w:t>
            </w:r>
          </w:p>
          <w:p w14:paraId="44964624">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5.咪杆长度：240mm一体式方形短咪杆（浅黑色）</w:t>
            </w:r>
          </w:p>
          <w:p w14:paraId="34A59240">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6.签到功能：触屏签到</w:t>
            </w:r>
          </w:p>
          <w:p w14:paraId="075A0C51">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7.麦克风类型：心型指向性驻极体</w:t>
            </w:r>
          </w:p>
          <w:p w14:paraId="2260D48C">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8.频率响应：80Hz~16kHz</w:t>
            </w:r>
          </w:p>
          <w:p w14:paraId="348C4770">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9.麦克风输入阻抗：1KΩ</w:t>
            </w:r>
          </w:p>
          <w:p w14:paraId="62FF1370">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10.灵敏度：-40±1dB (0dB=1V/Pa,at 1KHz)</w:t>
            </w:r>
          </w:p>
          <w:p w14:paraId="413A8A41">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11.最大SPL：120dB(THD＜3%)</w:t>
            </w:r>
          </w:p>
          <w:p w14:paraId="0B1A3944">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12.信噪比：＞80dB(A)</w:t>
            </w:r>
          </w:p>
          <w:p w14:paraId="5EABE0AD">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13.串扰：＞70dB</w:t>
            </w:r>
          </w:p>
          <w:p w14:paraId="58E75FEA">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14.动态范围：＞80dB</w:t>
            </w:r>
          </w:p>
          <w:p w14:paraId="5B8F2C37">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15.THD：＜0.1%</w:t>
            </w:r>
          </w:p>
          <w:p w14:paraId="6563CDCF">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16.最大功耗：3W</w:t>
            </w:r>
          </w:p>
          <w:p w14:paraId="55B15CEA">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17.供电方式：18650锂电池供电</w:t>
            </w:r>
          </w:p>
          <w:p w14:paraId="46B0F652">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18.充电方式：通过Type-C接口，连接充电箱充电</w:t>
            </w:r>
          </w:p>
          <w:p w14:paraId="568F83EB">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19.颜色：石墨灰</w:t>
            </w:r>
          </w:p>
          <w:p w14:paraId="42C6E0CF">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20.无线频率范围：5.15~5.85GHz</w:t>
            </w:r>
          </w:p>
          <w:p w14:paraId="2076C64A">
            <w:pPr>
              <w:keepNext w:val="0"/>
              <w:keepLines w:val="0"/>
              <w:widowControl/>
              <w:suppressLineNumbers w:val="0"/>
              <w:jc w:val="left"/>
              <w:textAlignment w:val="center"/>
              <w:rPr>
                <w:rFonts w:hint="eastAsia" w:ascii="宋体" w:hAnsi="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21.发言模式工作时长：13小时</w:t>
            </w:r>
          </w:p>
          <w:p w14:paraId="04B10E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lang w:eastAsia="zh-CN"/>
              </w:rPr>
            </w:pPr>
            <w:r>
              <w:rPr>
                <w:rFonts w:hint="eastAsia" w:ascii="宋体" w:hAnsi="宋体" w:cs="宋体"/>
                <w:i w:val="0"/>
                <w:iCs w:val="0"/>
                <w:color w:val="auto"/>
                <w:sz w:val="22"/>
                <w:szCs w:val="22"/>
                <w:highlight w:val="none"/>
                <w:u w:val="none"/>
                <w:lang w:eastAsia="zh-CN"/>
              </w:rPr>
              <w:t>22.混合模式工作时长：14小时</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A5F6F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004B8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0FEEA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83D1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48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FE7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全数字会议系统音频传输内嵌软件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EEC46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6-46。</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7D010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06B48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5756B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76F5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49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871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充电箱</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4FC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1.充电器可同时插满所有USB接口，供设备批量充电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充电接口10个/200W。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2.根据设备的耐受电流大小充电器会自动匹配合适的电流大小给设备充电，同时有过流保护功能，保证被充电单元的安全。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3.智能自动电路保护，所有USB插口均具有短路保护功能和自恢复功能。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4.使用USB线充电，一端连接充电器一端连接会议单元，支持18W快充。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1.充电电压：5V/9V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2.充电电流：2A（最大）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3.输入电压：100-240V AC 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4.尺寸（长×宽×高）：≥245×140×65(mm)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678B6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2F1E2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031A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196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6-5</w:t>
            </w:r>
            <w:r>
              <w:rPr>
                <w:rFonts w:hint="eastAsia" w:ascii="宋体" w:hAnsi="宋体" w:cs="宋体"/>
                <w:i w:val="0"/>
                <w:iCs w:val="0"/>
                <w:color w:val="auto"/>
                <w:kern w:val="0"/>
                <w:sz w:val="22"/>
                <w:szCs w:val="22"/>
                <w:highlight w:val="none"/>
                <w:u w:val="none"/>
                <w:lang w:val="en-US" w:eastAsia="zh-CN" w:bidi="ar"/>
              </w:rPr>
              <w:t>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233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发射器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D8F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1.产品外观美观大方，安装方便，适用于吸顶、壁挂以及桌面放装。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2.上行链路采用千兆以太网端口，突破了传统百兆速率的限制，使有线口不再成为无线接入的速率瓶颈。</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3.通过虚拟无线接入点（Virtual AP）技术，最多可提供32个ESSID，不同SSID之间互相隔离的，可以对使用相同SSID的子网或同一个VLAN下进行终端二层隔离，保证用户数据安全。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4.支持80/160MHz的高带宽频段，能减少了拥堵，达到低延迟，提供更高的性能。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5.支持OFDMA空间复用技术和1024QAM调制解调算法，可提供更快的无线上网和更大的无线覆盖范围，能够轻松满足各种无线业务的承载使用，如语音、文字等多媒体业务。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6.支持WPA3安全协议，使会议内容更具保密性更安全。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7.支持本地供电与PoE远程供电，可根据用户现场供电环境进行灵活选择。</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8.支持中文SSID，可指定最长包含31个字符的SSID，也可以使用中英文混合的SSID，为建设使用单位提供个性化的SSID，提高识别度。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9.遵从Wi-Fi 6协议标准（IEEE 802.11ax），向下兼容802.11a/b/g/n/ac/Wave2，支持MU-MIMO，允许AP同时接收多个终端发送数据，整机最大传输速率可达1.601Gbps，可以有效地从覆盖范围、接入密度、流量吞吐等方面提供更高性能的无线接入服务。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1.PoE：支持802.3at/bt以太网供电标准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2.天线：内置矩阵式智能天线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3.状态指示灯：1*系统灯：Blue，正常上线：常亮，未激活：闪烁，设备上电异常：系统灯灭</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4.网口：1个RJ45口（支持10/100/1000M）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5.发射功率：≤20dBm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6.可调节功率粒度：1dBm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7.可调功率范围：1dBm~相应国家规定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8.功耗：＜1</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9.复位/恢复出厂设置：支持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10.适配器供电：12V/2A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11.工作/存储温度：0℃～45℃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12.工作/存储湿度：10%～90%RH</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A19C9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A1EF0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2114B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6F3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6-5</w:t>
            </w:r>
            <w:r>
              <w:rPr>
                <w:rFonts w:hint="eastAsia" w:ascii="宋体" w:hAnsi="宋体" w:cs="宋体"/>
                <w:i w:val="0"/>
                <w:iCs w:val="0"/>
                <w:color w:val="auto"/>
                <w:kern w:val="0"/>
                <w:sz w:val="22"/>
                <w:szCs w:val="22"/>
                <w:highlight w:val="none"/>
                <w:u w:val="none"/>
                <w:lang w:val="en-US" w:eastAsia="zh-CN" w:bidi="ar"/>
              </w:rPr>
              <w:t>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A27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交换机</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7C3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1.POE交换机，非网管交换机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2.背板带宽：16Gbps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3.包转发率：11.9Mbps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4.端口：8个10/100/1000M自适应以太网端口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5.电源功率：功耗≤73W,POE供电60W，单端口最大30W</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10E81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19EB0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4F50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1EA4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10.录播系统</w:t>
            </w:r>
          </w:p>
        </w:tc>
      </w:tr>
      <w:tr w14:paraId="28E39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21A858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6-5</w:t>
            </w:r>
            <w:r>
              <w:rPr>
                <w:rFonts w:hint="eastAsia" w:ascii="宋体" w:hAnsi="宋体" w:cs="宋体"/>
                <w:i w:val="0"/>
                <w:iCs w:val="0"/>
                <w:color w:val="auto"/>
                <w:kern w:val="0"/>
                <w:sz w:val="22"/>
                <w:szCs w:val="22"/>
                <w:highlight w:val="none"/>
                <w:u w:val="none"/>
                <w:lang w:val="en-US" w:eastAsia="zh-CN" w:bidi="ar"/>
              </w:rPr>
              <w:t>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ECDE8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会议录播主机</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22F63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1.主机架构：需采用嵌入式设计，具备录制、直播、导播、音频编码、视频编码、音频处理、视频处理、存储、互动等多项功能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2.硬件性能：需采用高性能低功耗处理器，核心数≥8，核心频率≥2.4GHz，整机功耗≤50W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3.相关接口：需具有摄像机≥3路，HDMI输入≥2路，HDMI输出≥2路，Line输入≥2路，Line输出≥2路，MIC≥6路，USB接口≥2路，网络接口≥1路，控制接口≥1路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4.UVC\UAC功能：需支持UVC和UAC协议，通过主机USB接口可以实现图像和声音同步输出，最大支持4K@30fps输出，兼容主流视频会议软件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5.课程录制：需支持分段录制与同步录制功能，支持高低双码流录制，具备电影模式和资源模式等多种录制模式，能够自定义设置录制的分辨率、帧率以及码流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6.课堂直播：需支持不少于4路直播，可选择主码流或子码流信号源，可自定义直播录制分辨率和码率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7.画面导播：需支持本地导播、浏览器导播以及客户端软件导播等多种导播方式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8.视音频编码：需支持H.264、H.265视频编码协议，AAC音频编码协议，RTMP、RTSP、RTP、TS视频传输协议，H.323、SIP、BFCP、WebRTC视频通信协议，以及MP4、TS视频封装格式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9.音频处理：需支持AEC回声抑制、AGC自动增益、ANS噪声抑制、EQ均衡、AI降噪，音频闪避等音频处理功能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10.本地存储：不少于1TB内置存储，并支持录像文件循环覆盖功能，录播硬盘在已存储90%的空间时，再次启动录制将删除录播内现存时间最早的录像文件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11.互动能力：需内置音视频互动功能，无需额外部署互动服务器类设备即可实现“1+3”的互动能力。</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A6902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4D0D5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667E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436D2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6-5</w:t>
            </w:r>
            <w:r>
              <w:rPr>
                <w:rFonts w:hint="eastAsia" w:ascii="宋体" w:hAnsi="宋体" w:cs="宋体"/>
                <w:i w:val="0"/>
                <w:iCs w:val="0"/>
                <w:color w:val="auto"/>
                <w:kern w:val="0"/>
                <w:sz w:val="22"/>
                <w:szCs w:val="22"/>
                <w:highlight w:val="none"/>
                <w:u w:val="none"/>
                <w:lang w:val="en-US" w:eastAsia="zh-CN" w:bidi="ar"/>
              </w:rPr>
              <w:t>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85BE1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录播应用软件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8A981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1.导播方式：需支持本地导播、浏览器网络导播以及客户端软件导播等多种导播方式，具备全自动、半自动与手动三种导播跟踪模式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2.画面预览：需支持视频画面实时预览，可对接入摄像机画面进行上下左右移动、放大缩小变焦以及预置位设定等操作，并可自定义视频信号源标签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3.视频处理：需支持二分屏、三分屏、画中画以及自定义画面布局，内置多种转场特技效果，可自定义添加Logo、字幕以及片头片尾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4.音量调节：需支持音频实时监看，并能够实时调整不同通道输入输出的音量大小，可分别对录制和直播进行一键静音操作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5.视频录制：需支持分段录制与同步录制功能，同时支持高低双码流录制，具备电影模式和资源模式等多种录制模式，可自定义设置录制的分辨率、帧率以及码流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6.直播模式：需支持RTMP直播、TS直播、集控推流直播等不少于3种直播模式，以满足不同场景下的直播需求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7.多流直播：需支持不少于4路RTMP同步推流，可自定义选择主码流或子码流进行推流直播，并能够自定义配置视频的分辨率、帧率和码率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8.音频处理：需支持AEC回声抑制、AGC自动增益、ANS噪声抑制、EQ均衡、AI降噪等多种音频处理功能，能够针对录播模式与互动模式分别保存不同的预设效果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9.音频闪避：需支持自动识别人物声音与多媒体声音并动态调节其他音源的音量，避免音源间相互干扰，确保视频教师声音清晰可闻</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10.麦克风接入：需支持接入无线麦克风，可根据实际使用场景自定义配置无线麦克风的频段，并可通过添加无线麦设备白名单实现精准接入管理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11.音视频互动：需支持H.323、SIP 、BFCP、WebRTC等视音频互动协议，可实现“1+3”的互动能力，并具备“授课互动”及“会议互动”两种互动模式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12.双流互动：需支持将教学场景信号与电脑课件信号以互相独立的信号进行传输，在互动过程中主讲端可对其余互动参与者的发言权限进行控制，支持单人禁言以及全场禁言</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13.通讯录与短号：需支持对接获取互动云系统的通讯录数据，可通过通讯录或短号快速呼叫或常见互动课堂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14.录像管理：需支持在线查看已录制的视频文件，并可按录制时间进行排序和按关键字检索查看，也支持对视频文件进行在线播放、下载、删除和FTP上传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15.测绘信息:需支持检测灯光亮度、色温，混响时间，实时查看当前CPU温度，磁盘空间占用情况，网络质量以及运维保障信息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16.用户管理：需支持用户管理，可创建管理员账号与普通用户账号，并可分别设置用户权限，普通权限用户无法进行配置参数修改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17.启动管理：需支持定时休眠或定时唤醒，可配置关机、休眠、工作等不同的上电启动模式</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FEA76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941EF7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p w14:paraId="6FE190C8">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p>
          <w:p w14:paraId="4A8AB5D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p>
          <w:p w14:paraId="3213A52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p>
          <w:p w14:paraId="00949C58">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p>
        </w:tc>
      </w:tr>
      <w:tr w14:paraId="20956E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2C574D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6-5</w:t>
            </w:r>
            <w:r>
              <w:rPr>
                <w:rFonts w:hint="eastAsia" w:ascii="宋体" w:hAnsi="宋体" w:cs="宋体"/>
                <w:i w:val="0"/>
                <w:iCs w:val="0"/>
                <w:color w:val="auto"/>
                <w:kern w:val="0"/>
                <w:sz w:val="22"/>
                <w:szCs w:val="22"/>
                <w:highlight w:val="none"/>
                <w:u w:val="none"/>
                <w:lang w:val="en-US" w:eastAsia="zh-CN" w:bidi="ar"/>
              </w:rPr>
              <w:t>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676E9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高清摄像机</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20E70C5">
            <w:pP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1.传感器：尺寸≥1/2.5英寸，有效像素≥800万，最大可支持3840×2160视频分辨率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2.镜头变焦：要求支持自动和手动变焦，综合变焦倍数≥20倍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3.云台转动：要求具备机械云台可进行转动跟踪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水平转动速度最大不少于90°/s，垂直转动速度最大不少于70°/s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4.快门速度：要求支持高速与慢速快门速度，最快不小于1/10000s，最慢不小于1/25s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5.视场角：支持水平视场角≥70°，垂直视场角≥43°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6.视频编码：要求支持H.265、H.264高清视频编码协议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7.视频接口：要求具备RJ45≥1，HDMI视频输出口≥1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8.音频编码：要求支持OPUS、G.711A、AAC等常用音频编码协议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9.音频接口：Line in输入口≥1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10.其他接口：USB Type-A≥1；RS232/RS422≥1；RJ45网络接口≥1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11.数字降噪：支持2D/3D数字降噪，信噪比≥55dB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12.要求与搭配的录播主机实现基于一条双绞线即可实现POE或POC供电、信号控制、视频信号传输。</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50711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4F9F6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31B44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FFAAD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6-5</w:t>
            </w:r>
            <w:r>
              <w:rPr>
                <w:rFonts w:hint="eastAsia" w:ascii="宋体" w:hAnsi="宋体" w:cs="宋体"/>
                <w:i w:val="0"/>
                <w:iCs w:val="0"/>
                <w:color w:val="auto"/>
                <w:kern w:val="0"/>
                <w:sz w:val="22"/>
                <w:szCs w:val="22"/>
                <w:highlight w:val="none"/>
                <w:u w:val="none"/>
                <w:lang w:val="en-US" w:eastAsia="zh-CN" w:bidi="ar"/>
              </w:rPr>
              <w:t>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33827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高清摄像机管理软件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F50C4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1.摄像机管理软件采用B/S架构，支持通用浏览器直接访问进行管理。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2.支持曝光模式设置功能，包括自动、手动。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3.支持抗闪烁频率、动态范围、光圈、快门参数设置。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4.支持自动白平衡设置功能，红、蓝增益可调。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5.支持噪声抑制设置功能，支持2D、3D降噪。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6.支持摄像机图像质量调节功能，包括亮度、对比度、色调、饱和度。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7.支持摄像机控制功能，包括云台控制、预置位设置与调用、焦距调节等。</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BAFC3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C8143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5FFF4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B00EFC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56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573A8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触控面板</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AEE6D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1.支持壁挂式或桌面式安装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2.具备≥10英寸高清显示屏幕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3.控制功能：支持对会议录播主机的开关机、休眠、录制、远程互动、资源管理等功能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4.支持通过触控面板实时预览录制信号画面，进行导播操作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5.支持快速拨号呼叫功能，输入用户短号实现快速呼叫，支持实时预览互动画面，并对直播互动进行控制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6.支持录像资源管理，通过直观呈现当前录播主机的录像资源信息，并支持选择相关的录课资源进行回放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7.支持录制资源下载操作，将文件下载至U盘进行移动共享。</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FEFE7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55B5B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D1E0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7398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11.矩阵切换系统</w:t>
            </w:r>
          </w:p>
        </w:tc>
      </w:tr>
      <w:tr w14:paraId="59F80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96F6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57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044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无缝高清矩阵切换器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839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高清无缝混插矩阵，性能卓越，广泛应用于会议室、报告厅、电子教学等多种使用场景。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1.8进8出信号切换，灵活的输入输出卡模块选择配置机箱</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2.多种信号输入输出卡模块适配，如HDMI、DVI、VGA、SDI、HDBaseT、光纤等，其中DVI输入卡兼容CVBS，YUV,VGA信号类型，VGA输入/输出卡均兼容CVBS，YUV,VGA信号类型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3.根据需要灵活配置不同的输入输出板卡组成不同的HDMI矩阵，DVI矩阵，VGA矩阵，YUV矩阵等类型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4.前面板带有7英寸全彩触控显示屏，支持通过触屏控制矩阵通道切换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5.系统支持最大4Kx2K的分辨率，切换无缝，无黑屏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6.支持多种控制方式，包括：RS-232*1、RS-485*1、RJ45网口*1、外接控制面板等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7.音视频同步相应速度快，切换无延迟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8.HDMI内嵌音频和模拟音频输入输出可选择</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9.支持双向 RS-232 和双向 IR 信号传输的HDBaseT输入输出，且能够对RS-232和IR 信号选择分离切换模式或者随视频信号切换模式，HDBaseT输入输出支持POC对外供电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10.具备断电恢复功能，重新通电后不用再反复设置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11.具备一键切换系统存储的多组预切设置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12.支持模拟音频与HDMI内嵌音频选择输入、支持模拟音频与HDMI内嵌音频同时输出。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1.输入卡槽位：2个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2.输出卡槽位：2个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3.控制卡槽位：1个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4.8路信号输入通道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5.8路信号输出通道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6.1路RS-232（9-针母D型接口）串口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7.停止位：1，没有奇偶校验位；数据位：8位；波特率：9600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8.4位3.8毫米的RS-485凤凰控制接口，搭配触控面板使用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9.标准RJ-45以太网控制接口，自适应10M/100M控制速率，支持全双工或半双工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10.自适应电源：AC 200-240V，50/60Hz</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DA5DE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F5B88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957D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C65AC">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58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63B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高清无缝混插矩阵切换内嵌软件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91B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1.高清无缝混插矩阵切换内嵌的软件，可以实现矩阵各种模拟或者数字信号的切换处理功能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2.最好可达4K@60Hz分辨率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3.信号切换无缝、无黑屏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4.支持外接面板或者配套的管理软件控制信号切换</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D861E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AC8CB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81DC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0245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59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97D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HDMI超高清无缝输入卡</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F9A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设备支持4路HDMI超高清无缝输入板卡，支持4路HDMI音视频信号输入，支持数字超高清3840×2160P@60Hz信号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1.信号切换无黑屏、无闪烁，直接无缝切换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2.具备断电情况下可以进行现场切换记忆保护</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3.支持最大3840×2160P@60Hz的分辨率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4.板卡支持热插拔，使用方便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1.具有4路HDMI-A母接口输入和4路3.5mm音频座。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2.具有4路HDMI数字视频输入接口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3.具有4路LED指示灯接口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4.具有4路3.5mm模拟音频输入接口</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1B87D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D0240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8AC7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0B6A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w:t>
            </w:r>
            <w:r>
              <w:rPr>
                <w:rFonts w:hint="eastAsia" w:ascii="宋体" w:hAnsi="宋体" w:cs="宋体"/>
                <w:i w:val="0"/>
                <w:iCs w:val="0"/>
                <w:color w:val="auto"/>
                <w:kern w:val="0"/>
                <w:sz w:val="22"/>
                <w:szCs w:val="22"/>
                <w:highlight w:val="none"/>
                <w:u w:val="none"/>
                <w:lang w:val="en-US" w:eastAsia="zh-CN" w:bidi="ar"/>
              </w:rPr>
              <w:t>60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4D9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高清矩阵输入板卡内嵌软件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C36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1.软件内嵌于高清矩阵系统板卡设备，实现信号的处理功能。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2.支持分辨率高达3840×2160P@60Hz的处理能力。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3.通过矩阵切换信号或通过软件切换信号。</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F58B5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578DA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B8E7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FE6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w:t>
            </w:r>
            <w:r>
              <w:rPr>
                <w:rFonts w:hint="eastAsia" w:ascii="宋体" w:hAnsi="宋体" w:cs="宋体"/>
                <w:i w:val="0"/>
                <w:iCs w:val="0"/>
                <w:color w:val="auto"/>
                <w:kern w:val="0"/>
                <w:sz w:val="22"/>
                <w:szCs w:val="22"/>
                <w:highlight w:val="none"/>
                <w:u w:val="none"/>
                <w:lang w:val="en-US" w:eastAsia="zh-CN" w:bidi="ar"/>
              </w:rPr>
              <w:t>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726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HDMI超高清无缝输出卡</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53D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设备支持4路HDMI超高清无缝输出板卡，支持4路HDMI音视频信号输出，支持数字超高清3840×2160P@60Hz信号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1.信号切换无黑屏、无闪烁，直接无缝切换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2.具备断电情况下可以进行现场切换记忆保护</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3.支持最大3840×2160P@60Hz的分辨率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4.板卡支持热插拔，使用方便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1.具有4路HDMI-A母接口输出和4路3.5mm音频座。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2.具有4路HDMI数字视频输出接口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3.具有4路LED指示灯接口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4.具有4路3.5mm模拟音频输出接口</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907CB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23E7F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C252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001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w:t>
            </w:r>
            <w:r>
              <w:rPr>
                <w:rFonts w:hint="eastAsia" w:ascii="宋体" w:hAnsi="宋体" w:cs="宋体"/>
                <w:i w:val="0"/>
                <w:iCs w:val="0"/>
                <w:color w:val="auto"/>
                <w:kern w:val="0"/>
                <w:sz w:val="22"/>
                <w:szCs w:val="22"/>
                <w:highlight w:val="none"/>
                <w:u w:val="none"/>
                <w:lang w:val="en-US" w:eastAsia="zh-CN" w:bidi="ar"/>
              </w:rPr>
              <w:t>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5F3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高清矩阵输出板卡内嵌软件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0D3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1.软件内嵌于高清矩阵系统板卡设备，实现信号的处理功能。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2.支持分辨率高达3840×2160P@60Hz的处理能力。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3.通过矩阵切换信号或通过软件切换信号。</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FE9B5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66C4F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A5C9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CB41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12.集中控制系统</w:t>
            </w:r>
          </w:p>
        </w:tc>
      </w:tr>
      <w:tr w14:paraId="2C670E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2ED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w:t>
            </w:r>
            <w:r>
              <w:rPr>
                <w:rFonts w:hint="eastAsia" w:ascii="宋体" w:hAnsi="宋体" w:cs="宋体"/>
                <w:i w:val="0"/>
                <w:iCs w:val="0"/>
                <w:color w:val="auto"/>
                <w:kern w:val="0"/>
                <w:sz w:val="22"/>
                <w:szCs w:val="22"/>
                <w:highlight w:val="none"/>
                <w:u w:val="none"/>
                <w:lang w:val="en-US" w:eastAsia="zh-CN" w:bidi="ar"/>
              </w:rPr>
              <w:t>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672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网络中控主机</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ECA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网络中控主机设备采用工业级设计，安全可靠；可实现智能控制网络化，支持IOS平台/安卓平台等移动设备终端进行集中式管控；全面兼容传统中控编程控制方式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同时支持触摸屏、电脑、网络、墙上面板、手机、平板等多种控制方式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该系列产品广泛用于会议室、培训室、报告厅、指挥控制中心、作战室、监控、多媒体远程视频会议室等场合。</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1.采用SMT全贴片式生产工艺，高度集成处理芯片，系统运行稳定、流畅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内置32位Cortex-A8 ARM架构内嵌式处理器，处理速度高达720MHz，配置256MByte DDR3 RAM，8 GByte EMMC Flash存储器。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2.主机采用标准 19英寸机柜设计，具备</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4.3英寸LCD触摸彩屏，8路独立可编程串口、8路独立可编程IR红外发射口、8路数字I/0控制口、8路弱电继电器控制接口、1个NET网络控制接口、1路TF卡接口、1个USB接口。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3.采用AC～110-240V 50-60Hz输入电源，NET端口支持NET控制总线，提供DC24V/2A输出电源，电源功耗12W。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4.C语言编程架构，语句式编程，支持复杂的逻辑运算和循环计数、CRC校验、API协议对接、文本反馈等功能，交互式控制结构，中英文编程界面。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产品具备串行控制，IR红外控制，I/O控制，弱继电器等丰富的控制接口，支持接入各种类型周边设备，使用户操作更加简单。支持红外控制、RS-232、RS-422、RS-485、UDP、TCP、telnet、http、MQTT以及SNMP等多种协议，兼容性强，可对接第三方设备，内嵌智能红外学习功能模块，无须配置专业学习器，实现红外代码学习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6.产品支持有线触摸平板、安卓移动端以及IOS移动端等智能硬件通过网线或WIFI 对主机发送网络控制指令。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7.面板具有指示灯，可直观反馈串口、红外、设备的工作状态。可查看IP地址、修改IP地址</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支持全制式环保电源(110V-240V)。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8.支持2种局域网远程桌面方式，无需连接外部网络或使用第三方软件，支持多用户远程协同控制，便于现场运维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当中控主机和电脑在同一局域网情况下，用户可通过控制端APP实时对电脑远程桌面控制并查看电脑工作状态。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图形化编程方式及语句式编程2种方式供用户选择；图形化编程方式具有拖拽式操作界面，用户可通过图形化编程软件内的模块使用信号连接方式构建程序逻辑；语句式编程方式提供功能函数进行自定义编程，用户可以通过编程界面编写控制代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10.支持视频矩阵可视化控制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用户可通过控制端实时预览、拖动并切换矩阵视频信号，支持设置触碰和投放触发切换方式。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11.支持拼接矩阵可视化控制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用户可通过控制端实时预览、放大、缩小、拖动并切换拼接矩阵视频信号，可对输入信号源进行置底、置顶以及一键清屏等操作，支持设置触碰和投放触发切换方式。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12.支持扫二维码控制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中控主机在连接互联网的情况下会在云平台自动生成二维码，通过微信或者浏览器扫一扫二维码，即可进入控制界面，实现对中控主机控制。支持密码权限设置。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13.对接云会务系统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用户通过手机APP或WEB端预约会议室时，可设置情景类型以及开始/结束时间。会议开始前，系统会自动调用场景，场景内所有设备联动启动或切换；会议结束后设备自动关闭，极大地方便用户使用，更加节能环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1.支持级联互控功能：主机可通过网络实现级联，达到互联、互控、联动切换的效果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一台控制端即可操作多台中控主机。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2.支持双机热备份功能：当中控主机出现故障时，备用中控主机自动承担服务，切换时间≤1.2s，从而保证系统在不需要人工干预的情况下能正常运行。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3.支持音频管理：中控主机可通过对接音频处理器、音频控制模块或支持主机协议的第三方设备，实现扩声系统音量控制以及场景调用。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4.支持视频管理：通过对接矩阵系统、云台摄像机或支持主机协议的第三方视频设备，实现对摄像机控制、视频信号切换以及场景调用。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5.支持电源管理：通过对接电源时序器、电源控制器或支持主机协议的第三方设备，实现对电动窗帘、空调、投影机、投影幕、电视机、LED显示屏等设备电源控制。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6.支持灯光管理：通过对接灯光控制器、电源控制器或支持主机协议的第三方设备，实现对白炽灯、LED等设备控制。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7.支持场景调用：预先设置会议模式、观影模式、无人模式等多个场景模式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控制端只需一键操作即可完成场景内所有设备联动启动或切换，避免了繁琐的操作步骤。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8.支持状态反馈：操作人员可在控制端查看所有设备开关状态，设备受控情况一目了然，大大减轻操作人员工作强度，使用更加人性化。</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9.支持信号预览：用户可通过控制端查看会议摄像机画面并根据会议画面对设备进行调整，同时可查看多路画面。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10.支持触发联动：根据传感器采集数据和预设数据进行比对，从而自动控制空调或加湿器等设备，使环境维持在舒适的温湿度范围内。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11.支持数据备份：主机自带TF卡槽，插入TF卡可进行程序数据的备份及导入。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12.支持互联网控制：中控主机在连接互联网的情况下，用户可操作手机或平板等移动端通过互联网实现对中控主机远程控制，随时随地管理设备。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13.支持定时控制：用户可预先设置定时控制任务，到达指定时间后，中控主机自动执行控制任务。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14.支持语音控制：可搭配语音控制软件或支持对接主机的第三方语音音箱，通过将语音转换成中控指令，实现对周边设备控制或场景调用。</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83F0E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E8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D310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575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w:t>
            </w:r>
            <w:r>
              <w:rPr>
                <w:rFonts w:hint="eastAsia" w:ascii="宋体" w:hAnsi="宋体" w:cs="宋体"/>
                <w:i w:val="0"/>
                <w:iCs w:val="0"/>
                <w:color w:val="auto"/>
                <w:kern w:val="0"/>
                <w:sz w:val="22"/>
                <w:szCs w:val="22"/>
                <w:highlight w:val="none"/>
                <w:u w:val="none"/>
                <w:lang w:val="en-US" w:eastAsia="zh-CN" w:bidi="ar"/>
              </w:rPr>
              <w:t>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F34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网络中控系统逻辑处理内嵌软件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26C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1.软件嵌于中央控制系统主机中，实现系统处理、控制逻辑等功能。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2.编程软件支持添加与实际工程对应硬件的逻辑模块。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3.主要包括硬件逻辑模块、软件逻辑模块、红外代码管理、编译、下载等。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4.支持串口代码数据、继电器、I/O数据、IR红外数据等的代码转发、逻辑算法处理等编程功能。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5.支持界面设计制作及编辑，支持2D、3D按键,互锁模式等灵活的按键设计。</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7563D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5E0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C2E8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0C334">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6-6</w:t>
            </w:r>
            <w:r>
              <w:rPr>
                <w:rFonts w:hint="eastAsia" w:ascii="宋体" w:hAnsi="宋体" w:cs="宋体"/>
                <w:i w:val="0"/>
                <w:iCs w:val="0"/>
                <w:color w:val="auto"/>
                <w:kern w:val="0"/>
                <w:sz w:val="22"/>
                <w:szCs w:val="22"/>
                <w:highlight w:val="none"/>
                <w:u w:val="none"/>
                <w:lang w:val="en-US" w:eastAsia="zh-CN" w:bidi="ar"/>
              </w:rPr>
              <w:t>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5A0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控制器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A49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路电源控制器，具有手动和中控或电脑软件同时管理功能，支持所有兼容第三方开关量和远程控制设备，内置8个继电器，最大负载能力20A/单路，继电器模块具有常开和常闭接线端，方便和其他设备做联动功能，用于控制灯光、电动投影幕、电动窗帘等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1.协议通用：搭配可编程中控主机使用，支持第三方设备兼容。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2.有8个轻触开关 面板手动按键操作，分别每个按键对应一路，可以手动控制继电器的开关。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3.8路继电器，每路继电器都有三连接点的接线柱，具有常开与常闭的功能，可控制电动幕、电动吊架、电动窗帘、灯光等。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4.内置八路20A大功率继电器模块，继电器吸合力不够产生火花问题。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5.断电最后一次状态保存功能。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6.表面带红色电源指示和绿色继电器开关指示灯。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7.具有1路百兆网络接口，标准：RJ-45。网络实现远程控制。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8.支持ID识别，方便系统级联扩展，可级联到520台设备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9.设备带键盘锁，防止误操作，方便维护管理。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1.继电器数量： 8个 （支持手动控制，远程控制）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2.单路最大切换电流：20A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3.独立100V-220V开关电源供电，增强系统稳定性，最大功耗：7.2W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4.通讯方式： RS-232或网络接口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5.网络接口：RJ-45，100M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6.RS-232接口：3PIN排针</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7.波特率：9600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8.数据位：8</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9.停止位：1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10.校验位：无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11.外观：1U机箱</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107D1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C1E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C91DB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E75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w:t>
            </w:r>
            <w:r>
              <w:rPr>
                <w:rFonts w:hint="eastAsia" w:ascii="宋体" w:hAnsi="宋体" w:cs="宋体"/>
                <w:i w:val="0"/>
                <w:iCs w:val="0"/>
                <w:color w:val="auto"/>
                <w:kern w:val="0"/>
                <w:sz w:val="22"/>
                <w:szCs w:val="22"/>
                <w:highlight w:val="none"/>
                <w:u w:val="none"/>
                <w:lang w:val="en-US" w:eastAsia="zh-CN" w:bidi="ar"/>
              </w:rPr>
              <w:t>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C0C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触摸屏</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5F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1.CPU采用四核，RAM配置2GB，内存配置8GB。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2.设备采用显示器采用≥10.1 英寸高清屏，显示屏为IPS液晶屏、显示画面分辨率为1920×1200、屏幕比例为16:10，前置摄像头像素≥500W。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3.设备支持场景调用，搭配中控主机可预先设置会议模式、观影模式、无人模式等多个场景模式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触摸屏只需一键操作即可完成场景内所有设备联动启动或切换，避免了繁琐的操作步骤。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4.内置 4 个拾音麦，拾音距离可达 5 米，搭配中控主机支持通过语音助手控制切换矩阵显示画面、设备开关等功能。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5.设备具有2个10M/100M自适应以太网通信接口。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6.具有背出接口，支持网口与485串口背出，适用于嵌入式安装。具有温湿度传感器，支持采集周边温湿度环境并可将数值实时显示。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7.设备具有距离传感器，支持感应人体位置，实现人来亮屏功能。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8.设备具有光感传感器，支持采集周边环境光线亮度值并可将数值实时显示。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9.支持隐私保护功能，触摸屏拥有物理隐私拨片，滑动可遮挡摄像头，保护用户隐私。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10.设备具有1个外置USB 3.0接口、RS485接口。内置1个背光灯条，搭配中控主机可根据会议状态切换指示灯显示状态，无需接近即可了解会议室使用情况。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1.视频格式：支持4Kp60 H.264/H.265/VP9 profile0 2/1080P60 H.264, H.265。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2.音频格式：支持MP3，AAC，FLAC，WAV。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3.图片格式：支持JPG, JPEG, GIF, BMP, PNG。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4.可视区：135.36×216.576mm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5.对比度：800 min/1000typ</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6.亮度：370(min) / 450(typ)/530(Ma×)cd/㎡</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7.喇叭：8Ω 1W×1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8.工作温度：0~50℃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9.摄像头：前置≥500万像素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10.存储：温度-20~75℃；湿度≤95%RH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11.功耗：整机≤7W；待机≤5W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12.供电：100~240VAC,50/60Hz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13.支持触发联动：搭配中控主机可根据传感器采集数据和预设数据进行比对，从而自动控制空调或加湿器等设备，使环境维持在舒适的温湿度范围内。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14.支持信号预览：搭配中控主机用户可通过控制端查看会议摄像机画面并根据会议画面对设备进行调整，同时可查看多路画面。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15.分辨率：1920×1200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16.灯条：单色指示灯（BLUE）</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17.具有语音唤醒控制功能：呼唤“小慧”即可唤醒AI语音助手，通过将语音转换成中控指令，实现对周边设备控制或场景调用，并且语音识别的词条可以灵活选择开关，快速适配现场使用环境。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18.操作：温度0~50℃；湿度≤85%RH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设备支持对接会务管理系统：搭配中控主机，可通过手机APP或WEB端预约会议室，设置情景类型以及开始/结束时间；会议开始前，系统会自动调用场景，设备背光灯条自动亮起，同时联动开启室内空调、照明灯具；会议结束后设备联动关闭会议室空调、灯光等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20.设备支持多种登录方式：IP登录、云控登录、平台登录等方式均可登录进入界面对受控设备进行控制。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21.WiFi/3G/4G/蓝牙：支持WIFI2.4G/5G 802.11a/b/g/n/ac、BT-5.0。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22.支持状态反馈：操作人员可在此面板端查看所有设备开关状态，设备受控情况一目了然，减轻操作人员工作强度，使用更加人性化。</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23.触摸屏：≥10.1 英寸 G+FF，工艺≥10点触控</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69164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BD3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C5CC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991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A93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新中控编辑软件</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544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1.软件内嵌于中央控制系统触控设备，实现系统控制逻辑、处理等功能。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2.支持编程图片、图形、文字、按键等更具人性化的界面。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3.软件界面简单清晰、操作方便。</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40CB1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CD5B3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9E46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E91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A29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安卓平板电脑</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FA0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≥10.9英寸</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120Hz高刷全面屏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影音娱乐办公学习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平板电脑8+128GB WIFI</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EC12B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294D2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FB52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252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6-69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235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路由器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C07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1500M高速双频wifi 无线穿墙 路由 5G双频智能千兆无线路由，支持2x2 MIMO</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7B217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0B51E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CAEF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8D19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13.周边设备</w:t>
            </w:r>
          </w:p>
        </w:tc>
      </w:tr>
      <w:tr w14:paraId="41F23D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9E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A37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电源管理器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2E5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1.设备采用标准2U机箱设计。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2.8通道电源时序打开/关闭。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3.设备单个通道最大负载功率3500W，所有通道负载总功率达6000W。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4.设备支持远程控制（上电+24V直流信号）8通道电源时序打开/关闭—当电源开关锁处于off位置时有效；支持配置CH1和CH2通道为受控或不受控状态。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5.设备远程控制功能支持级联控制输出。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6.输入连接器：大功率电源连接器。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7.输出连接器：2个16A，2个16A 接线端子和4个10A电源插座。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8.USB 输出接口，可以接LED灯。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1.额定输出电压  ：AC ~220V 50Hz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2.额定输出电流  ：30A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3.可控制电源  ：8路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4.每路动作延时时间  ：1秒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5.输入电压：~220V(50/60Hz)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6.单路额定输出电源：4个16A，4个10A</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FF3D3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70F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4B704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E85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6D5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机柜</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320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1.设备全系列标准尺寸，适应不同使用场景。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2.设备颜色：砂纹黑；设备材质：冷轧钢板。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3.设备内置4根19英寸标高42U（1U=44.45mm）安装立柱，带刻度可调节。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1.设备采用全模块化组装结构。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2.设备前门为单开带锁钢制嵌边式玻璃门，侧门和后门采用快速拆卸式钢制门，机柜静态载重达到850kg快速拆卸式钢制门。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1.设备尺寸（W×D×H）：600mm×800mm×204</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2.设备预留顶部和底部进线孔：满足上下进线需求</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C3FA0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60D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1CAD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43A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074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控制室操作台</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617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控制室操作台桌椅套装</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240AD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47D73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AA51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041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6-73</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13E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交换机</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CC398">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1、端口描述：24个10/100/1000Base-T以太网端口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2、传输速率：10/100/1000Mbp</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3、产品尺寸：44</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×310×43mm（±</w:t>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mm）。</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A3E89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41C21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921E0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4FA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14.辅助线材</w:t>
            </w:r>
          </w:p>
        </w:tc>
      </w:tr>
      <w:tr w14:paraId="7BB32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3EA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6-74</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432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C39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音频跳线：三芯卡侬头（母）-三芯卡侬头（公）(5m)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9920A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32971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4F5336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525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6-75</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F7A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639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音频跳线：3.5mm接线头-双6.35mm大单芯(5m)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9E7C6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C947E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5AB48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7A8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6-76</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55F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1B0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1.8米音频连接线：卡农头（公）*1，线径：0.3mm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5B523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E02A5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69570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2F2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6-77</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3DC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416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3米音频连接线：卡农头（母）*1，线径：0.3mm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D23EB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99BA1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2960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497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6-78</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2D7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变压器</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6B6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1.音频隔离变压器，主要用于消除线路传输中的噪音信号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2.标准接线端，2路接线端子输入、2路接线端子输出</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24789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5C1D9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47179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895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6-79</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137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施工及辅材</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EEE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网线、钢管、线材等</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7C8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E99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E4A74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BBF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6-80</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3C0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窗帘</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71A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亚麻材质，自带遮光层，罗马杆</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4F0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米</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A76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80</w:t>
            </w:r>
          </w:p>
        </w:tc>
      </w:tr>
      <w:tr w14:paraId="59E5E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9D8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6-81</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619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大3P空调（强制采购节能产品）</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0D2AC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材质工艺：ABS+高光注塑工艺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形体：柜机。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能效等级：三级变频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适用面积：30m²-40m²</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D90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1B7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3E06D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1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A9E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6-82</w:t>
            </w:r>
          </w:p>
        </w:tc>
        <w:tc>
          <w:tcPr>
            <w:tcW w:w="6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ED1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主席台地台</w:t>
            </w:r>
          </w:p>
        </w:tc>
        <w:tc>
          <w:tcPr>
            <w:tcW w:w="32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E2B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做地台、木方大型板打底铺木地板6m*2.5m</w:t>
            </w:r>
            <w:r>
              <w:rPr>
                <w:rFonts w:hint="eastAsia" w:ascii="宋体" w:hAnsi="宋体" w:cs="宋体"/>
                <w:i w:val="0"/>
                <w:iCs w:val="0"/>
                <w:color w:val="auto"/>
                <w:kern w:val="0"/>
                <w:sz w:val="22"/>
                <w:szCs w:val="22"/>
                <w:highlight w:val="none"/>
                <w:u w:val="none"/>
                <w:lang w:val="en-US" w:eastAsia="zh-CN" w:bidi="ar"/>
              </w:rPr>
              <w:t>。</w:t>
            </w:r>
          </w:p>
        </w:tc>
        <w:tc>
          <w:tcPr>
            <w:tcW w:w="3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8E5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ECC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6F1D2970">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5884" w:type="pct"/>
        <w:tblInd w:w="-76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82"/>
        <w:gridCol w:w="1217"/>
        <w:gridCol w:w="6750"/>
        <w:gridCol w:w="766"/>
        <w:gridCol w:w="706"/>
      </w:tblGrid>
      <w:tr w14:paraId="644B67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00F8B16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小会议室（106㎡）</w:t>
            </w:r>
          </w:p>
        </w:tc>
      </w:tr>
      <w:tr w14:paraId="0EA1F8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590B5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0F8C8D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09FCD8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287CBE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15756C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50B27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3FD806D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1、LED显示屏系统(显示屏净尺寸3.84m*2.24m=8.6016平米，屏体分辨率：1920*1120,大屏功耗：6KW）</w:t>
            </w:r>
          </w:p>
        </w:tc>
      </w:tr>
      <w:tr w14:paraId="6F44B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3823B2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1A25710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户内全彩LED屏</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14D46A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lang w:eastAsia="zh-CN"/>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1.可用于实时监控显示现场情况、播放各种宣传广告。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2.画面细腻逼真，低亮度情况下灰度依然出色。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3.具备超高刷新速度，画面连贯性好，画面流畅度高。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4.支持画面矫正，采用伽马校正技术，可实现逐点亮度颜色校正。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5.支持智能光控，可智能调节亮度，提高画面舒适度，更节能省电。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6.超宽视角显示，显示屏可视范围更大，任意角度观看画面依然清晰。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7.支持超高清显示，采用独有的画质增强技术，有效提高图像清晰度，高速画面流畅无拖影。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8.产品无缝拼接，拼接无视觉黑缝。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9.显示模组灵活小巧，平面，弧面，流畅拼接。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10.直流低压供电，自然散热，无风扇，工作零噪音。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11.故障仅需维护单个LED像素或单个模块，维护成本低，速度快。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12.LED显示屏采用前/后维护方式，可正面拆卸模组、接收卡、电源等低压器件，具备热插拔能力。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14.具备低蓝光模式，可在控制软件中选择30%、40%、70%三档调节显示屏蓝光输出，有效减少蓝光辐射对眼睛的伤害。</w:t>
            </w:r>
          </w:p>
          <w:p w14:paraId="63E29DD4">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15.LED显示色度均匀性±0.001Cx,Cy之内；LED显示屏像素中心距相对偏差≤1%；LED显示屏平均故障恢复时间(MTTR)≤2分钟。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16.LED显示屏色温100K-20000K连续可调，可设冷色、暖色、标准等多档白场调节,色温为8500K时，100%、75%、50%、25%四档电平白场调节色温误差≤100K。</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LED显示屏为防止金属离子迁移、线路短路现象，PCB采用FR-4四层板同等级或更高材料，PCB导线更宽、导线间距和过孔间距更大，能更好的杜绝模块黑屏、显示异常、灯珠缺色、毛毛虫等现象，板厚≥1.6mm，铜厚≥1盎司，TG≥150℃，PCB板表面具备防潮/防尘/防静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1.LED封装形式：SMD1515黑灯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2.物理点间距：≤2.0mm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3.分辨率：250000点/m²</w:t>
            </w:r>
            <w:r>
              <w:rPr>
                <w:rFonts w:hint="eastAsia" w:ascii="宋体" w:hAnsi="宋体" w:cs="宋体"/>
                <w:i w:val="0"/>
                <w:iCs w:val="0"/>
                <w:color w:val="auto"/>
                <w:kern w:val="0"/>
                <w:sz w:val="22"/>
                <w:szCs w:val="22"/>
                <w:highlight w:val="none"/>
                <w:u w:val="none"/>
                <w:lang w:val="en-US" w:eastAsia="zh-CN" w:bidi="ar"/>
              </w:rPr>
              <w:t>。</w:t>
            </w:r>
          </w:p>
          <w:p w14:paraId="739256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4.灯珠/IC：国产优质铜线/高刷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5.发光点颜色组合：1R1G1B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6.模组分辨率：160×80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7.模组尺寸(宽×高)(mm)：320×160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8.模组重量：≤0.48kg/张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9.工作电压：DC+4.2V~+5V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10.最佳视距：≥6.0m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11.水平视角：≥175°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12.垂直视角：≥175°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13.刷新频率：≥4200Hz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14.换帧频率：≥60Hz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15.扫描方式：40S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16.亮度：200-800cd/m²</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17.灰度等级：12/14/16/18bit</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18.对比度：≥10000:1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19.衰减率(工作三年)：≤15%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20.亮度调节方式：通过配套软件0-100％调节；支持自动/手动，支持设置亮度定时调节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21.控制方式：同步控制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22.驱动器件：恒流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23.平均无故障时间：≥20000H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24.寿命：≥100000H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25.杂点率：≤1/100000且无连续失控点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26.环境温度：存储-35℃~+85℃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27.工作温度：－20℃~+60℃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28.工作电压(AC)：220V±10%/50Hz/60Hz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29.平均功耗：800cd/m²时≤125W/m²(600cd/m²时≤95W/m²)</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30.峰值功耗：800cd/m²时≤500W/m²(600cd/m²时≤380W/m²)</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31.安装规格：磁吸</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32.亮度均匀性：≥99%</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33.维护方式：前/后维护</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34.防护等级：IP5X</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271C3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平方米</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793BA0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8.6016 </w:t>
            </w:r>
          </w:p>
        </w:tc>
      </w:tr>
      <w:tr w14:paraId="05385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30DEDE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042EC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视频处理器</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6162C293">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1.开关键，设备开关键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2.LCD（2.0寸），分辨率为320×240，显示设备当前状态和菜单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3.旋钮，选择菜单、调节参数和确认操作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4.返回按键，退出当前菜单或取消操作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5.图层控制按键，图层开启、关闭及图层状态显示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6.输入源按键，输入源的快速操作和状态显示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7.功能快捷键，场景设置菜单按键、自定义功能按键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8.最大带载390万像素，最大宽度10240像素，最大高度8192像素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9.具备3.5mm独立音频输入输出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10.具备256个自定义场景保存和调用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11.具备6个独立窗口，窗口大小和位置可单独调节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12.具备OSD功能，可实现文字、图片、天气、时间OSD功能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13.具备个性化的画面缩放模式，包括点对点模式、全屏缩放、自定义缩放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14.具备一键全屏缩放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15.具备输入源任意截取</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16.具备逐点亮色度校正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17.具备U盘播放，即插即播，智享便捷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18.支持3D功能，通过网口搭配3D发射器和3D眼镜，实现3D显示效果</w:t>
            </w:r>
            <w:r>
              <w:rPr>
                <w:rFonts w:hint="eastAsia" w:ascii="宋体" w:hAnsi="宋体" w:cs="宋体"/>
                <w:i w:val="0"/>
                <w:iCs w:val="0"/>
                <w:color w:val="auto"/>
                <w:kern w:val="0"/>
                <w:sz w:val="22"/>
                <w:szCs w:val="22"/>
                <w:highlight w:val="none"/>
                <w:u w:val="none"/>
                <w:lang w:val="en-US" w:eastAsia="zh-CN" w:bidi="ar"/>
              </w:rPr>
              <w:t>。</w:t>
            </w:r>
          </w:p>
          <w:p w14:paraId="502DBE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19.具备微信小程序快捷控制，包括亮度调节、输出画质调节、待机模式、画面冻结、场景切换、U盘播放等功能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20.支持B/S和C/S端管控，其中B/S架构可兼容Windows、MACOS、深度Linux、银河麒麟、统信UOS中标麒麟(NeoKylin)、优麒麟(UbuntuKylin)、凝思磐石、红旗Linux等种操作系统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1.HDMI2.0×1：最大支持输入分辨率3840×2160@60Hz，支持自定义分辨率，支持HDCP1.4和HDCP2.2，支持伴随音频输入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2.HDMI1.3×2：最大支持输入分辨率1920×1080@60Hz，支持自定义分辨率，支持HDCP1.4，支持伴随音频输入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3.3G-SDI×1（选配）：最大支持输入分辨率1920×1080@60Hz，支持ST-424(3G)、ST-292(HD)和ST-259(SD)标准视频源输入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4.AUDIO×1：支持3.5mm标准音频输入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5.Port×6：RJ45，6路千兆网口输出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6.光口×1：10G光纤口接口输出（不标配光模块）</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7.HDMI1.3×1：用于预监输出显示，输出分辨率固定为1920×1080@60Hz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8.AUDIO×1：支持3.5mm标准音频输出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9.HDMI2.0×1：支持LOOP环路输出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10.3G-SDI×1（选配）：支持LOOP环路输出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11.USB(方口)×1：连接控制计算机，调试设备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12.USB3.0×1：支持U盘播放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13.ETHERNET×2：连接上位机，设备级联输入或输出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14.USB2.0×1：通过U盘进行设备固件升级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15.RS232×1：3pin中控接口，连接中控设备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16.工作电源：AC100V~240V，50/60Hz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17.额定功率：40W</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18A3A5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796E49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7055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34D5DF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w:t>
            </w:r>
          </w:p>
        </w:tc>
        <w:tc>
          <w:tcPr>
            <w:tcW w:w="589" w:type="pct"/>
            <w:tcBorders>
              <w:top w:val="single" w:color="000000" w:sz="4" w:space="0"/>
              <w:left w:val="single" w:color="000000" w:sz="4" w:space="0"/>
              <w:bottom w:val="single" w:color="000000" w:sz="4" w:space="0"/>
              <w:right w:val="single" w:color="000000" w:sz="4" w:space="0"/>
            </w:tcBorders>
            <w:noWrap w:val="0"/>
            <w:vAlign w:val="center"/>
          </w:tcPr>
          <w:p w14:paraId="2F6387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台式电脑（强制采购节能产品）</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310FCF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1.处理器：</w:t>
            </w:r>
            <w:r>
              <w:rPr>
                <w:rFonts w:hint="eastAsia" w:ascii="宋体" w:hAnsi="宋体" w:cs="宋体"/>
                <w:i w:val="0"/>
                <w:iCs w:val="0"/>
                <w:color w:val="auto"/>
                <w:kern w:val="0"/>
                <w:sz w:val="22"/>
                <w:szCs w:val="22"/>
                <w:highlight w:val="none"/>
                <w:u w:val="none"/>
                <w:lang w:val="en-US" w:eastAsia="zh-CN" w:bidi="ar"/>
              </w:rPr>
              <w:t>与</w:t>
            </w:r>
            <w:r>
              <w:rPr>
                <w:rFonts w:hint="eastAsia" w:ascii="宋体" w:hAnsi="宋体" w:eastAsia="宋体" w:cs="宋体"/>
                <w:i w:val="0"/>
                <w:iCs w:val="0"/>
                <w:color w:val="auto"/>
                <w:kern w:val="0"/>
                <w:sz w:val="22"/>
                <w:szCs w:val="22"/>
                <w:highlight w:val="none"/>
                <w:u w:val="none"/>
                <w:lang w:val="en-US" w:eastAsia="zh-CN" w:bidi="ar"/>
              </w:rPr>
              <w:t>I5</w:t>
            </w:r>
            <w:r>
              <w:rPr>
                <w:rFonts w:hint="eastAsia" w:ascii="宋体" w:hAnsi="宋体" w:cs="宋体"/>
                <w:i w:val="0"/>
                <w:iCs w:val="0"/>
                <w:color w:val="auto"/>
                <w:kern w:val="0"/>
                <w:sz w:val="22"/>
                <w:szCs w:val="22"/>
                <w:highlight w:val="none"/>
                <w:u w:val="none"/>
                <w:lang w:val="en-US" w:eastAsia="zh-CN" w:bidi="ar"/>
              </w:rPr>
              <w:t>同等能性的国产</w:t>
            </w:r>
            <w:r>
              <w:rPr>
                <w:rFonts w:hint="eastAsia" w:ascii="宋体" w:hAnsi="宋体" w:eastAsia="宋体" w:cs="宋体"/>
                <w:i w:val="0"/>
                <w:iCs w:val="0"/>
                <w:color w:val="auto"/>
                <w:kern w:val="0"/>
                <w:sz w:val="22"/>
                <w:szCs w:val="22"/>
                <w:highlight w:val="none"/>
                <w:u w:val="none"/>
                <w:lang w:val="en-US" w:eastAsia="zh-CN" w:bidi="ar"/>
              </w:rPr>
              <w:t>处理器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2.内存：16G</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3.硬盘：1TB SSD</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4.系统：</w:t>
            </w:r>
            <w:r>
              <w:rPr>
                <w:rFonts w:hint="eastAsia" w:ascii="宋体" w:hAnsi="宋体" w:cs="宋体"/>
                <w:i w:val="0"/>
                <w:iCs w:val="0"/>
                <w:color w:val="auto"/>
                <w:kern w:val="0"/>
                <w:sz w:val="22"/>
                <w:szCs w:val="22"/>
                <w:highlight w:val="none"/>
                <w:u w:val="none"/>
                <w:lang w:val="en-US" w:eastAsia="zh-CN" w:bidi="ar"/>
              </w:rPr>
              <w:t>国产操作系统。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5.包含</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21.45英寸显示器</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40E44D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50D2E1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E8D3B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60C2FC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7-4</w:t>
            </w:r>
          </w:p>
        </w:tc>
        <w:tc>
          <w:tcPr>
            <w:tcW w:w="589" w:type="pct"/>
            <w:tcBorders>
              <w:top w:val="single" w:color="000000" w:sz="4" w:space="0"/>
              <w:left w:val="single" w:color="000000" w:sz="4" w:space="0"/>
              <w:bottom w:val="single" w:color="000000" w:sz="4" w:space="0"/>
              <w:right w:val="single" w:color="000000" w:sz="4" w:space="0"/>
            </w:tcBorders>
            <w:noWrap w:val="0"/>
            <w:vAlign w:val="center"/>
          </w:tcPr>
          <w:p w14:paraId="050F93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配电柜</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5B8BF9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1.具备过流、短路、断路、过载、浪涌等全方位电气保护措施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2.具备实体按键、手持遥控器、电脑远控等多种控制方式，快捷方便，实体按键和手持遥控器仅对整个电箱同时上下电，其中手持遥控器在空旷距离下控制距离可达800米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3.具备单台、集群管理功能，采用RS485有线以太网等多种远程通信端口，在局域网内任意一台电脑进行控制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4.具备设置4组开关时间，支持每天定时通电和断电功能，设定完成后系统自动循环，满足不同场合的管理需求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5.具备通过PLC软件实现实时温度、湿度监测，实时烟雾监测，高温、高湿、烟雾告警自动断电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6.具备触发告警后，电脑自动强制弹屏提示，PLC模块、电脑蜂鸣器长鸣等多种告警方式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7.具备继电器回路整体上下电，也可通过PLC软件单独控制每个接触器的上下电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8.烟雾485通讯探头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9.壁挂式安装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10.PLC软件具备中英文双语切换界面，可运行于银河麒麟、统信、鸿蒙HarmonyOS等国产操作系统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11.PLC软件具备自动保存所有操作记录、告警记录、温湿度运行数据，支持历史记录查询，导出Excel文档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1.额定功率：10kW，输出路数:3路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2.交流接触器：(额定电流32A)*1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3.额定电流：16.8A，主断路器电流:40A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4.输入电压：三相五线制AC380V±10％，频率50Hz±5％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5.输出电压：单相220VAC</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6.控制方式：PLC远程控制+手动控制+定时控制+中控控制+遥控控制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7.内置避雷器：具有避雷防雷功能，B级防雷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8.温度测量范围：-40~+85℃，±0.3℃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9.湿度测量范围：0~100%RH，±2%RH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10.工作环境湿度：0%—95%RH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11.工作环境温度：‐10℃~+80℃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12.设备材质：冷扎钢加烤漆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13.备用三孔万能插座：10A-16A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14.外壳防护等级：IP30</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690FB9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5456F1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62A3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32D92B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5D6747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103A70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1.用于安装支撑屏体的结构及安装费用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2.包边要求：采用铝塑板，不锈钢进行包边，颜色默认为黑色及灰色，或客户自选</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3729BD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6099A720">
            <w:pPr>
              <w:keepNext w:val="0"/>
              <w:keepLines w:val="0"/>
              <w:widowControl/>
              <w:suppressLineNumbers w:val="0"/>
              <w:jc w:val="righ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2919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39BEE00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2、扩声系统</w:t>
            </w:r>
          </w:p>
        </w:tc>
      </w:tr>
      <w:tr w14:paraId="660EC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2CF330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7-6</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0D485C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专业功放</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569E9C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1.智能削峰限幅器，控制功率模块及扬声器系统在安全范围内工作。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2.智能控制强制散热设计，风机噪音小，散热效率高等特点。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3.开机软启动，防止开机时向电网吸收大电流，干扰其它用电设备。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4.具有：过压保护，欠压保护，过流保护，直流保护，输出短路保护，温控风扇等功能。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5.电源采用开关电源技术，效率高，有效的抑制电源谐波，达到欧盟绿色电源标准。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6.采用最新D类数字功放设计方案，失真小，效率高。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7.标准XLR输入接口，和LINK输出口，简洁的接口更加方便不同用户需求。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8.1U机箱设计，体积小，重量轻。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1.频率响应(@1W功率下)：20Hz-20KHz/±1dB @8Ω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2.THD+N(@1/8功率下) ：≤0.01%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3.分离度(@1KHz) ：≥80dB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4.阻尼系数(@1KHz) ：≥200@ 8 ohms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5.信噪比（A计权）：≥105dB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6.输入灵敏度：2.2dBu(1V)/8.2dBu(2V)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7.输入阻抗：10KΩ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8.输出功率：立体声8Ω ：350W×2；立体声4Ω：600W×2；桥接16Ω：700W ；桥接8Ω：1200W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9.输入电压：~220V/50Hz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10.整机功耗：200W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说明：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输出功率：是按CEA-2006-B/CEA-490-A标准使用20ms脉冲1kHz正弦波在1%总谐波失真下测量得出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整机功耗：依据GB4943.1-2022测试手法：在1kHz正弦波额定负载1/8功率条件下测得</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721CFC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3A47D7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BBDD5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26DA77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7-7</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43FA95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专业音箱</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109635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1.外壳采用倒相式，梯形结构设计，箱体尺寸设计比例巧妙的避免了箱体驻波，重放出丰富的低音。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2.完善的安装结构和安装点位设计。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3.采用1只8寸铁氧体中低音喇叭单元和1只1.4寸环形聚乙烯振膜压缩高音单元。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4.经典二分频设计，采用高纯度无氧铜电感及高品质滤波元件，再加上专业声学工程师精心调校，高音明亮丰润，低频丰富，人声清晰明朗。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5.坚硬厚实的刚性网罩保护，一体冲压成型，并覆盖了5mm高透声率声学网布，可防止灰尘或液体进入影响音质保护喇叭，增加使用寿命。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1.阻抗：8Ω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2.额定功率：200W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3.峰值功率：800W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4.灵敏度：96dB/W/M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5.最大声压级（额定/峰值）：119dB/126dB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6.覆盖角度：(H)80°(V)60°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7.频响：60Hz~20KHz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8.材料：箱体采用≥15mm夹板制作，耐磨喷漆处理</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34C0F1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58EB03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32B2F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E1A03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7-8</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4FA2E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支架</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6B1738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6-25。</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433DC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310EA2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03B416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633DD1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7-9</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1217CA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无线话筒</w:t>
            </w:r>
          </w:p>
        </w:tc>
        <w:tc>
          <w:tcPr>
            <w:tcW w:w="3270" w:type="pct"/>
            <w:tcBorders>
              <w:top w:val="single" w:color="000000" w:sz="4" w:space="0"/>
              <w:left w:val="single" w:color="000000" w:sz="4" w:space="0"/>
              <w:bottom w:val="single" w:color="000000" w:sz="4" w:space="0"/>
              <w:right w:val="single" w:color="000000" w:sz="4" w:space="0"/>
            </w:tcBorders>
            <w:noWrap w:val="0"/>
            <w:vAlign w:val="center"/>
          </w:tcPr>
          <w:p w14:paraId="1AF4EE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1.发射机指标：音头：动圈式麦克风(手持话筒)；输出功率为≥10dBm；工作电流为≤200mA；充电接口1×Type-C；单台发射机电池2×3.7V锂电池（标称）；.电池使用时长＞10H；尺寸(包括话筒头)长248.9mm×直径49.6mm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2.接收机指标：天线接口为BNC/50Ω；接收灵敏度为＜-95dBm；最大输出为平衡输出500mV，非平衡输出1000mV；电源为DC 12V/1A；工作电流为≤320mA；尺寸(W×D×H)为482×232×56mm（±2mm）。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3.系统指标：频率范围为540MHz-590MHz、640MHz-690MHz；调制方式为pi/4-DQPSK；频率响应为20Hz~20kHz （±3dB）；信噪比为≥105dB（XLR）；THD+N：＜0.1%；工作距离为视距≥80m。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4.发射机具有≥0.96英寸OLED显示屏，能够显示频率信息、音频加密状态、功率挡位、静音状态、电量格数信息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发射机供电方式灵活多样，具有1个Type-C充电接口，支持Type-C直充、专用充电底座充电及5号电池（兼容镍氢/碱性/锂电池）供电，满足不同场景需求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发射机发射功率1-7档可调，可按需调节发射功率，满足不同场景使用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接收机前面板具有2个显示屏、2个编码旋钮、2个频率扫描实体按键、2个红外对频实体按键、1个电源开关按键、1个二合一指示灯（红外发射管+对频指示灯）；后面板具有1个LINE-OUT接口、2个XLR-OUT接口、2个BNC接口、1个DC接口。发射机具有1个OLED 显示屏、1个开关机/静音按键、1个工作状态指示灯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接收机具有两路平衡输出、一路非平衡混音输出，满足用户不同需求。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6.接收机采用≥2.2英寸TFT-LCD显示屏，用户可通过显示屏查看设备射频信号强度、音频信号强度、麦克风开启状态、发射机电池电量情况、当前频率数值、音量大小、语言切换选项等，可轻松获取设备当前信息。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7.具有一键静音按键，短按按键可开启或关闭发射机静音功能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具有ID码防串扰功能，采用32位唯一ID码，用于接收和发射配对，收发ID码必须相同才能对码，能够有效防止相同频率的信号相互串台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具有长时间续航，发射机连续使用时长10小时。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8.基于数字U段的传输技术，pi/4-DQPSK调制方式，采用国产主控芯片，传输距离≥80米；具有混响、均衡、智能静音、音频加密、功率调节功能。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9.具有1台接收主机、2只手持发射机；频率范围540MHz-590MHz、640MHz-690MHz两个频段使用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发射机采用符合人体工学设计，外形圆润贴合手部曲线，握感舒适。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10.具有音频加密功能，开启后发射机与接收机通过独特的ID码导频加密技术，达到设备不串频的效果。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11.具有多频段均衡调节功能，均衡调节2197种，麦克风均衡器调节功能，具有高、中、低音三种调节档位，每种效果支持13档调节。具有自动静音功能，麦克风跌落、抛掷时，毫秒级自动静音，避免冲击声。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12.具有自动频率扫描功能，通过红外扫描和同步，将发射机与接收机轻松配对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具有多档位混响调节功能，三种音效各具有25档调节方式。</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0ED8D7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2645F5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7721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3D92EA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7-10</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03516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话筒呼叫控制嵌入软件</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3FE08C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6-32。</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7217B9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73DE13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D0A5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4C5704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7-11</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6DF6A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充电底座</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1335891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eastAsia="zh-CN"/>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6-35。</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09FDF4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7C21AD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9852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2D838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7-12</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E8E62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智能充电管理软件</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251F93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6-36。</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568E94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227631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5FF7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2A2286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7-13</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3BA1BA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话筒天线</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2C46C4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1.天线接收频段广，可接收 470-950MHZ 的频率。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2.此款天线安装方便，简易。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3.电压驻波比为≤2.0。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4.极化方式为线极化。</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5.此天线具有防腐蚀、抗紫外线、防震及轻型的特点，在不同环境下可长时间及稳定工作。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6.此壁挂天线在有源的状态下，天线在其面向 180 度接收角度范围广，比指向性天线 覆盖的范围广。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7.最大增益为8.0dBi。</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1.工作温度:-30～+60℃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2.天线尺寸:207×177×44.5mm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3.供电电压:DC 8～12V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4.输入阻抗:50Ω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5.放大器OIP3:＞25dBm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6.放大器增益：五档可调（+3dB/+6dB/+10dB/+16dB）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7.指向性:180°指向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8.接头型号:BNC 接头</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76975E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3349C0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16F6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792AB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7-14</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05B7FA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数字调音台</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39762D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1.支持30组场景预设，可导入USB存储，便于备份调用。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2.内置自适应陷波反馈抑制算法。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3.内置正弦波、白/粉噪声信号发生器。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4.内置USB录音、播放功能，支持APE\MP3\FLAC\WAV无损音频格式。内置4G的媒体空间，可导入音乐文件或导出录音文件。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5.每路输入通道具有6段参量均衡器、压缩器、噪声门、极性、延时器。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6.每路输出通道具有8段参量均衡器、31段图示均衡器、高低通滤波器、压限器、延时器。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7.具有防误触碰、误操作面板锁。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8.具有8路DCA编组、8路静音编组，输入输出、效果器通道均可编入。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9.具有7路输出通道，包含1组立体主输出通道、4路AUX辅助输出通道、1路TRS监听输出通道。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10.具有4个内置效果器，设备自带有经典混响、大房间混响等效果。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11.具有1路网络接口，支持主流操作系统windows、linux ubuntu、Android、ios、MacOS进行远程控制。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12.具有1个7英寸高清触摸屏，友好的软件界面和清晰的导航设计，支持1024×600分辨率。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13.具有16路输入通道，包含8路数字增益话放通道、2路高阻单声通道、2组立体声输入通道、2路USB播放通道。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14.独特的Link连接功能，可进行相邻通道绑定设置。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1.采样率：48kHz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2.信噪比：-90dBu</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3.总谐波失真&amp;噪声：＜0.002% @ 18dBu A+权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4.屏幕：7英寸高清触摸屏，1024×600分辨率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5.频率响应(20Hz～20KHz)：20Hz~20kHz ,±0.2dB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6.量化位数：24bit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7.最大电平(输入)：+20dBu，平衡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8.最大电平(输出)：+18dBu，平衡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9.幻象供电：48V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10.模/数动态范围：108dB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11.数/模动态范围：108dB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12.输入阻抗(平衡式)：20KΩ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13.输出阻抗(平衡式)：100Ω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14.通道隔离度@1KHz：100dB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15.输入：8路平衡式XLR/TRS组合输入接口；2路TRS单声道高阻输入接口；2组TRS立体声输入接口；2路USB3.0输入声卡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16.输出：1组立体主输出；4路AUX辅助输出；1路TRS监听输出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17.工作温度：0℃-55℃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18.工作电源：19V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19.电源功耗：30W</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7FBD03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2A742C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A25B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4DA9C2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7-15</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5CEDA1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AI音频处理器</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5FC36A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1.产品具有PC客户端、手机移动端、安卓平板端不同控制方式，可以通同时登入APP软件、PC客户端同时连接设备，并实现多端数据的同步。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2.支持通过安卓手机，平板APP软件进行操作控制，设备登录、场景切换、输入输出、矩阵路由和通道设置等功能。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3.支持断电自动保护记忆功能。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4.具有4路线路音频凤凰端子平衡输入接口（具有48V幻象供电）、4路线路音频凤凰端子平衡输出接口、1个拨码开关、1个RJ45接口、1个RS232接口、1个RS485接口、8个可编程GPIO控制接口、1个接地柱。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5.具有4路平衡式话筒/线路，采用裸线接口端子，平衡接法。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6.具有4路平衡式线路输出，采用裸线接口端子，平衡接法。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7.设备具有统一集中控制功能，支持65535台设备通过软件集中控制。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8.具有矩阵增益调节功能，每个输入通道参与混音的增益可调，增益调节范围-72db到12db。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9.具有Web页面管理功能，可以通过Web页面下载控制软件，可以通过Web页面调节每个通道的增益。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10.产品实现与运维平台的云端协同，支持设备联网后自动检测OTA升级固件包，具备完整的远程固件更新能力。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11.设备具有编码旋钮和IPS屏幕，可用于控制和配置设备静音，增益，场景；IPS屏幕能够显示IP地址，输入和输出通道的实时电平。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12.高性能四核ARM CorteX-A53处理器（2.0GHZ主频），32-bit/48KHz AD/DA，专业 DSP 处理，提供卓越的高品质声音。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13.具有4进4出音频矩阵，输入可根据音源的不同调整灵敏度。每路输入支持48V幻象电源供电，可单独配置开启关闭，灵活方便。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输入通道支持前级放大、信号发生器、扩展器、压缩器、均衡器（12段参量均衡、可选10/15/31段图示均衡器可调，图示均衡器可用于单独调节带宽）、闪避器、AGC自动增益、AM自动混音功能（门限式、增益共享式）、AFC自适应反馈消除、AEC回声消除、ANC噪声消除、音频矩阵；输出通道支持均衡器（16段参量均衡、可选10/15/31段图示均衡器可调，图示均衡器可用于单独调节带宽）、延时器、分频器、高低通滤波器、限幅器；基于啸叫检测门限更新法，具有移频+陷波组合反馈抑制，可以使用24个可编程陷波点，可自由分配动态/静态点，自动/手动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15.极低的系统处理延时。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16.面板具有≥2英寸IPS真彩显示屏，显示设备网络信息、实时电平、通道静音状态、矩阵混音等状态。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17.面板具备USB接口，支持多媒体存储，可进行存储录音或播放。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18.支持场景预设、导入、导出。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19.具有恢复出厂设置功能。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20.具有RS-232 接口，可用于对接外部中控系统，实现集中管控。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21.具有RS-485 接口，可对接中控系统、摄像跟踪系统，可实现自动摄像跟踪功能。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22.具有可编程 GPIO 控制接口（可自定义输入输出）。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23.支持通道拷贝、粘贴、联控功能。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24.Enternet 多用途数据传输及控制端口，可以支持实时管理单台及多台设备。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25.音频处理器具有跨平台软件。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26.具有设备定位功能，客户端一键定位局域网内同类设备，被定位的设备会显示定位信息。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音频处理器软件可融入会议音频综合管理平台实现音频设备统一管理，平台可扫描数字会议主机、音频处理器、混音器、抑制器、功放类产品在线情况，同款产品多台在线设备也可扫描，并显示设备硬件名称、硬件IP地址、在线、离线状态信息；具备一键上传配置信息至云端或保存本地进行备份和一键还原配置信息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28.支持中控控制功能，实现增益加减，增益限制，每个通道电平条查询，增益加减步进值设置。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29.支持双机热备份功能，采用先进的数据同步技术，两台机器使用过程中配置内容实时同步，一旦主机出现音频丢失，立即自动切换至备份主机保证全程流畅进行。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采用AI人工智能宽度学习算法进行噪声抑制，根据不同使用场景提供≥三个AI语音降噪档位可调整，有效降低甚至消除语言扩声系统中非人声类噪音信号，如拍掌、敲击桌子等非稳态噪声以及空调声、风扇声等稳态噪声，确保语音清晰度和可懂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31.总谐波失真+噪声：≤0.002% OUTPUT=18dBu/1kHz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32.信噪比：≥112dB@1kHz 18dBu（A计权）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33.通道分离度：≥100dB@1kHz 18dBu（A计权）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34.降噪能力：≥40dB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35.输入阻抗(平衡式)：平衡：20KΩ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36.最大输出阻抗(平衡式)：平衡：100Ω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37.输入范围：≤+18dBu</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1.频率响应：20Hz～20KHz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2.啸叫寻找与抑制方式：全自动式陷波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3.扩展器功能：扩展信号的动态范围，用于消除设备的底噪。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4.闪避器功能：用于背景音乐自动闪避话筒发言，提供多种参数设置，方便现场灵活运用。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5.话筒自动增益功能：用于控制话筒的拾音信号的动态范围，实现远近音质一致。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6.分频器功能：提供贝塞尔、林克威治-瑞利、巴特沃斯三种滤波器类型供选择，并且支持6/12/18/24/32/40/48db/oct斜率设置，滤波器全频段可调。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7.Q值范围：10-50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8.频率分辨率：1Hz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9.啸叫寻找时间：0.1—0.5S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10.限幅器功能：限制输出信号的大小，防止信号过大损坏扩声设备。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11.延时器功能：提供最大2000ms延时调整，用于调整各路输出信号延时，使得各路音频信号在到达听众耳朵保持同步。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12.压缩器功能：压缩信号的动态范围，用于压缩输出信号的大小。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13.模/数动态范围：116dB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14.数/模动态范围：120dB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15.智能混音功能：包括增益共享混音以及门限自动混音两种方式，输入通道可单独选择是否参与智能混音，可根据不同的场景应用需求，选择相应的混音模式。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16.回声消除功能：用于远程音视频会议，消除回声，增加语音清晰度；回声消除可以根据视频会场（房间）大小选择不同档位（具有小房间、中房间、大房间）三挡可选。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17.FFT长度：1024</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18.传声增益：4—10dB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均衡器功能：提供参量均衡器和图示均衡器，每路输入具有12段参量均衡器/10段图示均衡器/15段图示均衡器/31段图示均衡器可供选择，每路输出具有16段参量均衡器/10段图示均衡器/15段图示均衡器/31段图示均衡器可供选择。参量均衡器支持高架、低架、峰值滤波器三种类型，图示均衡器支持单点带宽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20.系统增益：0dB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21.反馈抑制功能：陷波器+移频器两种处理方案，有效解决声反馈问题。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22.陷波器：24个（静态点和动态点可配）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23.噪声消除功能：可以有效消除空调声、风扇声等环境噪声，提高语音清晰度稳态降噪等级可根据现场需求调节不同档位（具有6dB、12dB、18dB、24dB、30dB五档可选）。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24.供电范围：AC 110V-240V 50-60Hz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25.电源功耗：≤20W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26.工作温度：-10℃～+45℃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27.相对湿度：20%～80%相对湿度，无结露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28.冷却：风机强制散热</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55B2F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34081A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2034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EE7E5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7-16</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12320B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会议音频综合管理平台软件</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7F2175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软件概况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跨平台使用，音频综合管理平台软件可运行于windows操作系统或国产操作系统或macOS系统或统信UOS或Ubuntu桌面版操作系统；其中支持跨平台的子模块包括：电子桌牌软件模块、智能混音器软件模块、数字音频处理器软件模块、智控数字专业功放软件模块、全数字会议系统综合控制软件模块（国产）、智能充电管理软件模块、数字调音台控制软件模块、数字调音台管理软件模块（兼容8路调音台）、FIR音箱处理器软件模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软件具有数字音频处理器软件模块，软件支持多设备管理、8场景切换、在线批量升级、用户管理，恢复出厂设置、备份还原、摄像跟踪、实时啸叫点检测、深度可调陷波器、高精度移频、自动混音、回声消除、限幅器、均衡器、延时器、GPIO设置、串口设置等音频参数配置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3.软件具有电子桌牌软件模块，支持铭牌设置及更新、自定义投票表决、模拟排位、签到、表决、 IP 设置、集中控制（一键关机、息屏、清屏、亮屏功能）、无线表决器人员设置。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4.软件具有反馈抑制器软件模块，支持反馈抑制AFC、场景切换及导入导出、在线固件升级、多设备管理、用户管理、信号选择、模拟输入、模拟输出、陷波器、噪声门、限幅器的音频参数配置功能。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登入后，进入各子模块，包括反馈抑制器软件模块、智能充电管理软件模块、数字调音台控制软件模块、智能混音器软件模块、数字音频处理器软件模块、智控数字专业功放软件模块、数字调音台管理软件模块、FIR音箱处理器软件模块，无需反复输入密码，可以直接进入界面操作、控制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软件具有数字调音台控制软件模块，支持设备管理、场景管理、通道分类导航、显示通道列表、增益调节、静音选择、灵敏度、相位切换、幻象供电、信号延时、通道监听、声像/平衡、通道联调、效果器类型、均衡器、噪声门、压缩器、限幅器、反馈抑制器、通道复制、设备信息、本机地址、面板锁、语言切换、恢复出厂设置、自检信号发生器、监听类型、自动混音、静音编组、录播、固件升级、自定义按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7.平台支持与全数字会议系统软件模块、电子桌牌软件模块实现数据联动功能，支持在平台显示数字会议系统会议、数字会议系统会议服务、电子桌牌系统会议服务等信息。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软件具有FIR音箱处理器软件模块，支持设备列表、延时器、RMS压缩器、噪声门、动态响度滤波器、峰值限幅器、场景列表、输入/输出矩阵、硬限幅器、输入均衡器、输出均衡器、FIR导入、导出、FIR编辑、麦克风测试功能、自动均衡、信号发生器、恢复出厂设置及中英文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通过平台扫描并管理设备，支持（包括电子桌牌、音频处理器、智能混音器、反馈抑制器、数字功放、FIR音箱处理器、充电底座、桌面式数字调音台、机架式数字调音台）的功能，支持手动添加（包括全数字会议系统主机、国产会议主机、PDU电源时序器）设备，在平台查看设备硬件名称、硬件IP地址、在线、离线状态信息；可针对不同硬件类型选择适用软件版本，并直接下载或打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软件功能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1.具有安卓无线表决器软件模块：软件支持评分投票类型满意度测评表决、常规签到表决和会议管理、投票多选项、设备亮度、场景选择、屏幕休眠时间设置、投票签到提示音、呼叫服务等表决器功能。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2.具有全数字会议系统软件模块，具有话筒管理、会议管理、签到、表决、模拟排位、摄像跟踪、译员机多语言功能。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音频综合管理平台具有应用列表，通过平台可下载全数字会议系统软件模块、电子桌牌软件模块、反馈抑制器软件模块、数字音频处理器软件模块、智控数字专业功放软件模块、全数字会议系统综合控制软件模块（国产）、音频矩阵管理软件模块、FIR音箱处理器软件模块、智能混音器软件模块、数字调音台管理软件模块、智能充电管理软件模块、数字调音台控制软件模块、网络PDU管理系统模块，下载后在主界面实时显示，可选择打开应用、卸载应用，应用上移、下移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4.具有音频矩阵管理软件模块，具备远程控制功能，支持设备管理、远程切换场景、场景预案、IO关联。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音频综合管理平台集成全数字会议系统软件模块、智控数字专业功放软件模块、全数字会议系统综合控制软件模块（国产）、FIR音箱处理器软件模块、智能充电管理软件模块、数字调音台控制软件模块、电子桌牌软件模块、反馈抑制器软件模块、智能混音器软件模块、数字音频处理器软件模块、音频矩阵管理软件模块、数字调音台管理软件模块、网络PDU管理系统模块，各模块打开呈现在状态栏窗口，可快速管理和调用，并具备自动检测音频处理器、智能混音器、反馈抑制器、数字功放、FIR音箱处理器、充电底座、数字调音台设备硬件版本、软件版本功能；检测到有新版本时提供更新提示，可对硬件进行升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6.具有系统设置功能：可设置软件是否开机自动启动功能；支持设备关闭功能键最小化或者直接退出程序。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音频综合管理平台具有软件配置信息备份和还原功能，通过平台可以一键备份全数字会议系统软件模块、反馈抑制器软件模块、智能混音器软件模块、数字调音台管理软件模块、数字音频处理器软件模块、智控数字专业功放软件模块、智能充电管理软件模块、数字调音台控制软件模块、FIR音箱处理器软件模块配置信息上传云端或者保存本地；可通过平台一键还原备份的数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8.音频综合管理平台具有应用中心功能，支持通过关键字查找不同系统应用，支持13款软件。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9.具有智能混音器软件模块：软件支持多设备管理、4场景切换、在线批量升级，分组设置、数据备份、自定义通道名称、自动混音、矩阵、分频器、均衡器、闪避器的音频参数配置调节。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数字调音台管理软件模块：支持设备管理、限幅器、反馈抑制器、通道复制、设备信息、本机地址、面板锁、语言切换、恢复出厂设置、场景管理、通道分类导航、显示通道列表、增益调节、音量调节、静音选择、相位切换、噪声门、压缩器、幻象供电、信号延时、通道监听、声像/平衡、通道联调、效果器类型、均衡器、自检信号发生器、监听类型、自动混音、静音编组、USB录音、USB播放、自定义按键、固件升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2.具有智能充电管理软件模块：支持管理充电底座、多设备同时管控、充电状态查看、手持麦克风、腰包机等设备，支持区域管理、网络和串口固件升级、设备日志记录、云端日志上传、中英文切换。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智控数字专业功放软件模块：软件支持多设备管理、通道复制、桥接模式、灵敏度设置、在线固件批量升级、音量调节、正反向切换、矩阵、输入输出、扩展器、压缩器、限幅器、均衡器、分频器的音频参数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4.具有网络PDU管理系统模块：支持电源监控、插座状态、总控开关、插座排程、电能计量、系统设置。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5.具有全数字会议系统综合控制软件模块（国产）：支持签到、组织架构管理、模拟排位、表决、会议服务、话筒管理、会议管理、人员管理、摄像跟踪、译员机语种。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平台具有AI助手（需要连接广域网才能使用）：支持通过智能问答与快捷指令协助用户操作，能够基于语义理解识别用户意图，并完成平台内子软件的打开、关闭、下载、跳转等指令执行；内置产品知识库，可通过AI助手查询产品功能、修改IP地址指引、音频处理功能说明、设备应用解答等信息；支持上下文理解与多轮对话，内置可扩展的常用操作指令模板，并支持生成系统运行报告；平台可对接大模型，为用户提供实时智能问答，用户在交互界面输入问题后，AI助手生成的结果将显示在专用回答框内。</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00043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332140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961F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5602F1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3、数字会议系统</w:t>
            </w:r>
          </w:p>
        </w:tc>
      </w:tr>
      <w:tr w14:paraId="29176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196DBA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7-17</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676C5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全数字会议系统主机</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39EA1A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参数同序号6-4</w:t>
            </w:r>
            <w:r>
              <w:rPr>
                <w:rFonts w:hint="eastAsia" w:ascii="宋体" w:hAnsi="宋体" w:cs="宋体"/>
                <w:i w:val="0"/>
                <w:iCs w:val="0"/>
                <w:color w:val="auto"/>
                <w:sz w:val="22"/>
                <w:szCs w:val="22"/>
                <w:highlight w:val="none"/>
                <w:u w:val="none"/>
                <w:lang w:val="en-US" w:eastAsia="zh-CN"/>
              </w:rPr>
              <w:t>2</w:t>
            </w:r>
            <w:r>
              <w:rPr>
                <w:rFonts w:hint="eastAsia" w:ascii="宋体" w:hAnsi="宋体" w:eastAsia="宋体" w:cs="宋体"/>
                <w:i w:val="0"/>
                <w:iCs w:val="0"/>
                <w:color w:val="auto"/>
                <w:sz w:val="22"/>
                <w:szCs w:val="22"/>
                <w:highlight w:val="none"/>
                <w:u w:val="none"/>
              </w:rPr>
              <w:t>一致。</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4C820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280C4F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6BBD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F9041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7-18</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98F23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数字会议系统</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7F5392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6-43</w:t>
            </w:r>
            <w:r>
              <w:rPr>
                <w:rFonts w:hint="eastAsia" w:ascii="宋体" w:hAnsi="宋体" w:eastAsia="宋体" w:cs="宋体"/>
                <w:i w:val="0"/>
                <w:iCs w:val="0"/>
                <w:color w:val="auto"/>
                <w:sz w:val="22"/>
                <w:szCs w:val="22"/>
                <w:highlight w:val="none"/>
                <w:u w:val="none"/>
              </w:rPr>
              <w:t>一致。</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792A58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074E6C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12A6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AB104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7-19</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1D285B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AI会议话筒处理器</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6EDF0C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6-44</w:t>
            </w:r>
            <w:r>
              <w:rPr>
                <w:rFonts w:hint="eastAsia" w:ascii="宋体" w:hAnsi="宋体" w:eastAsia="宋体" w:cs="宋体"/>
                <w:i w:val="0"/>
                <w:iCs w:val="0"/>
                <w:color w:val="auto"/>
                <w:sz w:val="22"/>
                <w:szCs w:val="22"/>
                <w:highlight w:val="none"/>
                <w:u w:val="none"/>
              </w:rPr>
              <w:t>一致。</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AB5E7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2CA8B5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BE11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5AE83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7-20</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47B327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会议话筒</w:t>
            </w:r>
          </w:p>
        </w:tc>
        <w:tc>
          <w:tcPr>
            <w:tcW w:w="3270" w:type="pct"/>
            <w:tcBorders>
              <w:top w:val="single" w:color="000000" w:sz="4" w:space="0"/>
              <w:left w:val="single" w:color="000000" w:sz="4" w:space="0"/>
              <w:bottom w:val="single" w:color="000000" w:sz="4" w:space="0"/>
              <w:right w:val="single" w:color="000000" w:sz="4" w:space="0"/>
            </w:tcBorders>
            <w:noWrap w:val="0"/>
            <w:vAlign w:val="center"/>
          </w:tcPr>
          <w:p w14:paraId="1D7E67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1.设备具有发言计时和定时发言功能。采用先进处理芯片架构，及独特的处理算法。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2.设备具≥有4.3英寸触摸屏，支持通道同声传译且单元具有双通道收听功能，可同时收听不同译员通道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具备耳机接口，可收听通道任意一通道的声音。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3.设备支持web页面固件升级功能。单元支持IP地址嗅探功能，通过PC工具可以查找到未知单元的ID号、IP地址、MAC地址参数。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4.设备具有  EQ 调节功能，可针对发言者的声音特点调节不同的音效</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单元通信采用标准TCP/IP协议，且每个单元可支持ping包功能。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5.主席具备优先权功能，可关闭正在发言的所有代表话筒</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单元具有发言计时和定时发言功能，代表机具有申请发言功能。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6.设备具有声控功能，可智能打开话筒。通过PC软件调节声控灵敏度及设置关闭时间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单元内部具有反馈抑制功能，具有声控功能，声控灵敏度可调。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7.采用会议主机供电，具有非压缩音频传输技术，48K 采样率。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8.设备支持 PC 软件话筒控制，支持声控功能。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9.设备采用100M网络传输，网络连接采用网线手拉手。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10.设备在PC软件的主机配置页面，可设置是否显示时钟（选择否时，时钟隐藏）。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11.设备支持签到功能，也可以通过PC软件禁止单元签到、控制单元签到功能。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12.设备支持表决功能，有多种表决模式选择，且选项内容可自定义下发到单元显示。每个话筒单元具有独立的 web 控制页面，支持四种语言切换、调节话筒 ID 号、话筒灵敏度、话筒 EQ 等参数。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1.签到功能：</w:t>
            </w:r>
            <w:r>
              <w:rPr>
                <w:rFonts w:hint="eastAsia" w:ascii="宋体" w:hAnsi="宋体" w:cs="宋体"/>
                <w:i w:val="0"/>
                <w:iCs w:val="0"/>
                <w:color w:val="auto"/>
                <w:kern w:val="0"/>
                <w:sz w:val="22"/>
                <w:szCs w:val="22"/>
                <w:highlight w:val="none"/>
                <w:u w:val="none"/>
                <w:lang w:val="en-US" w:eastAsia="zh-CN" w:bidi="ar"/>
              </w:rPr>
              <w:t>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.供电方式：会议主机供电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.最大声压级：120dB(THD＜3%)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.频率响应：80Hz~16kHz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.信噪比：＞80dB(A)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.灵敏度：-40±1dB (0dB=1V/Pa,at1KHz)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.最大功耗：3W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.动态范围：＞80dB</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90F67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4EB54C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0A87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51494A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7-21</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2C99A6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会议主席控制内嵌软件</w:t>
            </w:r>
          </w:p>
        </w:tc>
        <w:tc>
          <w:tcPr>
            <w:tcW w:w="3270" w:type="pct"/>
            <w:tcBorders>
              <w:top w:val="single" w:color="000000" w:sz="4" w:space="0"/>
              <w:left w:val="single" w:color="000000" w:sz="4" w:space="0"/>
              <w:bottom w:val="single" w:color="000000" w:sz="4" w:space="0"/>
              <w:right w:val="single" w:color="000000" w:sz="4" w:space="0"/>
            </w:tcBorders>
            <w:noWrap w:val="0"/>
            <w:vAlign w:val="center"/>
          </w:tcPr>
          <w:p w14:paraId="29519D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1.软件内嵌于会议单元设备，应用于音频传输软件的管理或控制。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2.支持签到功能，也可以通过PC软件禁止单元签到、控制单元签到等功能。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3.支持48KHz采样率音频处理能力。</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6802D0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7FBB8A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E1FF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62438A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7-22</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1DEB5F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会议话筒</w:t>
            </w:r>
          </w:p>
        </w:tc>
        <w:tc>
          <w:tcPr>
            <w:tcW w:w="3270" w:type="pct"/>
            <w:tcBorders>
              <w:top w:val="single" w:color="000000" w:sz="4" w:space="0"/>
              <w:left w:val="single" w:color="000000" w:sz="4" w:space="0"/>
              <w:bottom w:val="single" w:color="000000" w:sz="4" w:space="0"/>
              <w:right w:val="single" w:color="000000" w:sz="4" w:space="0"/>
            </w:tcBorders>
            <w:noWrap w:val="0"/>
            <w:vAlign w:val="center"/>
          </w:tcPr>
          <w:p w14:paraId="76FC2C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7-20</w:t>
            </w:r>
            <w:r>
              <w:rPr>
                <w:rFonts w:hint="eastAsia" w:ascii="宋体" w:hAnsi="宋体" w:eastAsia="宋体" w:cs="宋体"/>
                <w:i w:val="0"/>
                <w:iCs w:val="0"/>
                <w:color w:val="auto"/>
                <w:sz w:val="22"/>
                <w:szCs w:val="22"/>
                <w:highlight w:val="none"/>
                <w:u w:val="none"/>
              </w:rPr>
              <w:t>一致。</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22E423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4F88C3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r>
      <w:tr w14:paraId="59923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9074C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7-23</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572249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全数字会议系统音频传输内嵌软件</w:t>
            </w:r>
          </w:p>
        </w:tc>
        <w:tc>
          <w:tcPr>
            <w:tcW w:w="3270" w:type="pct"/>
            <w:tcBorders>
              <w:top w:val="single" w:color="000000" w:sz="4" w:space="0"/>
              <w:left w:val="single" w:color="000000" w:sz="4" w:space="0"/>
              <w:bottom w:val="single" w:color="000000" w:sz="4" w:space="0"/>
              <w:right w:val="single" w:color="000000" w:sz="4" w:space="0"/>
            </w:tcBorders>
            <w:noWrap w:val="0"/>
            <w:vAlign w:val="center"/>
          </w:tcPr>
          <w:p w14:paraId="2C10DF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7-21</w:t>
            </w:r>
            <w:r>
              <w:rPr>
                <w:rFonts w:hint="eastAsia" w:ascii="宋体" w:hAnsi="宋体" w:eastAsia="宋体" w:cs="宋体"/>
                <w:i w:val="0"/>
                <w:iCs w:val="0"/>
                <w:color w:val="auto"/>
                <w:sz w:val="22"/>
                <w:szCs w:val="22"/>
                <w:highlight w:val="none"/>
                <w:u w:val="none"/>
              </w:rPr>
              <w:t>一致。</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57C495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102730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r>
      <w:tr w14:paraId="05F4A6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63C99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7-24</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2B1741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连接线</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5D6AB5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20米6芯数据连接线（成品线-公母口，母口端放机柜）</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23EC3C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01F2E5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E62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6D2064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7-25</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400424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插座</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38593A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1.功耗：1.5W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2.网口规范：IEEE802.3、 IEEE802.3u、IEEE802.3x</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3.供电方式：六芯口供电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.安装方式：地面式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.扩展网络接口：支持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.防水泥功能：支持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.连接方式：一进三出，可以实现手拉手级联</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06D898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252EAF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B4D3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344F175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4、辅助线材</w:t>
            </w:r>
          </w:p>
        </w:tc>
      </w:tr>
      <w:tr w14:paraId="1E55D9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6DF361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7-26</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5406BD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电源管理器</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4FDC6D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1.设备采用标准2U机箱设计。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2.8通道电源时序打开/关闭。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3.设备单个通道最大负载功率3500W，所有通道负载总功率达6000W。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4.设备支持远程控制（上电+24V直流信号）8通道电源时序打开/关闭—当电源开关锁处于off位置时有效；支持配置CH1和CH2通道为受控或不受控状态。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5.设备远程控制功能支持级联控制输出。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6.输入连接器：大功率电源连接器。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7.输出连接器：2个16A，2个16A 接线端子和4个10A电源插座。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8.USB 输出接口，可以接LED灯。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1.额定输出电压  ：AC ~220V 50Hz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2.额定输出电流  ：30A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3.可控制电源  ：8路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4.每路动作延时时间  ：1秒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5.输入电压：~220V(50/60Hz)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6.单路额定输出电源：4个16A，4个10A</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4F6103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1F0D6E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396A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0A923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7-27</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5625F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机柜</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4255B2B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设备概况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1.设备全系列标准尺寸，适应不同使用场景。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2.设备颜色：砂纹黑；设备材质：冷轧钢板。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3.设备内置</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4根19英寸标高24U（1U=44.45mm）安装立柱，带刻度可调节。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1.设备采用全模块化组装结构。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2.设备前门为单开带锁钢制嵌边式玻璃门，侧门和后门采用快速拆卸式钢制门，机柜静态载重达到850kg快速拆卸式钢制门。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1.设备尺寸（W×D×H）：600mm×800mm×124</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2..设备预留顶部和底部进线孔：满足上下进线需求</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5ACDCE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18434E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8435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498DCE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7-28</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C2D3A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多媒体插座</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66E092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配置接口：1个多功能电源，网络，3.5音频，HDMI</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2208B4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5CCD84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6B00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E2157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7-29</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0E0FDA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3EF922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音频跳线：三芯卡侬头（母）-三芯卡侬头（公）(1.8m)</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4F639D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529157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765FA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4DEB1D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7-30</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5E235E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7DD398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音频跳线：3.5mm接线头-双6.35mm大单芯(5m)</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73D3F3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68BC7C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8441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595217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7-31</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0FCF67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4D7CE6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1.8米音频连接线：卡农头（公）*1，线径：0.3mm</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32DF57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57E31B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64068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6B8940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7-32</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663809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5C03DE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1.8米音频连接线：卡农头（母）*1，线径：0.3mm</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73D0B8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453986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2E961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475C8C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7-33</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4A63C4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变压器</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5FC4D3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设备功能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1.音频隔离变压器，主要用于消除线路传输中的噪音信号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2.标准接线端，2路接线端子输入、2路接线端子输出</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0"/>
            <w:vAlign w:val="center"/>
          </w:tcPr>
          <w:p w14:paraId="0B88CF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42" w:type="pct"/>
            <w:tcBorders>
              <w:top w:val="single" w:color="000000" w:sz="4" w:space="0"/>
              <w:left w:val="single" w:color="000000" w:sz="4" w:space="0"/>
              <w:bottom w:val="single" w:color="000000" w:sz="4" w:space="0"/>
              <w:right w:val="single" w:color="000000" w:sz="4" w:space="0"/>
            </w:tcBorders>
            <w:noWrap w:val="0"/>
            <w:vAlign w:val="center"/>
          </w:tcPr>
          <w:p w14:paraId="1602B8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226E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17A66D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7-34</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0780C4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施工及辅材</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27E133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网线、钢管、线材</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6A85F3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78A6FA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3326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72726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7-35</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2308BC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窗帘</w:t>
            </w:r>
          </w:p>
        </w:tc>
        <w:tc>
          <w:tcPr>
            <w:tcW w:w="3270" w:type="pct"/>
            <w:tcBorders>
              <w:top w:val="single" w:color="000000" w:sz="4" w:space="0"/>
              <w:left w:val="single" w:color="000000" w:sz="4" w:space="0"/>
              <w:bottom w:val="single" w:color="000000" w:sz="4" w:space="0"/>
              <w:right w:val="single" w:color="000000" w:sz="4" w:space="0"/>
            </w:tcBorders>
            <w:noWrap/>
            <w:vAlign w:val="center"/>
          </w:tcPr>
          <w:p w14:paraId="76E82D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亚麻材质，自带遮光层，罗马杆</w:t>
            </w:r>
            <w:r>
              <w:rPr>
                <w:rFonts w:hint="eastAsia" w:ascii="宋体" w:hAnsi="宋体" w:cs="宋体"/>
                <w:i w:val="0"/>
                <w:iCs w:val="0"/>
                <w:color w:val="auto"/>
                <w:kern w:val="0"/>
                <w:sz w:val="22"/>
                <w:szCs w:val="22"/>
                <w:highlight w:val="none"/>
                <w:u w:val="none"/>
                <w:lang w:val="en-US" w:eastAsia="zh-CN" w:bidi="ar"/>
              </w:rPr>
              <w:t>。</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4E3617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米</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65A827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w:t>
            </w:r>
          </w:p>
        </w:tc>
      </w:tr>
      <w:tr w14:paraId="0337F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11CF16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7-36</w:t>
            </w:r>
          </w:p>
        </w:tc>
        <w:tc>
          <w:tcPr>
            <w:tcW w:w="589" w:type="pct"/>
            <w:tcBorders>
              <w:top w:val="single" w:color="000000" w:sz="4" w:space="0"/>
              <w:left w:val="single" w:color="000000" w:sz="4" w:space="0"/>
              <w:bottom w:val="single" w:color="000000" w:sz="4" w:space="0"/>
              <w:right w:val="single" w:color="000000" w:sz="4" w:space="0"/>
            </w:tcBorders>
            <w:noWrap/>
            <w:vAlign w:val="center"/>
          </w:tcPr>
          <w:p w14:paraId="15FACD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大3P空调（强制采购节能产品）</w:t>
            </w:r>
          </w:p>
        </w:tc>
        <w:tc>
          <w:tcPr>
            <w:tcW w:w="3270" w:type="pct"/>
            <w:tcBorders>
              <w:top w:val="single" w:color="000000" w:sz="4" w:space="0"/>
              <w:left w:val="single" w:color="000000" w:sz="4" w:space="0"/>
              <w:bottom w:val="single" w:color="000000" w:sz="4" w:space="0"/>
              <w:right w:val="single" w:color="000000" w:sz="4" w:space="0"/>
            </w:tcBorders>
            <w:noWrap w:val="0"/>
            <w:vAlign w:val="center"/>
          </w:tcPr>
          <w:p w14:paraId="409B30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材质工艺：ABS+高光注塑工艺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形体：柜机。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能效等级：三级变频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适用面积：30m²-40m²</w:t>
            </w:r>
          </w:p>
        </w:tc>
        <w:tc>
          <w:tcPr>
            <w:tcW w:w="370" w:type="pct"/>
            <w:tcBorders>
              <w:top w:val="single" w:color="000000" w:sz="4" w:space="0"/>
              <w:left w:val="single" w:color="000000" w:sz="4" w:space="0"/>
              <w:bottom w:val="single" w:color="000000" w:sz="4" w:space="0"/>
              <w:right w:val="single" w:color="000000" w:sz="4" w:space="0"/>
            </w:tcBorders>
            <w:noWrap/>
            <w:vAlign w:val="center"/>
          </w:tcPr>
          <w:p w14:paraId="6921F3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2" w:type="pct"/>
            <w:tcBorders>
              <w:top w:val="single" w:color="000000" w:sz="4" w:space="0"/>
              <w:left w:val="single" w:color="000000" w:sz="4" w:space="0"/>
              <w:bottom w:val="single" w:color="000000" w:sz="4" w:space="0"/>
              <w:right w:val="single" w:color="000000" w:sz="4" w:space="0"/>
            </w:tcBorders>
            <w:noWrap/>
            <w:vAlign w:val="center"/>
          </w:tcPr>
          <w:p w14:paraId="1B75AD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bl>
    <w:p w14:paraId="3FA60328">
      <w:pPr>
        <w:pStyle w:val="33"/>
        <w:rPr>
          <w:rFonts w:hint="eastAsia"/>
          <w:color w:val="auto"/>
          <w:highlight w:val="none"/>
        </w:rPr>
      </w:pPr>
    </w:p>
    <w:tbl>
      <w:tblPr>
        <w:tblStyle w:val="43"/>
        <w:tblW w:w="10062" w:type="dxa"/>
        <w:tblInd w:w="-81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25"/>
        <w:gridCol w:w="1149"/>
        <w:gridCol w:w="6583"/>
        <w:gridCol w:w="754"/>
        <w:gridCol w:w="651"/>
      </w:tblGrid>
      <w:tr w14:paraId="615FF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0062" w:type="dxa"/>
            <w:gridSpan w:val="5"/>
            <w:tcBorders>
              <w:top w:val="single" w:color="000000" w:sz="4" w:space="0"/>
              <w:left w:val="single" w:color="000000" w:sz="4" w:space="0"/>
              <w:bottom w:val="single" w:color="000000" w:sz="4" w:space="0"/>
              <w:right w:val="single" w:color="000000" w:sz="4" w:space="0"/>
            </w:tcBorders>
            <w:noWrap/>
            <w:vAlign w:val="center"/>
          </w:tcPr>
          <w:p w14:paraId="51558A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机关会议室</w:t>
            </w:r>
          </w:p>
        </w:tc>
      </w:tr>
      <w:tr w14:paraId="78C6D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103C29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49" w:type="dxa"/>
            <w:tcBorders>
              <w:top w:val="single" w:color="000000" w:sz="4" w:space="0"/>
              <w:left w:val="single" w:color="000000" w:sz="4" w:space="0"/>
              <w:bottom w:val="single" w:color="000000" w:sz="4" w:space="0"/>
              <w:right w:val="single" w:color="000000" w:sz="4" w:space="0"/>
            </w:tcBorders>
            <w:noWrap/>
            <w:vAlign w:val="center"/>
          </w:tcPr>
          <w:p w14:paraId="0B0D19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583" w:type="dxa"/>
            <w:tcBorders>
              <w:top w:val="single" w:color="000000" w:sz="4" w:space="0"/>
              <w:left w:val="single" w:color="000000" w:sz="4" w:space="0"/>
              <w:bottom w:val="single" w:color="000000" w:sz="4" w:space="0"/>
              <w:right w:val="single" w:color="000000" w:sz="4" w:space="0"/>
            </w:tcBorders>
            <w:noWrap/>
            <w:vAlign w:val="center"/>
          </w:tcPr>
          <w:p w14:paraId="74F406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330C4D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4623E4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356F3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0062" w:type="dxa"/>
            <w:gridSpan w:val="5"/>
            <w:tcBorders>
              <w:top w:val="single" w:color="000000" w:sz="4" w:space="0"/>
              <w:left w:val="single" w:color="000000" w:sz="4" w:space="0"/>
              <w:bottom w:val="single" w:color="000000" w:sz="4" w:space="0"/>
              <w:right w:val="single" w:color="000000" w:sz="4" w:space="0"/>
            </w:tcBorders>
            <w:noWrap/>
            <w:vAlign w:val="center"/>
          </w:tcPr>
          <w:p w14:paraId="4E097C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1、显示系统</w:t>
            </w:r>
          </w:p>
        </w:tc>
      </w:tr>
      <w:tr w14:paraId="52443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769DF0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w:t>
            </w:r>
          </w:p>
        </w:tc>
        <w:tc>
          <w:tcPr>
            <w:tcW w:w="1149" w:type="dxa"/>
            <w:tcBorders>
              <w:top w:val="single" w:color="000000" w:sz="4" w:space="0"/>
              <w:left w:val="single" w:color="000000" w:sz="4" w:space="0"/>
              <w:bottom w:val="single" w:color="000000" w:sz="4" w:space="0"/>
              <w:right w:val="single" w:color="000000" w:sz="4" w:space="0"/>
            </w:tcBorders>
            <w:noWrap/>
            <w:vAlign w:val="center"/>
          </w:tcPr>
          <w:p w14:paraId="24678E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智慧会议平板</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478700B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一、总要求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1、屏幕：98英LED液晶屏，显示⽐例：16:9</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采用全金属外壳，一体化设计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外部无任何可见内部功能模块连接线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主副屏过渡平滑，中间无单独边框阻隔。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2、两侧面板可支持普通粉笔、液体粉笔等进行板书书写。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3、屏幕观看视角≥120°，要求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触控：采用红外触控技术，Windows系统和Android系统均支持红外触控及书写划线。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4、整机内置双WiFi6无线网卡（不接受外接），在Android和Windows系统下，可实现Wi-Fi无线上网连接、AP无线热点发射；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5、整机内置非独立广角高清摄像头，视场角≥135度且水平视场角≥120度，支持输出4:3、16:9比例的图片和视频；在清晰度为3840x2160（4K）分辨率下，支持30帧的视频输出，支持画面畸变矫正功能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二、内置电脑系统要求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1）内置电脑模块要求：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1、机身采用热浸镀锌金属材质，采用智能风扇低噪音散热设计,模块预留足够散热空间，确保封闭空间内有效散热。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2、搭载国产CPU，内存：8GB DDR4内存或以上配置，硬盘：256GB或以上SSD固态硬盘。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3、具有独立非外扩展的视频输出接口：</w:t>
            </w:r>
            <w:r>
              <w:rPr>
                <w:rFonts w:hint="eastAsia" w:ascii="宋体" w:hAnsi="宋体" w:cs="宋体"/>
                <w:i w:val="0"/>
                <w:iCs w:val="0"/>
                <w:color w:val="auto"/>
                <w:kern w:val="0"/>
                <w:sz w:val="22"/>
                <w:szCs w:val="22"/>
                <w:highlight w:val="none"/>
                <w:u w:val="none"/>
                <w:lang w:val="en-US" w:eastAsia="zh-CN" w:bidi="ar"/>
              </w:rPr>
              <w:t>不</w:t>
            </w:r>
            <w:r>
              <w:rPr>
                <w:rFonts w:hint="eastAsia" w:ascii="宋体" w:hAnsi="宋体" w:eastAsia="宋体" w:cs="宋体"/>
                <w:i w:val="0"/>
                <w:iCs w:val="0"/>
                <w:color w:val="auto"/>
                <w:kern w:val="0"/>
                <w:sz w:val="22"/>
                <w:szCs w:val="22"/>
                <w:highlight w:val="none"/>
                <w:u w:val="none"/>
                <w:lang w:val="en-US" w:eastAsia="zh-CN" w:bidi="ar"/>
              </w:rPr>
              <w:t>少</w:t>
            </w:r>
            <w:r>
              <w:rPr>
                <w:rFonts w:hint="eastAsia" w:ascii="宋体" w:hAnsi="宋体" w:cs="宋体"/>
                <w:i w:val="0"/>
                <w:iCs w:val="0"/>
                <w:color w:val="auto"/>
                <w:kern w:val="0"/>
                <w:sz w:val="22"/>
                <w:szCs w:val="22"/>
                <w:highlight w:val="none"/>
                <w:u w:val="none"/>
                <w:lang w:val="en-US" w:eastAsia="zh-CN" w:bidi="ar"/>
              </w:rPr>
              <w:t>于</w:t>
            </w:r>
            <w:r>
              <w:rPr>
                <w:rFonts w:hint="eastAsia" w:ascii="宋体" w:hAnsi="宋体" w:eastAsia="宋体" w:cs="宋体"/>
                <w:i w:val="0"/>
                <w:iCs w:val="0"/>
                <w:color w:val="auto"/>
                <w:kern w:val="0"/>
                <w:sz w:val="22"/>
                <w:szCs w:val="22"/>
                <w:highlight w:val="none"/>
                <w:u w:val="none"/>
                <w:lang w:val="en-US" w:eastAsia="zh-CN" w:bidi="ar"/>
              </w:rPr>
              <w:t xml:space="preserve">1路HDMI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具有独立非外扩展的电脑USB接口：</w:t>
            </w:r>
            <w:r>
              <w:rPr>
                <w:rFonts w:hint="eastAsia" w:ascii="宋体" w:hAnsi="宋体" w:cs="宋体"/>
                <w:i w:val="0"/>
                <w:iCs w:val="0"/>
                <w:color w:val="auto"/>
                <w:kern w:val="0"/>
                <w:sz w:val="22"/>
                <w:szCs w:val="22"/>
                <w:highlight w:val="none"/>
                <w:u w:val="none"/>
                <w:lang w:val="en-US" w:eastAsia="zh-CN" w:bidi="ar"/>
              </w:rPr>
              <w:t>不</w:t>
            </w:r>
            <w:r>
              <w:rPr>
                <w:rFonts w:hint="eastAsia" w:ascii="宋体" w:hAnsi="宋体" w:eastAsia="宋体" w:cs="宋体"/>
                <w:i w:val="0"/>
                <w:iCs w:val="0"/>
                <w:color w:val="auto"/>
                <w:kern w:val="0"/>
                <w:sz w:val="22"/>
                <w:szCs w:val="22"/>
                <w:highlight w:val="none"/>
                <w:u w:val="none"/>
                <w:lang w:val="en-US" w:eastAsia="zh-CN" w:bidi="ar"/>
              </w:rPr>
              <w:t>少</w:t>
            </w:r>
            <w:r>
              <w:rPr>
                <w:rFonts w:hint="eastAsia" w:ascii="宋体" w:hAnsi="宋体" w:cs="宋体"/>
                <w:i w:val="0"/>
                <w:iCs w:val="0"/>
                <w:color w:val="auto"/>
                <w:kern w:val="0"/>
                <w:sz w:val="22"/>
                <w:szCs w:val="22"/>
                <w:highlight w:val="none"/>
                <w:u w:val="none"/>
                <w:lang w:val="en-US" w:eastAsia="zh-CN" w:bidi="ar"/>
              </w:rPr>
              <w:t>于</w:t>
            </w:r>
            <w:r>
              <w:rPr>
                <w:rFonts w:hint="eastAsia" w:ascii="宋体" w:hAnsi="宋体" w:eastAsia="宋体" w:cs="宋体"/>
                <w:i w:val="0"/>
                <w:iCs w:val="0"/>
                <w:color w:val="auto"/>
                <w:kern w:val="0"/>
                <w:sz w:val="22"/>
                <w:szCs w:val="22"/>
                <w:highlight w:val="none"/>
                <w:u w:val="none"/>
                <w:lang w:val="en-US" w:eastAsia="zh-CN" w:bidi="ar"/>
              </w:rPr>
              <w:t>3路USB。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2）嵌入式系统要求：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1、整机采用≥12核国产化嵌入式芯片，CPU≥8核，整机嵌入式系统版本≥Android 15，主频≥1.6GHz，内存≥2GB，DDR最大速率≥2666MT/S，存储空间≥32GB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2、整机CPU芯片，WIFI与蓝牙芯片、摄像头图像处理芯片、均采用国产自主芯片；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3、整机全通道支持4K显示，包括安卓通道、PC通道、HDMI通道。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4、整机设备支持非外部插拔式运行内存扩展技术，实时可用运行内存可达4GB，提高运行速度。</w:t>
            </w:r>
          </w:p>
          <w:p w14:paraId="680A722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5、</w:t>
            </w:r>
            <w:r>
              <w:rPr>
                <w:rFonts w:hint="default" w:ascii="宋体" w:hAnsi="宋体" w:eastAsia="宋体" w:cs="宋体"/>
                <w:i w:val="0"/>
                <w:iCs w:val="0"/>
                <w:color w:val="auto"/>
                <w:kern w:val="0"/>
                <w:sz w:val="22"/>
                <w:szCs w:val="22"/>
                <w:highlight w:val="none"/>
                <w:u w:val="none"/>
                <w:lang w:val="en-US" w:eastAsia="zh-CN" w:bidi="ar"/>
              </w:rPr>
              <w:t>输入接口：LAN≥1；TOUCH≥1；HDMI-IN≥2；DP-IN≥1；VIDEO-IN（USB-C+反控）≥1；LINE-IN/MIC-IN≥1；USB-A(3.0)≥4；USB-C≥1；RS232≥1；IO≥2；RELAY≥2；输出接口：HDMI-OUT（镜像/扩展）≥1；LINE-OUT≥1。</w:t>
            </w:r>
          </w:p>
          <w:p w14:paraId="3898F020">
            <w:pPr>
              <w:keepNext w:val="0"/>
              <w:keepLines w:val="0"/>
              <w:widowControl/>
              <w:suppressLineNumbers w:val="0"/>
              <w:jc w:val="left"/>
              <w:textAlignment w:val="center"/>
              <w:rPr>
                <w:rFonts w:hint="default" w:hAnsi="宋体" w:eastAsia="宋体" w:cs="宋体"/>
                <w:i w:val="0"/>
                <w:iCs w:val="0"/>
                <w:color w:val="auto"/>
                <w:sz w:val="22"/>
                <w:szCs w:val="22"/>
                <w:highlight w:val="none"/>
                <w:u w:val="none"/>
                <w:lang w:val="en-US"/>
              </w:rPr>
            </w:pPr>
            <w:r>
              <w:rPr>
                <w:rFonts w:hint="eastAsia" w:hAnsi="宋体" w:cs="宋体"/>
                <w:i w:val="0"/>
                <w:iCs w:val="0"/>
                <w:color w:val="auto"/>
                <w:sz w:val="22"/>
                <w:szCs w:val="22"/>
                <w:highlight w:val="none"/>
                <w:u w:val="none"/>
                <w:lang w:val="en-US" w:eastAsia="zh-CN"/>
              </w:rPr>
              <w:t>6</w:t>
            </w:r>
            <w:r>
              <w:rPr>
                <w:rFonts w:hint="eastAsia" w:hAnsi="宋体" w:eastAsia="宋体" w:cs="宋体"/>
                <w:i w:val="0"/>
                <w:iCs w:val="0"/>
                <w:color w:val="auto"/>
                <w:sz w:val="22"/>
                <w:szCs w:val="22"/>
                <w:highlight w:val="none"/>
                <w:u w:val="none"/>
                <w:lang w:val="en-US" w:eastAsia="zh-CN"/>
              </w:rPr>
              <w:t>、</w:t>
            </w:r>
            <w:r>
              <w:rPr>
                <w:rFonts w:hint="default" w:hAnsi="宋体" w:eastAsia="宋体" w:cs="宋体"/>
                <w:i w:val="0"/>
                <w:iCs w:val="0"/>
                <w:color w:val="auto"/>
                <w:sz w:val="22"/>
                <w:szCs w:val="22"/>
                <w:highlight w:val="none"/>
                <w:u w:val="none"/>
                <w:lang w:val="en-US"/>
              </w:rPr>
              <w:t>具有快速会议、保密会议会议模式；开启保密会议后会中资料不可下载，会后会议资料自动焚毁；会议过程中使用的资料，临时缓存的文件自动加密，会议结束后无法打开；具有界面水印，覆盖会议全程，防止拍照录频，泄露会议信息。</w:t>
            </w:r>
          </w:p>
          <w:p w14:paraId="531A745E">
            <w:pPr>
              <w:keepNext w:val="0"/>
              <w:keepLines w:val="0"/>
              <w:widowControl/>
              <w:suppressLineNumbers w:val="0"/>
              <w:jc w:val="left"/>
              <w:textAlignment w:val="center"/>
              <w:rPr>
                <w:rFonts w:hint="eastAsia" w:hAnsi="宋体" w:eastAsia="宋体" w:cs="宋体"/>
                <w:i w:val="0"/>
                <w:iCs w:val="0"/>
                <w:color w:val="auto"/>
                <w:sz w:val="22"/>
                <w:szCs w:val="22"/>
                <w:highlight w:val="none"/>
                <w:u w:val="none"/>
                <w:lang w:val="en-US" w:eastAsia="zh-CN"/>
              </w:rPr>
            </w:pPr>
            <w:r>
              <w:rPr>
                <w:rFonts w:hint="default" w:hAnsi="宋体" w:eastAsia="宋体" w:cs="宋体"/>
                <w:i w:val="0"/>
                <w:iCs w:val="0"/>
                <w:color w:val="auto"/>
                <w:sz w:val="22"/>
                <w:szCs w:val="22"/>
                <w:highlight w:val="none"/>
                <w:u w:val="none"/>
                <w:shd w:val="clear"/>
                <w:lang w:val="en-US"/>
              </w:rPr>
              <w:t>▲</w:t>
            </w:r>
            <w:r>
              <w:rPr>
                <w:rFonts w:hint="eastAsia" w:hAnsi="宋体" w:cs="宋体"/>
                <w:i w:val="0"/>
                <w:iCs w:val="0"/>
                <w:color w:val="auto"/>
                <w:sz w:val="22"/>
                <w:szCs w:val="22"/>
                <w:highlight w:val="none"/>
                <w:u w:val="none"/>
                <w:shd w:val="clear"/>
                <w:lang w:val="en-US" w:eastAsia="zh-CN"/>
              </w:rPr>
              <w:t>7</w:t>
            </w:r>
            <w:r>
              <w:rPr>
                <w:rFonts w:hint="eastAsia" w:hAnsi="宋体" w:eastAsia="宋体" w:cs="宋体"/>
                <w:i w:val="0"/>
                <w:iCs w:val="0"/>
                <w:color w:val="auto"/>
                <w:sz w:val="22"/>
                <w:szCs w:val="22"/>
                <w:highlight w:val="none"/>
                <w:u w:val="none"/>
                <w:lang w:val="en-US" w:eastAsia="zh-CN"/>
              </w:rPr>
              <w:t>、</w:t>
            </w:r>
            <w:r>
              <w:rPr>
                <w:rFonts w:hint="default" w:hAnsi="宋体" w:eastAsia="宋体" w:cs="宋体"/>
                <w:i w:val="0"/>
                <w:iCs w:val="0"/>
                <w:color w:val="auto"/>
                <w:sz w:val="22"/>
                <w:szCs w:val="22"/>
                <w:highlight w:val="none"/>
                <w:u w:val="none"/>
                <w:lang w:val="en-US"/>
              </w:rPr>
              <w:t>产品具有智慧会议管理平台（无需单独配置云端平台），平台采用B/S架构，支持Windows、Linux、MacOS、Android、IOS操作系统登入控制软件；平台具有普通用户、管理员不同账号权限；平台具有后台数据看板功能，支持查看会议室使用情况、设备状态，可按月、周、日统计每日与会人员、每日会议时长、每日会议数、每日活跃用户数，便于统计分析，统一管理；可查看单位会议、历史会议，历史会议名称、会议预订人、会议号、会议开始时间、是否录制视频，可查看/导出会前签到和投票表决结果、会议录制视频。（提供功能界面截图佐证或提供第三方检验报告复印件，证明材料需体现该功能内容）</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3E5891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4BA4F2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261BF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51AFC4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w:t>
            </w:r>
          </w:p>
        </w:tc>
        <w:tc>
          <w:tcPr>
            <w:tcW w:w="1149" w:type="dxa"/>
            <w:tcBorders>
              <w:top w:val="single" w:color="000000" w:sz="4" w:space="0"/>
              <w:left w:val="single" w:color="000000" w:sz="4" w:space="0"/>
              <w:bottom w:val="single" w:color="000000" w:sz="4" w:space="0"/>
              <w:right w:val="single" w:color="000000" w:sz="4" w:space="0"/>
            </w:tcBorders>
            <w:noWrap/>
            <w:vAlign w:val="center"/>
          </w:tcPr>
          <w:p w14:paraId="269F3B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移动支架</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053B8F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1.颜色：钛银色</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2.适用一体机尺寸：55英寸-</w:t>
            </w:r>
            <w:r>
              <w:rPr>
                <w:rFonts w:hint="eastAsia" w:ascii="宋体" w:hAnsi="宋体" w:cs="宋体"/>
                <w:i w:val="0"/>
                <w:iCs w:val="0"/>
                <w:color w:val="auto"/>
                <w:kern w:val="0"/>
                <w:sz w:val="22"/>
                <w:szCs w:val="22"/>
                <w:highlight w:val="none"/>
                <w:u w:val="none"/>
                <w:lang w:val="en-US" w:eastAsia="zh-CN" w:bidi="ar"/>
              </w:rPr>
              <w:t>98</w:t>
            </w:r>
            <w:r>
              <w:rPr>
                <w:rFonts w:hint="eastAsia" w:ascii="宋体" w:hAnsi="宋体" w:eastAsia="宋体" w:cs="宋体"/>
                <w:i w:val="0"/>
                <w:iCs w:val="0"/>
                <w:color w:val="auto"/>
                <w:kern w:val="0"/>
                <w:sz w:val="22"/>
                <w:szCs w:val="22"/>
                <w:highlight w:val="none"/>
                <w:u w:val="none"/>
                <w:lang w:val="en-US" w:eastAsia="zh-CN" w:bidi="ar"/>
              </w:rPr>
              <w:t>英寸</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3.材质：SPCC高强度钢（主体）/PA6+PU（脚轮）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4.VESA孔距：0-620mm X 0-1000mm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5.高度调节行程：0-430mm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6.高度调节方式：螺丝锁定调整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7.产品尺寸（整体）(L*W*H)：1210*750*163</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8.承 重 范 围：≥85kg</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57692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09FFFE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2F25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0062" w:type="dxa"/>
            <w:gridSpan w:val="5"/>
            <w:tcBorders>
              <w:top w:val="single" w:color="000000" w:sz="4" w:space="0"/>
              <w:left w:val="single" w:color="000000" w:sz="4" w:space="0"/>
              <w:bottom w:val="single" w:color="000000" w:sz="4" w:space="0"/>
              <w:right w:val="single" w:color="000000" w:sz="4" w:space="0"/>
            </w:tcBorders>
            <w:noWrap/>
            <w:vAlign w:val="center"/>
          </w:tcPr>
          <w:p w14:paraId="677416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2.扩声系统</w:t>
            </w:r>
          </w:p>
        </w:tc>
      </w:tr>
      <w:tr w14:paraId="734C2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3F8CCA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8-3</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6C2536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专业音箱</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7C9593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产品介绍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1.与专业功放、前级效果处理器配套使用，组成一套完美音效、人声表现突出，适用于剧场，高档会议室及多功能厅等，与超低音搭配可做高性能卫星箱使用。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1.箱体采用15mm夹板制作，质量轻，耐磨喷漆处理，外贴防尘网棉。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2.精确设计的分频器优化人声部分的中频表现力。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3.多个螺丝吊装孔位，多种安装方式。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1.阻抗：8Ω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2.频响：65Hz~20KHz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3.额定功率：150W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4.峰值功率：600W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5.灵敏度：95dB/W/M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6.最大声压级（额定/峰值）：117dB/123dB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7.覆盖角度：(H)80°(V)60°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8.高音：3"锥形高音单元×1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9.低音：8"低音×1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10.尺寸(W×D×H)：246×243×388mm（±</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mm）。</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5ACA12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6D855A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2699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4960ED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8-4</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46A248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支架</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63A04D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eastAsia="zh-CN"/>
              </w:rPr>
              <w:t>参数同序号</w:t>
            </w:r>
            <w:r>
              <w:rPr>
                <w:rFonts w:hint="eastAsia" w:ascii="宋体" w:hAnsi="宋体" w:eastAsia="宋体" w:cs="宋体"/>
                <w:i w:val="0"/>
                <w:iCs w:val="0"/>
                <w:color w:val="auto"/>
                <w:kern w:val="0"/>
                <w:sz w:val="22"/>
                <w:szCs w:val="22"/>
                <w:highlight w:val="none"/>
                <w:u w:val="none"/>
                <w:lang w:val="en-US" w:eastAsia="zh-CN" w:bidi="ar"/>
              </w:rPr>
              <w:t>6-25。</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3C1F7C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267028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652B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26CECD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8-5</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5DE637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专业功放</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18798E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1.1U机箱设计，体积小，重量轻。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2.采用最新D类数字功放设计方案，失真小，效率高。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3.电源采用开关电源技术，效率高，有效的抑制电源谐波，达到欧盟绿色电源标准。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4.智能削峰限幅器，控制功率模块及扬声器系统在安全范围内工作。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5.标准XLR输入接口，和LINK输出口，简洁的接口更加方便不同用户需求。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6.开机软启动，防止开机时向电网吸收大电流，干扰其它用电设备。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7.智能控制强制散热设计，风机噪音小，散热效率高等特点。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8.具有：过压保护，欠压保护，过流保护，直流保护，输出短路保护，温控风扇等功能。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1.输出功率:立体声8Ω ：200W×2；立体声4Ω：400W×2；桥接16Ω：400W ；桥接8Ω：750W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2.输入灵敏度：2.2dBu(1V)/8.2dBu(2V)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3.输入阻抗：10KΩ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4.频率响应(@1W功率下)：20Hz-20KHz/±1dB @8Ω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5.THD+N(@1/8功率下) ：≤0.01%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6.分离度(@1KHz) ：≥80dB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7.阻尼系数(@1KHz) ：≥200@ 8 ohms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8.信噪比（A计权）：≥105dB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9.输入电压：~220V/50Hz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10.整机功耗：150W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说明：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输出功率：是按CEA-2006-B/CEA-490-A标准使用20ms脉冲1kHz正弦波在1%总谐波失真下测量得出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整机功耗：依据GB4943.1-2022测试手法：在1kHz正弦波额定负载1/8功率条件下测得</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31A26E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43740A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0618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72092C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8-6</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5541AB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调音台</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5D4F74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1.专业型紧凑式调音台,超低噪声离散式麦克风前置放大器和+48V幻象电源，功能强大齐全，音质动听。</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2.具有8路Mic输入接口兼容6路线路输入接口，CH1-CH6通道话筒输入接口带48V幻象开关独立控制。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3.具有2组立体声输入，4路RCA输入，可连接立体设备。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4.具有1组主混音断点插入、6个断点插入，可连接额外的处理器（压缩器、均衡器。限幅器等）。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5.具有13个60mm行程的高精密碳膜推子。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6.内置蓝牙MP3播放器，支持1路USB接口、外接U盘和连接手机蓝牙播放音乐。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7.内置USB声卡，连接电脑进行音乐播放和声音录音。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8.内置24位DSP效果器，具有100种预设效果。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9.具有1个USB供电接口，可连接USB照明灯。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10.支持7段图示均衡推子调节。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11.具有分辨率128*64的点阵液晶屏，用户可通过显示屏查看蓝牙、MP3等多媒体信息。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1.麦克风输入：8路（8个XLR接口）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2.线路输入：6路单插单声道/立体声自动切换混合接口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3.立体声输入通道：2组（4路单声道）、4路RCA输入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4.输出通道：2组立体声输出、4路编组输出、4路辅助输出、1个耳机监听输出、1个接口双路效果输出 、1组控制室输出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5.INSERT：1组主混音断点插入、6个断点插入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6.USB接口：外接U盘播放音乐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7.无线连接：内置蓝牙无线收发器，可连接手机进行播放音乐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8.效果器：24位DSP效果器（包括人声、小房子、大厅、回声、回声+回响、盘子、声乐板、合唱GTR，旋转GTR、颤音GTR类型），100种预设效果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9.USB声卡端口：支持电脑播放/录音，通过CH11/12通道回放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10.幻象电源：CH1-CH6每路通道带48V幻象开关独立控制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11.频率响应：20Hz-20kHz，±2dB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12.失真度：＜0.03% at+0dB,22Hz-22KHz A-weighted</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13.灵敏度：+20dB~-30dB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14.信噪比：＜-100dBr A-weighted</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15.单声道均衡：高频：+/-15dB @12KHz；中频：+/-15dB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@100Hz-8KHz；低频：+/-15dB @80Hz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16.立体声均衡：高频：+/-15dB @12KHz；中频：+/-15dB @3KHz or +/-15dB @500Hz；低频：+/-15dB @80Hz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17.主混音串音：＜-80dB @0dB 20Hz-22KHz A-weighted，主输出：0dB,其他通道：最小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18.电平表：2x12-点距LED电平指示表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19.供电电压：AC 100-240V 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20.额定功率：30W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21.尺寸：产品尺寸（L×W×H）44</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×44</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×9</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±5mm）；显示屏尺寸4</w:t>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×20mm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±1mm）。</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4348AE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407AD8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32DC1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26E9DC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8-7</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2ED7ED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AI音频处理器</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18FA9D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产品介绍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一款高性能音频处理器，具有4路模拟平衡输入和4路模拟平衡输出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集成动态范围控制（DRC）、自动增益（AGC）、反馈抑制（AFC）、自适应降噪（ANS）、AI智能降噪、自适应回声消除（AEC）、音频滤波器（GEQ、PEQ、分频器）等功能，主要应用于专业扩声场景，可以满足会议室、法庭、礼堂、多功能厅、演出、教室等场所对扩声系统应用方面的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1.高性能四核ARM CorteX-A53处理器（2.0GHZ主频），32bit/48KHz AD/DA，专业 DSP 处理，提供卓越的高品质声音。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2.具有4进4出音频矩阵，输入可根据音源的不同调整灵敏度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每路输入支持48V幻象电源供电，可单独配置开启关闭，灵活方便。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输入通道支持前级放大、信号发生器、扩展器、压缩器、均衡器（12段参量均衡、可选10/15/31段图示均衡器可调，图示均衡器可用于单独调节带宽）、闪避器、AGC自动增益、AM自动混音功能（门限式、增益共享式）、AFC自适应反馈消除、AEC回声消除、ANC噪声消除、音频矩阵；输出通道支持均衡器（16段参量均衡、可选10/15/31段图示均衡器可调，图示均衡器可用于单独调节带宽）、延时器、分频器、高低通滤波器、限幅器；基于啸叫检测门限更新法，具有移频+陷波组合反馈抑制，可以使用24个可编程陷波点，可自由分配动态/静态点，自动/手动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4.具有闪避器功能，用于背景音乐自动闪避话筒发言，提供多种参数设置，方便现场灵活运用。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5.具有话筒自动增益功能，用于控制话筒的拾音信号的动态范围，实现远近音质一致。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6.具有智能混音功能，包括增益共享混音以及门限自动混音两种方式，输入通道可单独选择是否参与智能混音，可根据不同的场景应用需求，选择相应的混音模式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可有效解决话筒多开导致扩声系统不稳定容易啸叫等痛点。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均衡器功能，提供参量均衡器和图示均衡器，每路输入具有12段参量均衡器/10段图示均衡器/15段图示均衡器/31段图示均衡器可供选择，每路输出具有16段参量均衡器/10段图示均衡器/15段图示均衡器/31段图示均衡器可供选择。参量均衡器支持高架、低架、峰值滤波器三种类型，图示均衡器支持单点带宽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8.具有分频器功能，提供贝塞尔、林克威治-瑞利、巴特沃斯三种滤波器类型供选择，并且支持6/12/18/24/30/36/42/48db/oct斜率设置，滤波器全频段可调。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9.具有扩展器功能，扩展信号的动态范围，用于消除设备的底噪。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10.具有压缩器功能，压缩信号的动态范围，用于压缩输出信号的大小。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11.具有限幅器功能，限制输出信号的大小，防止信号过大损坏扩声设备。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12.具有延时器功能，提供最大2000ms延时调整，用于调整各路输出信号延时，使得各路音频信号在到达听众耳朵保持同步。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具有回声消除功能，用于远程音视频会议，消除回声，增加语音清晰度；回声消除可以根据视频会场（房间）大小选择不同档位（具有小房间、中房间、大房间）三档可选；可调节降噪等级，具有6dB、12dB、18dB、24dB、30dB五档可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14.具有噪声消除功能，可以有效消除空调声、风扇声等环境噪声，提高语音清晰度稳态降噪等级可根据现场需求调节不同档位（具有6dB、12dB、18dB、24dB、30dB五档可选）。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15.具有反馈抑制功能，陷波器+移频器两种处理方案，有效解决声反馈问题。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16.极低的系统处理延时，延时</w:t>
            </w:r>
            <w:r>
              <w:rPr>
                <w:rFonts w:hint="eastAsia" w:ascii="宋体" w:hAnsi="宋体" w:cs="宋体"/>
                <w:i w:val="0"/>
                <w:iCs w:val="0"/>
                <w:color w:val="auto"/>
                <w:kern w:val="0"/>
                <w:sz w:val="22"/>
                <w:szCs w:val="22"/>
                <w:highlight w:val="none"/>
                <w:u w:val="none"/>
                <w:lang w:val="en-US" w:eastAsia="zh-CN" w:bidi="ar"/>
              </w:rPr>
              <w:t>不超过</w:t>
            </w:r>
            <w:r>
              <w:rPr>
                <w:rFonts w:hint="eastAsia" w:ascii="宋体" w:hAnsi="宋体" w:eastAsia="宋体" w:cs="宋体"/>
                <w:i w:val="0"/>
                <w:iCs w:val="0"/>
                <w:color w:val="auto"/>
                <w:kern w:val="0"/>
                <w:sz w:val="22"/>
                <w:szCs w:val="22"/>
                <w:highlight w:val="none"/>
                <w:u w:val="none"/>
                <w:lang w:val="en-US" w:eastAsia="zh-CN" w:bidi="ar"/>
              </w:rPr>
              <w:t>1.1ms。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17.面板具有≥2英寸IPS真彩显示屏，显示设备网络信息、实时电平、通道静音状态等状态。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18.面板具备USB接口，支持多媒体存储，可进行存储录音或播放。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19.支持场景预设、导入、导出，支持8个场景。场景切换可在0.1秒内完成。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20.具有恢复出厂设置功能。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21.具有RS-232 接口，可用于对接外部中控系统，实现集中管控。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22.具有RS-485 接口，可对接中控系统、摄像跟踪系统，可实现自动摄像跟踪功能。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23.具有8通道可编程 GPIO 控制接口（可自定义输入输出）。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24.支持通道拷贝、粘贴、联控功能。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25.Ethernet 多用途数据传输及控制端口，可以支持实时管理单台及多台设备。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26.音频处理器具有跨平台软件，可运行于windows操作系统或国产银河麒麟桌面操作系统（兆芯版）或国产银河麒麟桌面操作系统（飞腾版）或macOS系统或统信UOS或Ubuntu桌面版操作系统。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27.产品具有PC客户端、手机移动端、安卓平板端、IOS手机移动端、IOS平板端不同控制方式，可以同时登入APP软件、PC客户端同时连接设备，并实现多端数据的同步。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28.支持通过安卓手机，平板APP软件进行操作控制，设备登录、场景切换、输入输出、矩阵路由和通道设置等功能。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29.支持断电自动保存功能。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后面板具有4路线路音频凤凰端子平衡输入接口（具有48V幻象供电）、4路线路音频凤凰端子平衡输出接口、1个拨码开关、1个RJ45接口、1个RS232接口、1个RS485接口、8个可编程GPIO控制接口、1个接地柱；前面板具有2.0英寸IPS真彩显示屏、1个编码旋钮、1个USB存储设备接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31.设备具有统一集中控制功能，支持65535台设备通过软件集中控制。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32.具有矩阵增益调节功能，每个输入通道参与混音的增益可调，增益调节范围-72db到12db。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33.设备具有编码旋钮和IPS屏幕，可用于控制和配置设备静音，增益，场景；IPS屏幕能够显示IP地址，输入和输出通道的实时电平。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34.具有设备定位功能，客户端一键定位局域网内同类设备，被定位的设备会显示定位信息。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35.音频处理器软件可融入会议音频综合管理平台实现音频设备统一管理，平台可扫描数字会议主机、音频处理器、混音器、抑制器、功放类产品在线情况，同款产品多台在线设备也可扫描，并显示设备硬件名称、硬件IP地址、在线、离线状态信息；具备一键上传配置信息至云端或保存本地进行备份和一键还原配置信息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36.支持中控控制功能，可以实现增益加减，增益限制，每个通道电平条查询，增益加减步进值设置。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37.支持双机热备份；当主机出现故障时，备用主机自动承担服务，切换时间小于2s，保证系统在不需要人工干预的情况下能正常运行。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38.采用AI人工智能宽度学习算法进行噪声抑制，根据使用场景不同AI语音降噪提供了强、中、弱三个档位可调整，有效消除拍掌、敲击桌子等非稳态噪声，确保语音清晰度和可懂度(降噪能力可达40dB)。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39.具有Web页面管理功能，可以通过Web页面下载控制软件，可以通过Web页面调节每个通道的增益。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40.产品实现与运维平台的云端协同，支持设备联网后自动检测OTA升级固件包，具备完整的远程固件更新能力。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1.输入通道：4路平衡式话筒/线路，采用裸线接口端子，平衡接法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2.输出通道：4路平衡式线路输出，采用裸线接口端子，平衡接法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3.处理器：48kHz采样频率，64bit DSP处理器；32bit A/D及D/A转换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4.幻象供电：DC 48V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5.频率响应：20Hz～20KHz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6.总谐波失真+噪声：≤0.005% OUTPUT=18dBu/1kHz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7.信噪比：≥112dB@1kHz 18dBu（A计权）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8.通道分离度：≥100dB@1kHz 18dBu（A计权）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9.降噪能力：≥40dB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10.输入阻抗(平衡式)：平衡：20KΩ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11.最大输出阻抗(平衡式)：平衡：100Ω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12.输入范围：≤+18dBu</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13.啸叫寻找与抑制方式：全自动式陷波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14.陷波器：24个（静态点和动态点可配）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15.Q值范围：10-50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16.频率分辨率：1Hz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17.啸叫寻找时间：0.1—0.5S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18.FFT长度：1024</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19.传声增益：4—10dB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20.系统增益：0dB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21.分频器：具有巴特沃斯，贝塞尔，林克威治-瑞利三种高低通滤波器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22.显示：≥2英寸IPS真彩显示屏，分辨率320*240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23.供电范围：AC 110V-240V 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24.电源功耗：≤20W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25.工作温度：-10℃～+45℃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26.相对湿度：20%～80%相对湿度，无结露</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27.冷却：风机强制散热</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28.产品尺寸（W×D×H）：48</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×258×56mm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29.模/数动态范围：116dB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.数/模动态范围：120dB</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2F3897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5595F0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5C2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2CDF34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8-8</w:t>
            </w:r>
          </w:p>
        </w:tc>
        <w:tc>
          <w:tcPr>
            <w:tcW w:w="1149" w:type="dxa"/>
            <w:tcBorders>
              <w:top w:val="single" w:color="000000" w:sz="4" w:space="0"/>
              <w:left w:val="single" w:color="000000" w:sz="4" w:space="0"/>
              <w:bottom w:val="single" w:color="000000" w:sz="4" w:space="0"/>
              <w:right w:val="single" w:color="000000" w:sz="4" w:space="0"/>
            </w:tcBorders>
            <w:noWrap/>
            <w:vAlign w:val="center"/>
          </w:tcPr>
          <w:p w14:paraId="01A0AC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无线话筒</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08FAD1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1.基于数字U段的传输技术，pi/4-DQPSK调制方式，采用国产主控芯片，传输距离80米；具有混响、均衡、智能静音、音频加密、功率调节功能。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2.具有1台接收主机、2只手持发射机；频率范围470MHz-510MHz、540MHz-590MHz、640MHz-690MHz、807MHz-830MHz四个频段使用。发射机采用符合人体工学设计，外形圆润贴合手部曲线，握感舒适。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3.具有音频加密功能，开启后发射机与接收机通过独特的ID码导频加密技术，达到设备不串频的效果。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4.具有多频段均衡调节功能，均衡调节2197种，麦克风均衡器调节功能，具有高、中、低音三种调节档位，每种效果支持13档调节。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5.具有自动静音功能，麦克风跌落、抛掷时，毫秒级自动静音，避免冲击声；实时监测设备姿态，静置5秒静音，8分钟关机，无需手动干预。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6.具有自动频率扫描功能，可快速地给发射机找到清晰的频率，操作简单。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7.具有通过红外扫描和同步，将发射机与接收机轻松配对。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8.具有多档位混响调节功能，混响效果15625个，效果占比、回响延时、混响幅度调节，三种音效各具有25档调节方式。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9.接收机具有两路平衡输出、一路非平衡混音输出，满足用户不同需求。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接收机前面板具有2个显示屏、2个编码旋钮、2个频率扫描实体按键、2个红外对频实体按键、1个电源开关按键、1个二合一指示灯（红外发射管+对频指示灯）；后面板具有1个LINE-OUT接口、2个XLR-OUT接口、2个BNC接口、1个DC接口。发射机具有1个OLED显示屏、1个开关机/静音按键、2个工作状态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接收机具有2个2.2英寸的TFT-LCD显示屏,用户可通过显示屏查看设备射频信号强度、音频信号强度、麦克风开启状态、手持麦克风电池电量情况、当前频率数值、音量大小、语言切换选项等，可轻松获取设备当前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12.发射机具有≥0.96英寸OLED显示屏，能够显示频率信息、音频加密状态、功率挡位、静音状态、电量格数信息。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13.发射机具有长时间自动关机功能，设备自动检测工作状态（使用状态、静置状态），静置5秒后发射机自动静音、静置8分钟后发射机自动关机。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14.具有一键静音按键，麦克风支持双击静音且可以通过接收机取消麦克风静音功能。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15.接收机面板精湛工艺制作，大气美观；话筒采用高还原动圈咪芯，专业音腔设计，音质呈现自然原声。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16.具有ID码防串扰功能，采用32位唯一ID码，用于接收和发射配对，收发ID码必须相同才能对码，能够有效防止相同频率的信号相互串台。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17.具有长时间续航，发射机使用时长≥10小时。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18.发射机电量过低时接收机显示屏会进行低电提醒。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19.发射机功率档位支持7档可调节。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一、系统指标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1.频率范围：470MHz-510MHz、540MHz-590MHz、640MHz-690MHz、807MHz-830MHz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2.调制方式：pi/4-DQPSK</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3.频率响应：20Hz~20kHz （±3dB）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4.信噪比：≥105dB（XLR）</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5.THD+N：＜0.1%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6.工作距离：≥80m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二、接收机指标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1.显示屏：TFT-LCD屏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2.显示屏分辨率：240×320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3.失真度：＜0.05%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4.天线接口：BNC/50Ω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5.接收灵敏度：＜-95dBm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6.最大输出：平衡输出500mV，非平衡LINE输出1000mV，非平衡MIC输出50mV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7.电源：DC 12V/1A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8.工作电流：≤320mA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三、发射机指标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1.显示屏：OLED屏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2.显示屏分辨率：128×64</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3.音头：动圈式麦克风（双手持话筒）</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4.输出功率：≥10dBm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5.工作电流：≤200mA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6.电池：2×1.5V(AA)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7.电池使用时长：&gt;10H</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783EB8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4C5C1D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C76D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17F1CB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8-9</w:t>
            </w:r>
          </w:p>
        </w:tc>
        <w:tc>
          <w:tcPr>
            <w:tcW w:w="1149" w:type="dxa"/>
            <w:tcBorders>
              <w:top w:val="single" w:color="000000" w:sz="4" w:space="0"/>
              <w:left w:val="single" w:color="000000" w:sz="4" w:space="0"/>
              <w:bottom w:val="single" w:color="000000" w:sz="4" w:space="0"/>
              <w:right w:val="single" w:color="000000" w:sz="4" w:space="0"/>
            </w:tcBorders>
            <w:noWrap/>
            <w:vAlign w:val="center"/>
          </w:tcPr>
          <w:p w14:paraId="57B71F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话筒呼叫控制嵌入软件</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6DA74D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1.软件内嵌于无线话筒系统设备，话筒呼叫控制功能。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2.采用UHF超高频段双真分集接收，并采用PLL锁相环多信道频率合成技术。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3.支持自动选讯接收方式。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4.支持信道选择、频率可调、可设置主机与话筒配对。</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75C08D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3626D6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0103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07DD63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8-10</w:t>
            </w:r>
          </w:p>
        </w:tc>
        <w:tc>
          <w:tcPr>
            <w:tcW w:w="1149" w:type="dxa"/>
            <w:tcBorders>
              <w:top w:val="single" w:color="000000" w:sz="4" w:space="0"/>
              <w:left w:val="single" w:color="000000" w:sz="4" w:space="0"/>
              <w:bottom w:val="single" w:color="000000" w:sz="4" w:space="0"/>
              <w:right w:val="single" w:color="000000" w:sz="4" w:space="0"/>
            </w:tcBorders>
            <w:noWrap/>
            <w:vAlign w:val="center"/>
          </w:tcPr>
          <w:p w14:paraId="04D343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电源管理器</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02BB2E23">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1.设备采用标准1U机箱设计。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2.8通道电源时序打开/关闭。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3.远程控制（上电+24V直流信号）8通道电源时序打开/关闭—当船型开关处于off位置时有效。支持配置CH1和CH2通道为受控或不受控状态。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4.当远程控制有效时同时控制后板ALARM（报警）端口导通以起到级联控制ALARM（报警）功能。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5.单个通道最大负载功率2200W，所有通道负载总功率达6000W。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6.输入连接器：大功率线码式电源连接器。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7.输出连接器：多用途电源插座。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8.USB输出接口，可以接LED灯。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1.额定输出电压：AC 220V 50Hz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2.额定输出电流：30A </w:t>
            </w:r>
            <w:r>
              <w:rPr>
                <w:rFonts w:hint="eastAsia" w:ascii="宋体" w:hAnsi="宋体" w:cs="宋体"/>
                <w:i w:val="0"/>
                <w:iCs w:val="0"/>
                <w:color w:val="auto"/>
                <w:kern w:val="0"/>
                <w:sz w:val="22"/>
                <w:szCs w:val="22"/>
                <w:highlight w:val="none"/>
                <w:u w:val="none"/>
                <w:lang w:val="en-US" w:eastAsia="zh-CN" w:bidi="ar"/>
              </w:rPr>
              <w:t>。</w:t>
            </w:r>
          </w:p>
          <w:p w14:paraId="016B31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3.可控制电源：8路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4.每路动作延时时间：1秒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5.供电电源：VAC，220V 50/60Hz ，30A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6.单路额定输出电源：10A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7.功耗：≤10W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8.工作温度：-10~45℃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9.相对湿度：＜90%，无凝霜，无结露</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20DB0C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18FDF4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421C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0062" w:type="dxa"/>
            <w:gridSpan w:val="5"/>
            <w:tcBorders>
              <w:top w:val="single" w:color="000000" w:sz="4" w:space="0"/>
              <w:left w:val="single" w:color="000000" w:sz="4" w:space="0"/>
              <w:bottom w:val="single" w:color="000000" w:sz="4" w:space="0"/>
              <w:right w:val="single" w:color="000000" w:sz="4" w:space="0"/>
            </w:tcBorders>
            <w:noWrap/>
            <w:vAlign w:val="center"/>
          </w:tcPr>
          <w:p w14:paraId="03AA7D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3.数字会议系统</w:t>
            </w:r>
          </w:p>
        </w:tc>
      </w:tr>
      <w:tr w14:paraId="6EBE36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1364F5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8-11</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295716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全数字会议系统主机</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2A6C1D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1.支持≥4096台有线会议单元和≥300台无线会议单元同时接入管理使用；支持≥4396台会议单元同时参与会议议程（签到、表决、服务等）以及发言控制。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2.设备采用分段压缩混音处理技术和时钟同步传输技术，会议单元拾音到主机输出延时≤5ms。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3.内置DSP处理器，具有≥16路音频矩阵、啸叫抑制、≥10段EQ调节、音量dB值调节、延时器调节功能。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4.支持主机U盘和客户端软件两种录音方式；搭配会议话筒和录音盒可以录制单个会议单元发言音频和录制所有会议单元混音发言音频。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设备具有≥1个USB接口；后面板具有≥2路RS-232接口、≥1路RS-485接口、≥4路RJ45通讯接口；具有≥1路RCA输入、≥1路卡侬输入、≥2路凤凰端子输入接口；≥1路RCA输出、≥1路卡侬输出、≥16路凤凰端子输出接口；≥1个拨码开关、≥1个接地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16路音频输出通道，通过扩展可实现≥272个音频输出通道，音频输出通道可配置为有线角色分离输出模式、无线角色分离输出模式、同传输出模式；每个音频输出通道都能独立调节音频参数，包括≥30级音量调节、≥10段均衡器调节、≥100级延时器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3种备份机制；支持主机双机热备功能，可设置一台设备为主机，另一台设置为从机，当主机出现故障时，可自动切换至从机运行，实现双备份功能；支持环形双链路功能，确保在其中的一条网线断开或者单元出问题时，会议能继续正常进行；支持T型链路备份功能，链路中即使多台会议单元出现故障，其他会议单元不受影响，保障会议正常进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支持搭配会议话筒处理器使用，主机与话筒处理器之间通过网线连接方式传输音频，可以同时传输≥16路有线会议单元和≥8路无线会议单元发言的音频信号，并提供反馈抑制、智能混音以及自动增益音频调节处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9.16通道角色分离输出模式，可使有线或无线单元根据ID号独立输出，最大支持128路有线单元或无线单元独立音频输出，并支持通过录音软件实现每个单元独立录音、或语音转写设备对接实现角色分离。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10.≥16通道同传输出模式，可使同传音频根据通道号独立输出，可供录音或监听设备使用。且输出通道数量，可通过外部设备扩展。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11.主机具有≥16通道音频分组输出接口；采用会议分区相控技术，可拆分≥16个独立的会议系统使用，也可以组成一个大型的会议系统使用，实现多种方式的会议室合并/拆分。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C/S、B/S管控架构，包括客户端、WEB端、本机全彩触摸屏、安卓手机/平板控制方式；通过客户端、WEB端可调节音频矩阵参数（包括EQ、音量、延时器、会议单元灵敏度等）、≥16通道输出模式切换、开关会议单元、中英俄法四种语言切换、控制角色分离主机功能；使用本机全彩触摸屏可调节会议模式、有线/无线会议单元开麦数量、编ID、主机/从机设置、中英俄法四种语言切换、显示亮度/输出音量调节、显示剩余使用天数、输入注册码进行主机注册功能；使用安卓手机/平板可控制会议单元开关、开启签到、投票、表决、接收会议服务信息、一键关闭无线会议单元功能，免PC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13.客户端、WEB端软件可运行于windows操作系统或国产银河麒麟桌面操作系统（兆芯版）或国产银河麒麟桌面操作系统（飞腾版）或macOS系统或统信UOS或Ubuntu桌面版操作系统。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14.设备具有安卓手机APP软件、平板APP软件控制的功能，通过软件可控制话筒开关、开启签到、投票、表决、接收会议服务信息、一键关闭无线话筒等功能，免PC操作。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15.采样率48K的非压缩音频传输。采用超五类线屏蔽线，确保会议信息长距离可靠传输，同时提供完美音质。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超大数据处理能力：系统支持≥24台会议单元同时发言，其中支持≥16台有线会议单元和≥8台无线会议单元同时发言；具有自定义会议单元发言人数功能，有线会议单元发言人数范围可设置为1至16之间的任意数量；无线会议单元发言人数范围可设置为1至8之间的任意数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17.采用会议系统多环路检测及网络补给技术，实现会议单元手拉手链路出现故障时快速恢复，环路恢复时间5ms。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18.具有支持中、英、俄、法文多种语言任意切换显示。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19.支持自定义会议话筒身份功能，可根据现场需要定义为主席单元或代表单元或“VIP”单元。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20.PC软件可查看在线无线单元的电池电量、WiFi信号等信息状态；支持一键关闭所有无线单元、单独关闭某个无线单元。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21.支持同声传译功能，系统最大可同时传输63+1的有线同声传译。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22.具有消防报警联动触发接口，支持对接烟雾报警器实时检测，触发后火灾报警信息可同步至话筒界面和主机界面，第一时间提醒会场人员紧急撤离，确保与会人员安全。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23.具有≥1路RS-485接口，支持一台摄像机实现摄像跟踪，支持PELCO-D、VISCA控制协议。配合摄像跟踪主机达到多路视频自动跟踪功能。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24.多种话筒管理模式:FIFO（先进先出）、NORMAL（普通模式）、VOICE（声控模式）、APPLY（申请模式）等。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25.系统具有发起会议签到、表决、选举、评级、满意度、自定义等功能。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26.具有≥4.3英寸全彩触摸屏，可实现对参数设置或查看，进行任意触摸操作。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27.强大的编ID功能，可对有线单元、无线单元、译员机、角色分离主机进行编ID。</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28.具备USB录音功能，可录制和播放会议记录。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29.支持≥10段EQ调节功能，≥16路多功能输出通道与≥2路LINEOUT输出通道都具有≥10段EQ调节功能。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30.支持AP信道扫描，监测现场的无线信道使用情况，支持信道自动或手动配置最佳信道，支持AP名称在线显示列表，方便查阅。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31.会议主机具备注册天数显示功能，可以随时了解注册后使用的剩余天数；支持触摸设备屏幕输入注册码进行主机注册。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32.系统支持与语音转写系统深度适配，系统之间通过网线交互数据，实现角色分离语音转写功能。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33.主机兼容同时连接有线与无线会议单元，二者可并行使用；采用跨域音频同步技术，有线与无线会议单元音频的音频无缝混音输出。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34.前面板具有≥5个状态指示灯，可显示有线无线会议单元使用状态；其中≥4个有线会议发言单元通讯指示灯，有线会议单元正常通讯使用为闪烁状态；其中≥1个为无线会议发言单元通讯指示灯，接上无线收发器正常使用进入闪烁状态；未接入设备时不亮，可快速检测链路使用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35.WEB管理端具有切换个性化主题风格功能，可切换≥4种风格，可选简约主题、政务主题、时尚主题、活力主题，不同主题提供不同UI界面背景颜色。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36.具备主机双机热备功能，可设置主机或从机功能，当主机出现故障时，可自动切换至从机运行，实现双备份功能。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37.具有运维管理平台的功能，可通过web端远程固件升级；具有日志管理功能，可以自动收集和存储系统日志；比如实时监测设备运行状态、设备故障信息，包括内存不足、火警提示、id重复等。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1.话筒容量：有线话筒4096；无线话筒300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2.同声传译通道：63+1通道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3.频率响应：80~16KHz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4.信噪比：＞78dB(A)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5.动态范围：＞80dB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6.总谐波失真：＜0.05%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7.主电源：100-120VAC/200-240VACbyswitch</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8.音频输入：LINEIN1:775mVrms平衡；2路输入凤凰端子:775mVrms平衡；LINEIN2:775mVrms非平衡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9.音频输出：LINEOUT1:1Vrms平衡；16路多功能输出凤凰端子:1Vrms平衡；LINEOUT2:1Vrms非平衡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10.输出负载：＞1KΩ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11.EXTENSION口：1路，连接会议系统扩展设备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12.WIFI网口：1路，连接无线AP</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13.PC网口：1路，连接电脑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14.DELEGATES输出接口：4路，用于连接会议发言单元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15.RS-232接口：2路，1路用于摄像跟踪，1路用于对接外部设备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16.RS-485接口：1路，用于摄像跟踪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17.静态功耗：30W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18.输出功耗：320W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19.有线话筒连接方式：专用电缆（6芯）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20.触屏控制：≥4.3英寸全彩触摸屏</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46D6E4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1E54E9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C6F3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3177FC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8-12</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69F435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数字会议系统</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6B046A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1.软件内嵌于会议系统主机设备，应用于对全数字会议系统音频传输软件的管理或控制。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2.支持同声传译功能。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3.内置DSP音频处理技术，支持EQ均衡调节音频处理能力。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4.支持话筒管理能力，通过不同的模式限制话筒发言数量，保障会场发言秩序。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5.软件支持根据话筒ID提供不同的代码编号给中控系统，与中控系统对接后，可实现摄像自动跟踪功能。</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1EF228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600223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6B27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558B3B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8-13</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344B0E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AI会议话筒处理器</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6C3A51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智能混音、语音检测功能，可以实现16个有线会议单元+8个无线会议单元同时开启并实时检测会议单元dB值；当发言人讲话时，会议单元自动调整为发言状态，并联动摄像机自动跟踪发言人；当发言人停止讲话时，会议单元自动调整为静音状态，并联动摄像机自动切换到全景画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产品软件与数字会议主机软件集成，可以实现使用同一软件配置数字会议主机和会议话筒处理器；支持搭配音频综合管理平台集中管控各种音频设备，包含数字会议系统软件模块、电子桌牌软件模块、反馈抑制器软件模块、智能混音器软件模块、数字音频处理器软件模块、智控数字专业功放软件模块，各模块打开呈现在状态栏窗口，可快速管理和调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3.后面板具有1个船形开关、4个RJ45、1个RS485、2个RS232、1个TYPE-C接口、1个拨码开关、1路卡侬输出接口和2路RCA输出接口；前面板具有1个AFC电容触摸开关；4个状态指示灯（包括1个AFC 功能状态指示灯、1个音频信号灯、1个处理器工作状态指示灯、1个工作电源指示灯）。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处理器与数字会议主机通过网络传输链路传输会议单元音频信号，只需要通过网线即可以接收数字会议单元音频信号，并提供自动增益、自动混音、AFC反馈抑制（24个可编程陷波点）、EQ调节（31段图示均衡器调节）音频处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5.采用啸叫检测门限更新法，移频+陷波组合反馈抑制方式，具有24个可编程陷波点，可自由分配动态/静态点，自动/手动切换。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6.具有1个RS485、1个RS232接口，可对接摄像机实现摄像跟踪功能；内置64个话筒预置位，满足大型会议室摄像跟踪需求。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7.具有1路RS-232通信接口（语音转写），支持对接语音转写服务器，实现语音转写功能。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8.面板具有AFC触摸按键和功能工作指示灯。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9.具有2路网口，用于连接无线AP和与会议主机通信；通过网络协议对接数字会议主机，实现音频数据传输。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10.具有自动混音功能，包括增益共享型自动混音以及门限型自动混音。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11.具有自动增益功能，能够有效将话筒音量保持在一定动态范围。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12.具有话筒语音激励功能，可设置跟踪阈值，当话筒发言达阈值时可实现联动摄像跟踪功能。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13.具有EQ调节功能，输出具有31段图示均衡器调节。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14.具有1路卡侬平衡输出，1路莲花非平衡输出。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15.具有1路EXTENSION接口，可用于连接数字会议主机扩展口。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1.支持话筒同时开麦数量：16个有线单元+8个无线单元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2.频率响应：80Hz~16kHz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3.信噪比：＞75dB(A)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4.动态范围：＞75dB(A)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5.总谐波失真：＜0.05%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6.主电源：100-240AC/50-60Hz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7.音频输出：LINE OUT 1: 1V 卡侬平衡输出；LINE OUT 2: 1V 莲花座非平衡输出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8.输出负载：＞1KΩ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9.静态功耗：3.3W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10.连接方式：RJ45网口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11.指示灯：AFC功能指示灯、音频信号灯、工作状态指示灯、电源指示灯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12.工作温度：-10℃~+60℃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13.工作湿度：20%～80%相对湿度，无结露</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7FFF13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27CF5B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5F81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4466E3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8-14</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3632BA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会议话筒</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28E02B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1.话筒采用48kHz采样率，高于CD的音质，清晰明亮。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2.采用先进处理芯片架构，及独特的处理算法，话筒开机连接时间只需5秒。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3.具有智能检测故障功能，提示用户AP故障、主机通信故障、信号强度过低等情况。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4.支持通过Type-C口充电，支持18W快充，具有智能指标状态。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5.可通过UI设置SSID。</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6.具有中英文切换显示功能，通过PC软件统一设置。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7.具有发言计时和定时发言功能。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8.具有声控功能，可智能打开话筒。通过软件调节声控灵敏度及设置关闭时间。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9.支持签到功能，通过PC软件设置并发起。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10.支持会议投票功能、支持五键选举、三键表决功能，灵活方便。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11.采用128位AES加密技术，支持 WPA/WPA2 无线安全技术，防止窃听和非授权访问，提供更高的会议系统机密性。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12.采用无线传输技术，只需要极少会场布置时间，即可开展会场活动。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13.主席具备优先权功能，可关闭正在发言的所有代表话筒。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14.采用4.3英寸全彩触屏。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15.具备3.5mm耳机孔，可连接外置麦克风。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16.内置锂电池，电池容量支持14小时持续发言。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1.麦克风类型：心型指向性驻极体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2.频率响应：80Hz~16kHz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3.灵敏度：-40±1dB (0dB=1V/Pa,at 1KHz)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4.最大SPL：120dB(THD＜3%)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5.信噪比：＞80dB(A)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6.串扰：＞70dB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7.动态范围：＞80dB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8.THD：＜0.1%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9.最大功耗：3W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10.供电方式：18650锂电池供电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11.充电方式：通过Type-C接口，连接充电箱充电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12.颜色：石墨灰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13.签到功能：触屏签到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14.显示屏：IPS屏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15.尺寸(LxWxH)：136×140×48.5mm(不含咪杆长度)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16.咪杆长度：240mm一体式方形短咪杆（浅黑色</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17.安装方式：桌面式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18.无线频率范围：5.15~5.85GHz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19.电池容量：10200 mAh</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4F0E5C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30FFAC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DC14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7E001E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8-15</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0BD1EC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全数字会议系统音频传输内嵌软件</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6F45E2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1.软件内嵌于会议单元设备，应用于对全数字会议系统音频传输软件的管理或控制。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2.支持中英文语言管理界面。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3.支持48KHz采样率音频处理能力。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4.支持电池管理功能，可显示电量/信号等信息。</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5CBC5E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5A799D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7288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7C0688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8-16</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35CED3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会议话筒</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190E81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1.话筒采用48kHz采样率，高于CD的音质，清晰明亮。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2.采用先进处理芯片架构，及独特的处理算法，话筒开机连接时间只需5秒。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3.具有智能检测故障功能，提示用户AP故障、主机通信故障、信号强度过低等情况。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4.支持通过Type-C口充电，支持18W快充，具有智能指标状态。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5.可通过UI设置SSID。</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6.具有中英文切换显示功能，通过PC软件统一设置。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7.具有发言计时和定时发言功能。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8.具有声控功能，可智能打开话筒。通过软件调节声控灵敏度及设置关闭时间。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9.支持签到功能，通过PC软件设置并发起。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10.支持会议投票功能、支持五键选举、三键表决功能，灵活方便。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11.采用128位AES加密技术，支持 WPA/WPA2 无线安全技术，防止窃听和非授权访问，提供更高的会议系统机密性。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12.采用无线传输技术，只需要极少会场布置时间，即可开展会场活动。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13.代表机具有申请发言功能，通过主席机批准申请人发言。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14.采用4.3英寸全彩触屏。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15.具备3.5mm耳机孔，可连接外置麦克风。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16.内置锂电池，电池容量支持14小时持续发言。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1.麦克风类型：心型指向性驻极体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2.频率响应：80Hz~16kHz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3.灵敏度：-40±1dB (0dB=1V/Pa,at 1KHz)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4.最大SPL：120dB(THD＜3%)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5.信噪比：＞80dB(A)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6.串扰：＞70dB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7.动态范围：＞80dB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8.THD：＜0.1%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9.最大功耗：3W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10.供电方式：18650锂电池供电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11.充电方式：通过Type-C接口，连接充电箱充电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12.颜色：石墨灰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13.签到功能：触屏签到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14.显示屏：IPS屏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.安装方式：桌面式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.无线频率范围：5.15~5.85GHz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.电池容量：10200 mAh</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4F01E7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3F79FA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1EA18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1684C5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8-17</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4DAEBF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全数字会议系统音频传输内嵌软件</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519FB0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参数同序号8-15一致。</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18C31C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7AF136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1C5D89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2B5306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8-18</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7C719B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连接线</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268F91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20米延长线（一公一母）</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73C233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3C8FC2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3D426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ign w:val="center"/>
          </w:tcPr>
          <w:p w14:paraId="57A45E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8-19</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2008DF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插座</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28D83C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1.具有扩展网络接口的功能。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2.一进三出连接单元，也可连接主机，实现网络功能。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3.采用 100M/10M 自适应网络传输，可以实现手拉手级联。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4.每个六芯航空接口支持IEEE802.3、IEEE802.3u、 IEEE802.3x规范，具有较强的抗干扰能力。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5.底盒具有防水泥功能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1.整机功耗:1.5W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2.网口规范:IEEE802.3、 IEEE802.3u、IEEE802.3x</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3.供电方式 :六芯口供电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.安装方式:地面式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.工作温度:-10℃~+45℃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.工作湿度:20%～80%相对湿度，无结露</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12F95A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29F6A2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8636E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0062" w:type="dxa"/>
            <w:gridSpan w:val="5"/>
            <w:tcBorders>
              <w:top w:val="single" w:color="000000" w:sz="4" w:space="0"/>
              <w:left w:val="single" w:color="000000" w:sz="4" w:space="0"/>
              <w:bottom w:val="single" w:color="000000" w:sz="4" w:space="0"/>
              <w:right w:val="single" w:color="000000" w:sz="4" w:space="0"/>
            </w:tcBorders>
            <w:noWrap w:val="0"/>
            <w:vAlign w:val="center"/>
          </w:tcPr>
          <w:p w14:paraId="5FDE4F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4.辅助材料</w:t>
            </w:r>
          </w:p>
        </w:tc>
      </w:tr>
      <w:tr w14:paraId="79147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0062" w:type="dxa"/>
            <w:gridSpan w:val="5"/>
            <w:tcBorders>
              <w:top w:val="single" w:color="000000" w:sz="4" w:space="0"/>
              <w:left w:val="single" w:color="000000" w:sz="4" w:space="0"/>
              <w:bottom w:val="single" w:color="000000" w:sz="4" w:space="0"/>
              <w:right w:val="single" w:color="000000" w:sz="4" w:space="0"/>
            </w:tcBorders>
            <w:noWrap/>
            <w:vAlign w:val="center"/>
          </w:tcPr>
          <w:p w14:paraId="12CFEF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周边配套设备</w:t>
            </w:r>
          </w:p>
        </w:tc>
      </w:tr>
      <w:tr w14:paraId="52B5F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4FBA0E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8-20</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461005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机柜</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138497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产品介绍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机柜采用全模块化组装结构，内置4根19英寸标高24U（1U=44.45mm）安装立柱；前门为单开带锁钢制嵌边式玻璃门，侧门和后门为快速拆卸式钢制门，机柜静态载重达到850kg快速拆卸式钢制门。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功能特点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1.采用全模块化组装结构。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2.前门采用钢制嵌边式玻璃门。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3.后门和两侧采用钢质快速拆卸门板。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4.预留顶部和底部进线孔，满足上下进线需求。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5.全系列标准尺寸，适应不同使用场景。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6.带刻度可调节标准19英寸安装立柱。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7.整体外观采用时尚简约风格。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技术参数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1.尺寸（W×D×H）：</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600mm×800mm×1245mm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.材质：冷轧钢板</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81C26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3B8C3E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951D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45CB61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8-21</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430EBC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多媒体插座</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705C2F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含1个多功能电源接口、2个RJ45网络、1个3.5音频、1个HMDI模块</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230505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155E8B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1E66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00D26C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8-22</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0B47DD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变压器</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6877D0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产品介绍：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1．具备2路输入、2路输出，工业标准接线端子。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2．隔离静噪抗干扰器，消除“嗡”音和“嗞”音“超大电流声”</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F4A87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284E71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2A5A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2875F5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8-23</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06EEA6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20E192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1.8米音频连接线：卡侬头（母）*1卡侬头（公）*1，线径：0.3mm</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382369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3D9CAB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592FE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64E5BE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8-24</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63AC93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4198D1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1.8米音频连接线：卡农头（母）*1，线径：0.3mm</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446BE8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2EE034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F1A0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06B1A3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8-25</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225ABD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4B312D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1.8米音频连接线：卡农头（公）*1，线径：0.3mm</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4D4FEA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47D850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1551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534EB2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8-26</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12AC0E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音频连接线</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447E42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5米音频连接线：3.5（耳机插头）*1,6.35话筒插头*2,线径：0.3mm</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6A5A49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5C35F2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8162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53A690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8-27</w:t>
            </w:r>
          </w:p>
        </w:tc>
        <w:tc>
          <w:tcPr>
            <w:tcW w:w="1149" w:type="dxa"/>
            <w:tcBorders>
              <w:top w:val="single" w:color="000000" w:sz="4" w:space="0"/>
              <w:left w:val="single" w:color="000000" w:sz="4" w:space="0"/>
              <w:bottom w:val="single" w:color="000000" w:sz="4" w:space="0"/>
              <w:right w:val="single" w:color="000000" w:sz="4" w:space="0"/>
            </w:tcBorders>
            <w:noWrap w:val="0"/>
            <w:vAlign w:val="center"/>
          </w:tcPr>
          <w:p w14:paraId="21C06E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线材</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4E8288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网线、钢管、线材等</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343E2E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651" w:type="dxa"/>
            <w:tcBorders>
              <w:top w:val="single" w:color="000000" w:sz="4" w:space="0"/>
              <w:left w:val="single" w:color="000000" w:sz="4" w:space="0"/>
              <w:bottom w:val="single" w:color="000000" w:sz="4" w:space="0"/>
              <w:right w:val="single" w:color="000000" w:sz="4" w:space="0"/>
            </w:tcBorders>
            <w:noWrap w:val="0"/>
            <w:vAlign w:val="center"/>
          </w:tcPr>
          <w:p w14:paraId="2CF880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D9DB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925" w:type="dxa"/>
            <w:tcBorders>
              <w:top w:val="single" w:color="000000" w:sz="4" w:space="0"/>
              <w:left w:val="single" w:color="000000" w:sz="4" w:space="0"/>
              <w:bottom w:val="single" w:color="000000" w:sz="4" w:space="0"/>
              <w:right w:val="single" w:color="000000" w:sz="4" w:space="0"/>
            </w:tcBorders>
            <w:noWrap w:val="0"/>
            <w:vAlign w:val="center"/>
          </w:tcPr>
          <w:p w14:paraId="7C88F5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8-28</w:t>
            </w:r>
          </w:p>
        </w:tc>
        <w:tc>
          <w:tcPr>
            <w:tcW w:w="1149" w:type="dxa"/>
            <w:tcBorders>
              <w:top w:val="single" w:color="000000" w:sz="4" w:space="0"/>
              <w:left w:val="single" w:color="000000" w:sz="4" w:space="0"/>
              <w:bottom w:val="single" w:color="000000" w:sz="4" w:space="0"/>
              <w:right w:val="single" w:color="000000" w:sz="4" w:space="0"/>
            </w:tcBorders>
            <w:noWrap/>
            <w:vAlign w:val="center"/>
          </w:tcPr>
          <w:p w14:paraId="5A588E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大3P空调</w:t>
            </w:r>
          </w:p>
        </w:tc>
        <w:tc>
          <w:tcPr>
            <w:tcW w:w="6583" w:type="dxa"/>
            <w:tcBorders>
              <w:top w:val="single" w:color="000000" w:sz="4" w:space="0"/>
              <w:left w:val="single" w:color="000000" w:sz="4" w:space="0"/>
              <w:bottom w:val="single" w:color="000000" w:sz="4" w:space="0"/>
              <w:right w:val="single" w:color="000000" w:sz="4" w:space="0"/>
            </w:tcBorders>
            <w:noWrap w:val="0"/>
            <w:vAlign w:val="center"/>
          </w:tcPr>
          <w:p w14:paraId="771D2B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材质工艺：ABS+高光注塑工艺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形体：柜机。颜色:白色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能效等级：三级变频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适用面积：30m²-40m²</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4BD3F8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51" w:type="dxa"/>
            <w:tcBorders>
              <w:top w:val="single" w:color="000000" w:sz="4" w:space="0"/>
              <w:left w:val="single" w:color="000000" w:sz="4" w:space="0"/>
              <w:bottom w:val="single" w:color="000000" w:sz="4" w:space="0"/>
              <w:right w:val="single" w:color="000000" w:sz="4" w:space="0"/>
            </w:tcBorders>
            <w:noWrap/>
            <w:vAlign w:val="center"/>
          </w:tcPr>
          <w:p w14:paraId="0676F9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bl>
    <w:p w14:paraId="5C5C695B">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10063" w:type="dxa"/>
        <w:tblInd w:w="-79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91"/>
        <w:gridCol w:w="1183"/>
        <w:gridCol w:w="6566"/>
        <w:gridCol w:w="754"/>
        <w:gridCol w:w="669"/>
      </w:tblGrid>
      <w:tr w14:paraId="64161C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0063" w:type="dxa"/>
            <w:gridSpan w:val="5"/>
            <w:tcBorders>
              <w:top w:val="single" w:color="000000" w:sz="4" w:space="0"/>
              <w:left w:val="single" w:color="000000" w:sz="4" w:space="0"/>
              <w:bottom w:val="single" w:color="000000" w:sz="4" w:space="0"/>
              <w:right w:val="single" w:color="000000" w:sz="4" w:space="0"/>
            </w:tcBorders>
            <w:noWrap w:val="0"/>
            <w:vAlign w:val="center"/>
          </w:tcPr>
          <w:p w14:paraId="42ABBC7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计算机室（2间）</w:t>
            </w:r>
          </w:p>
        </w:tc>
      </w:tr>
      <w:tr w14:paraId="687DD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ign w:val="center"/>
          </w:tcPr>
          <w:p w14:paraId="22911B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7A20C1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566" w:type="dxa"/>
            <w:tcBorders>
              <w:top w:val="single" w:color="000000" w:sz="4" w:space="0"/>
              <w:left w:val="single" w:color="000000" w:sz="4" w:space="0"/>
              <w:bottom w:val="single" w:color="000000" w:sz="4" w:space="0"/>
              <w:right w:val="single" w:color="000000" w:sz="4" w:space="0"/>
            </w:tcBorders>
            <w:noWrap/>
            <w:vAlign w:val="center"/>
          </w:tcPr>
          <w:p w14:paraId="209D7B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29419E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669" w:type="dxa"/>
            <w:tcBorders>
              <w:top w:val="single" w:color="000000" w:sz="4" w:space="0"/>
              <w:left w:val="single" w:color="000000" w:sz="4" w:space="0"/>
              <w:bottom w:val="single" w:color="000000" w:sz="4" w:space="0"/>
              <w:right w:val="single" w:color="000000" w:sz="4" w:space="0"/>
            </w:tcBorders>
            <w:noWrap/>
            <w:vAlign w:val="center"/>
          </w:tcPr>
          <w:p w14:paraId="029ED0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2DA00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1C7120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9-1</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1B6ED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学生机云电脑</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71E2C3E5">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处理器：4核及以上。</w:t>
            </w:r>
          </w:p>
          <w:p w14:paraId="056227F5">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内存：8G及以上。</w:t>
            </w:r>
          </w:p>
          <w:p w14:paraId="227BF41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存储：80GB及以上。</w:t>
            </w:r>
          </w:p>
          <w:p w14:paraId="1A11F55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桌面能力：支持桌面管理、带宽管理、用户管理、策略管理等系统功能。</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CEC51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74C506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110</w:t>
            </w:r>
          </w:p>
        </w:tc>
      </w:tr>
      <w:tr w14:paraId="15A67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00ED10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9-2</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078A4C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教师机云电脑</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32EA71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1.云终端配置：不低于8核16G，硬盘容量：不低于180G；</w:t>
            </w:r>
          </w:p>
          <w:p w14:paraId="70CF60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2.提供统一管理平台；</w:t>
            </w:r>
          </w:p>
          <w:p w14:paraId="663B43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3.系统能还原。</w:t>
            </w:r>
          </w:p>
          <w:p w14:paraId="6E2C57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4.软件平台与服务器、终端等支持硬件解耦</w:t>
            </w:r>
          </w:p>
          <w:p w14:paraId="1C0E41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5.能创建多种镜像类型，包括公共镜像、自定义镜像、共享镜像</w:t>
            </w:r>
          </w:p>
          <w:p w14:paraId="6F9BD0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6.支持多种高级加密标准算法。</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64B2D5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21396C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B728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6"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30C767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9-3</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37282A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瘦终端</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02459E9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、CPU：不低于4核</w:t>
            </w:r>
          </w:p>
          <w:p w14:paraId="579CF441">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2、内存：不低于4G</w:t>
            </w:r>
          </w:p>
          <w:p w14:paraId="0D770B3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3、硬盘：不低于16GB</w:t>
            </w:r>
          </w:p>
          <w:p w14:paraId="40ED4A9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4、网卡：1000M/100M/RJ45/自适应网卡</w:t>
            </w:r>
          </w:p>
          <w:p w14:paraId="568172F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、USB口：不低于3个USB2.0</w:t>
            </w:r>
          </w:p>
          <w:p w14:paraId="68764B44">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、外接显示口：HDMI</w:t>
            </w:r>
          </w:p>
          <w:p w14:paraId="41654E6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、支持分辨率：1920×1080</w:t>
            </w:r>
          </w:p>
          <w:p w14:paraId="0746AD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仿宋" w:hAnsi="仿宋" w:eastAsia="仿宋" w:cs="仿宋"/>
                <w:color w:val="auto"/>
                <w:sz w:val="21"/>
                <w:szCs w:val="21"/>
                <w:highlight w:val="none"/>
                <w:lang w:val="en-US" w:eastAsia="zh-CN"/>
              </w:rPr>
              <w:t>8</w:t>
            </w:r>
            <w:r>
              <w:rPr>
                <w:rFonts w:hint="eastAsia" w:ascii="宋体" w:hAnsi="宋体" w:eastAsia="宋体" w:cs="宋体"/>
                <w:i w:val="0"/>
                <w:iCs w:val="0"/>
                <w:color w:val="auto"/>
                <w:kern w:val="0"/>
                <w:sz w:val="22"/>
                <w:szCs w:val="22"/>
                <w:highlight w:val="none"/>
                <w:u w:val="none"/>
                <w:lang w:val="en-US" w:eastAsia="zh-CN" w:bidi="ar"/>
              </w:rPr>
              <w:t>、保修服务：整机三年保修服务</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A44CE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8C0C5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112</w:t>
            </w:r>
          </w:p>
        </w:tc>
      </w:tr>
      <w:tr w14:paraId="07D7A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3E1669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9-4</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63AE79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显示器（强制采购节能产品）</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6F0FE2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不低于22寸，1920*1080，视频输出接口VGA + HDMI</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5BEBC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507D53F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eastAsia="zh-CN"/>
              </w:rPr>
            </w:pPr>
            <w:r>
              <w:rPr>
                <w:rFonts w:hint="eastAsia" w:ascii="宋体" w:hAnsi="宋体" w:cs="宋体"/>
                <w:i w:val="0"/>
                <w:iCs w:val="0"/>
                <w:color w:val="auto"/>
                <w:sz w:val="22"/>
                <w:szCs w:val="22"/>
                <w:highlight w:val="none"/>
                <w:u w:val="none"/>
                <w:lang w:val="en-US" w:eastAsia="zh-CN"/>
              </w:rPr>
              <w:t>112</w:t>
            </w:r>
          </w:p>
        </w:tc>
      </w:tr>
      <w:tr w14:paraId="41B3F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8E0AB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9-5</w:t>
            </w:r>
          </w:p>
        </w:tc>
        <w:tc>
          <w:tcPr>
            <w:tcW w:w="118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1AB73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电脑桌椅</w:t>
            </w:r>
          </w:p>
        </w:tc>
        <w:tc>
          <w:tcPr>
            <w:tcW w:w="6566"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EF7923B">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1.定制桌子，单个学生位尺寸：</w:t>
            </w:r>
            <w:r>
              <w:rPr>
                <w:rFonts w:hint="eastAsia" w:ascii="宋体" w:hAnsi="宋体" w:cs="宋体"/>
                <w:i w:val="0"/>
                <w:iCs w:val="0"/>
                <w:color w:val="auto"/>
                <w:sz w:val="22"/>
                <w:szCs w:val="22"/>
                <w:highlight w:val="none"/>
                <w:u w:val="none"/>
                <w:lang w:val="en-US" w:eastAsia="zh-CN"/>
              </w:rPr>
              <w:t>650*600*750mm</w:t>
            </w:r>
            <w:r>
              <w:rPr>
                <w:rFonts w:hint="eastAsia" w:ascii="宋体" w:hAnsi="宋体" w:eastAsia="宋体" w:cs="宋体"/>
                <w:i w:val="0"/>
                <w:iCs w:val="0"/>
                <w:color w:val="auto"/>
                <w:sz w:val="22"/>
                <w:szCs w:val="22"/>
                <w:highlight w:val="none"/>
                <w:u w:val="none"/>
                <w:lang w:val="en-US" w:eastAsia="zh-CN"/>
              </w:rPr>
              <w:t>±</w:t>
            </w:r>
            <w:r>
              <w:rPr>
                <w:rFonts w:hint="eastAsia" w:ascii="宋体" w:hAnsi="宋体" w:cs="宋体"/>
                <w:i w:val="0"/>
                <w:iCs w:val="0"/>
                <w:color w:val="auto"/>
                <w:sz w:val="22"/>
                <w:szCs w:val="22"/>
                <w:highlight w:val="none"/>
                <w:u w:val="none"/>
                <w:lang w:val="en-US" w:eastAsia="zh-CN"/>
              </w:rPr>
              <w:t>5mm</w:t>
            </w:r>
            <w:r>
              <w:rPr>
                <w:rFonts w:hint="eastAsia" w:ascii="宋体" w:hAnsi="宋体" w:eastAsia="宋体" w:cs="宋体"/>
                <w:i w:val="0"/>
                <w:iCs w:val="0"/>
                <w:color w:val="auto"/>
                <w:sz w:val="22"/>
                <w:szCs w:val="22"/>
                <w:highlight w:val="none"/>
                <w:u w:val="none"/>
              </w:rPr>
              <w:t>；</w:t>
            </w:r>
          </w:p>
          <w:p w14:paraId="51EF532C">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2.整个桌体为钢架结构材质，台面厚度不可小于 2.5cm密度板。</w:t>
            </w:r>
          </w:p>
          <w:p w14:paraId="2BEB50F2">
            <w:pPr>
              <w:jc w:val="left"/>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val="en-US" w:eastAsia="zh-CN"/>
              </w:rPr>
              <w:t>3</w:t>
            </w:r>
            <w:r>
              <w:rPr>
                <w:rFonts w:hint="eastAsia" w:ascii="宋体" w:hAnsi="宋体" w:eastAsia="宋体" w:cs="宋体"/>
                <w:i w:val="0"/>
                <w:iCs w:val="0"/>
                <w:color w:val="auto"/>
                <w:sz w:val="22"/>
                <w:szCs w:val="22"/>
                <w:highlight w:val="none"/>
                <w:u w:val="none"/>
              </w:rPr>
              <w:t>.定制</w:t>
            </w:r>
            <w:r>
              <w:rPr>
                <w:rFonts w:hint="eastAsia" w:ascii="宋体" w:hAnsi="宋体" w:cs="宋体"/>
                <w:i w:val="0"/>
                <w:iCs w:val="0"/>
                <w:color w:val="auto"/>
                <w:sz w:val="22"/>
                <w:szCs w:val="22"/>
                <w:highlight w:val="none"/>
                <w:u w:val="none"/>
                <w:lang w:val="en-US" w:eastAsia="zh-CN"/>
              </w:rPr>
              <w:t>椅子</w:t>
            </w:r>
            <w:r>
              <w:rPr>
                <w:rFonts w:hint="eastAsia" w:ascii="宋体" w:hAnsi="宋体" w:eastAsia="宋体" w:cs="宋体"/>
                <w:i w:val="0"/>
                <w:iCs w:val="0"/>
                <w:color w:val="auto"/>
                <w:sz w:val="22"/>
                <w:szCs w:val="22"/>
                <w:highlight w:val="none"/>
                <w:u w:val="none"/>
              </w:rPr>
              <w:t>，尺寸：≥</w:t>
            </w:r>
            <w:r>
              <w:rPr>
                <w:rFonts w:hint="eastAsia" w:ascii="宋体" w:hAnsi="宋体" w:eastAsia="宋体" w:cs="宋体"/>
                <w:i w:val="0"/>
                <w:iCs w:val="0"/>
                <w:color w:val="auto"/>
                <w:sz w:val="22"/>
                <w:szCs w:val="22"/>
                <w:highlight w:val="none"/>
                <w:u w:val="none"/>
                <w:lang w:val="en-US" w:eastAsia="zh-CN"/>
              </w:rPr>
              <w:t>400*355*780mm</w:t>
            </w:r>
            <w:r>
              <w:rPr>
                <w:rFonts w:hint="eastAsia" w:ascii="宋体" w:hAnsi="宋体" w:eastAsia="宋体" w:cs="宋体"/>
                <w:i w:val="0"/>
                <w:iCs w:val="0"/>
                <w:color w:val="auto"/>
                <w:sz w:val="22"/>
                <w:szCs w:val="22"/>
                <w:highlight w:val="none"/>
                <w:u w:val="none"/>
              </w:rPr>
              <w:t>；</w:t>
            </w:r>
          </w:p>
          <w:p w14:paraId="54A54110">
            <w:pPr>
              <w:jc w:val="left"/>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sz w:val="22"/>
                <w:szCs w:val="22"/>
                <w:highlight w:val="none"/>
                <w:u w:val="none"/>
                <w:lang w:val="en-US" w:eastAsia="zh-CN"/>
              </w:rPr>
              <w:t>4</w:t>
            </w:r>
            <w:r>
              <w:rPr>
                <w:rFonts w:hint="eastAsia" w:ascii="宋体" w:hAnsi="宋体" w:eastAsia="宋体" w:cs="宋体"/>
                <w:i w:val="0"/>
                <w:iCs w:val="0"/>
                <w:color w:val="auto"/>
                <w:sz w:val="22"/>
                <w:szCs w:val="22"/>
                <w:highlight w:val="none"/>
                <w:u w:val="none"/>
              </w:rPr>
              <w:t>.整体为钢架结构材质，凳面厚度不可小于1.6cm密度板。</w:t>
            </w:r>
          </w:p>
        </w:tc>
        <w:tc>
          <w:tcPr>
            <w:tcW w:w="7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AECB0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712429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112</w:t>
            </w:r>
          </w:p>
        </w:tc>
      </w:tr>
      <w:tr w14:paraId="4939F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2F196E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9-6</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01B1B6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窗帘</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1397A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亚麻材质，自带遮光层，罗马杆</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1E74D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米</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AFB12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32</w:t>
            </w:r>
          </w:p>
        </w:tc>
      </w:tr>
      <w:tr w14:paraId="4A5CA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4F1F1C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9-7</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22869D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大3P空调（强制采购节能产品）</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E98D831">
            <w:pPr>
              <w:keepNext w:val="0"/>
              <w:keepLines w:val="0"/>
              <w:widowControl/>
              <w:numPr>
                <w:ilvl w:val="0"/>
                <w:numId w:val="2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材质工艺：ABS+高光注塑工艺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p>
          <w:p w14:paraId="6E26F112">
            <w:pPr>
              <w:keepNext w:val="0"/>
              <w:keepLines w:val="0"/>
              <w:widowControl/>
              <w:numPr>
                <w:ilvl w:val="0"/>
                <w:numId w:val="2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形体：柜机。                </w:t>
            </w:r>
          </w:p>
          <w:p w14:paraId="27C7092B">
            <w:pPr>
              <w:keepNext w:val="0"/>
              <w:keepLines w:val="0"/>
              <w:widowControl/>
              <w:numPr>
                <w:ilvl w:val="0"/>
                <w:numId w:val="2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能效等级：三级变频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p>
          <w:p w14:paraId="5DACFCB5">
            <w:pPr>
              <w:keepNext w:val="0"/>
              <w:keepLines w:val="0"/>
              <w:widowControl/>
              <w:numPr>
                <w:ilvl w:val="0"/>
                <w:numId w:val="2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适用面积：30m²-40m²</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6A65D1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049A37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55C19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2FB3C0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9-8</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2D68FF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路由器</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3C841E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1.10/100/1000Base-T以太网端口≥5个，USB 3.0端口≥1个，支持弹性切换；支持显示屏：能对CPU/内存利用率、上下行流量、在线人数统计的显示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2.并发连接数≥122880，CPU 双核四线程≥880Mhz；最大接入带宽≥400M，支持同时在线用户数≥300人；支持路由模式、支持（动态、静态、反向地址转换）NAT模式；一键智能流控（语音，游戏流量优先），支持基于七层协议智能流控和应用分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HTTP协议、网络游戏、网络电视、网络音乐、网络电话、P2P下载、聊天软件、移动应用等协议识别；支持IP/MAC绑定、ARP攻击防御、ARP信任机制；支持连接数限制，支持单独对UDP、TCP连接数进行限制；支持DDoS攻击、洪水攻击、SYS攻击防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4.支持网管平台统一管理和云端管理</w:t>
            </w:r>
            <w:r>
              <w:rPr>
                <w:rFonts w:hint="eastAsia" w:ascii="宋体" w:hAnsi="宋体" w:cs="宋体"/>
                <w:i w:val="0"/>
                <w:iCs w:val="0"/>
                <w:color w:val="auto"/>
                <w:kern w:val="0"/>
                <w:sz w:val="22"/>
                <w:szCs w:val="22"/>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3F2FD4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4DFD1B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6071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noWrap w:val="0"/>
            <w:vAlign w:val="center"/>
          </w:tcPr>
          <w:p w14:paraId="7B10768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9-9</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220D3F35">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千兆交换机</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6A0A160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1.10/100/1000Base-T以太网端口≥24个， 千兆SFP光口≥2个；交换容量≥336Gbps，包转发率≥108Mpps。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2.支持MAC地址≥8K，工作温度-20℃~50℃；支持端口聚合，每个聚合组至少8个端口；支持802.1Q标准VLAN；支持4K个VLAN ；支持静态路由、RIP、RIPng路由协议；支持对组播/未知单播/广播的风暴抑制；支持端口隔离；支持G.8032以太环保护协议；支持SNMPv1/v2/v3、Telnet远程维护、网管系统管理、WEB网管；</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B65E7E5">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1A5315F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6</w:t>
            </w:r>
          </w:p>
        </w:tc>
      </w:tr>
      <w:tr w14:paraId="1E7D4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89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C9A91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9-10</w:t>
            </w:r>
          </w:p>
        </w:tc>
        <w:tc>
          <w:tcPr>
            <w:tcW w:w="118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4A831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综合布线</w:t>
            </w:r>
          </w:p>
        </w:tc>
        <w:tc>
          <w:tcPr>
            <w:tcW w:w="6566"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626A4C9D">
            <w:pPr>
              <w:jc w:val="left"/>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rPr>
              <w:t>电源、网络布置，电脑安装及调试等</w:t>
            </w:r>
            <w:r>
              <w:rPr>
                <w:rFonts w:hint="eastAsia" w:ascii="宋体" w:hAnsi="宋体" w:cs="宋体"/>
                <w:i w:val="0"/>
                <w:iCs w:val="0"/>
                <w:color w:val="auto"/>
                <w:sz w:val="22"/>
                <w:szCs w:val="22"/>
                <w:highlight w:val="none"/>
                <w:u w:val="none"/>
                <w:lang w:val="en-US" w:eastAsia="zh-CN"/>
              </w:rPr>
              <w:t>.</w:t>
            </w:r>
          </w:p>
        </w:tc>
        <w:tc>
          <w:tcPr>
            <w:tcW w:w="7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E154E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7382FC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bl>
    <w:p w14:paraId="03438DC0">
      <w:pPr>
        <w:pStyle w:val="33"/>
        <w:rPr>
          <w:rFonts w:hint="eastAsia"/>
          <w:color w:val="auto"/>
          <w:highlight w:val="none"/>
        </w:rPr>
      </w:pPr>
    </w:p>
    <w:tbl>
      <w:tblPr>
        <w:tblStyle w:val="43"/>
        <w:tblW w:w="10095" w:type="dxa"/>
        <w:tblInd w:w="-79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00"/>
        <w:gridCol w:w="1185"/>
        <w:gridCol w:w="6585"/>
        <w:gridCol w:w="720"/>
        <w:gridCol w:w="705"/>
      </w:tblGrid>
      <w:tr w14:paraId="022D4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10095" w:type="dxa"/>
            <w:gridSpan w:val="5"/>
            <w:tcBorders>
              <w:top w:val="single" w:color="000000" w:sz="4" w:space="0"/>
              <w:left w:val="single" w:color="000000" w:sz="4" w:space="0"/>
              <w:bottom w:val="single" w:color="000000" w:sz="4" w:space="0"/>
              <w:right w:val="single" w:color="000000" w:sz="4" w:space="0"/>
            </w:tcBorders>
            <w:noWrap/>
            <w:vAlign w:val="center"/>
          </w:tcPr>
          <w:p w14:paraId="28E210D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音乐室</w:t>
            </w:r>
          </w:p>
        </w:tc>
      </w:tr>
      <w:tr w14:paraId="4ACC2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5A801F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5195F4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585" w:type="dxa"/>
            <w:tcBorders>
              <w:top w:val="single" w:color="000000" w:sz="4" w:space="0"/>
              <w:left w:val="single" w:color="000000" w:sz="4" w:space="0"/>
              <w:bottom w:val="single" w:color="000000" w:sz="4" w:space="0"/>
              <w:right w:val="single" w:color="000000" w:sz="4" w:space="0"/>
            </w:tcBorders>
            <w:noWrap/>
            <w:vAlign w:val="center"/>
          </w:tcPr>
          <w:p w14:paraId="061221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2A2CD0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5785B1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66F4D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037425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F834D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钢琴</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20A82CE5">
            <w:pPr>
              <w:keepNext w:val="0"/>
              <w:keepLines w:val="0"/>
              <w:widowControl/>
              <w:numPr>
                <w:ilvl w:val="0"/>
                <w:numId w:val="2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产品规格：118</w:t>
            </w:r>
            <w:r>
              <w:rPr>
                <w:rFonts w:hint="eastAsia" w:ascii="宋体" w:hAnsi="宋体" w:cs="宋体"/>
                <w:i w:val="0"/>
                <w:iCs w:val="0"/>
                <w:color w:val="auto"/>
                <w:kern w:val="0"/>
                <w:sz w:val="22"/>
                <w:szCs w:val="22"/>
                <w:highlight w:val="none"/>
                <w:u w:val="none"/>
                <w:lang w:val="en-US" w:eastAsia="zh-CN" w:bidi="ar"/>
              </w:rPr>
              <w:t>。</w:t>
            </w:r>
          </w:p>
          <w:p w14:paraId="1A43DE26">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外壳尺寸（长×宽×高）：</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1500×59</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×119</w:t>
            </w:r>
            <w:r>
              <w:rPr>
                <w:rFonts w:hint="eastAsia" w:ascii="宋体" w:hAnsi="宋体" w:cs="宋体"/>
                <w:i w:val="0"/>
                <w:iCs w:val="0"/>
                <w:color w:val="auto"/>
                <w:kern w:val="0"/>
                <w:sz w:val="22"/>
                <w:szCs w:val="22"/>
                <w:highlight w:val="none"/>
                <w:u w:val="none"/>
                <w:lang w:val="en-US" w:eastAsia="zh-CN" w:bidi="ar"/>
              </w:rPr>
              <w:t>0</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mm）</w:t>
            </w:r>
            <w:r>
              <w:rPr>
                <w:rFonts w:hint="eastAsia" w:ascii="宋体" w:hAnsi="宋体" w:cs="宋体"/>
                <w:i w:val="0"/>
                <w:iCs w:val="0"/>
                <w:color w:val="auto"/>
                <w:kern w:val="0"/>
                <w:sz w:val="22"/>
                <w:szCs w:val="22"/>
                <w:highlight w:val="none"/>
                <w:u w:val="none"/>
                <w:lang w:val="en-US" w:eastAsia="zh-CN" w:bidi="ar"/>
              </w:rPr>
              <w:t>。</w:t>
            </w:r>
          </w:p>
          <w:p w14:paraId="1F903862">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铁板：采用传统沙铸铁板工艺，音色纯正</w:t>
            </w:r>
            <w:r>
              <w:rPr>
                <w:rFonts w:hint="eastAsia" w:ascii="宋体" w:hAnsi="宋体" w:cs="宋体"/>
                <w:i w:val="0"/>
                <w:iCs w:val="0"/>
                <w:color w:val="auto"/>
                <w:kern w:val="0"/>
                <w:sz w:val="22"/>
                <w:szCs w:val="22"/>
                <w:highlight w:val="none"/>
                <w:u w:val="none"/>
                <w:lang w:val="en-US" w:eastAsia="zh-CN" w:bidi="ar"/>
              </w:rPr>
              <w:t>。</w:t>
            </w:r>
          </w:p>
          <w:p w14:paraId="043DB6A7">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音板：采用优质木材制作的等厚加强型实木音板，在各种不同的气候条件下均能保持优良的音色，音板设计非常符合钢琴共鸣系统的发声规律，产生更加优美琴声和纯正的音质效果</w:t>
            </w:r>
            <w:r>
              <w:rPr>
                <w:rFonts w:hint="eastAsia" w:ascii="宋体" w:hAnsi="宋体" w:cs="宋体"/>
                <w:i w:val="0"/>
                <w:iCs w:val="0"/>
                <w:color w:val="auto"/>
                <w:kern w:val="0"/>
                <w:sz w:val="22"/>
                <w:szCs w:val="22"/>
                <w:highlight w:val="none"/>
                <w:u w:val="none"/>
                <w:lang w:val="en-US" w:eastAsia="zh-CN" w:bidi="ar"/>
              </w:rPr>
              <w:t>。</w:t>
            </w:r>
          </w:p>
          <w:p w14:paraId="02BB6CFB">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琴弦：采用名牌钢线，音色纯净，音准稳定</w:t>
            </w:r>
            <w:r>
              <w:rPr>
                <w:rFonts w:hint="eastAsia" w:ascii="宋体" w:hAnsi="宋体" w:cs="宋体"/>
                <w:i w:val="0"/>
                <w:iCs w:val="0"/>
                <w:color w:val="auto"/>
                <w:kern w:val="0"/>
                <w:sz w:val="22"/>
                <w:szCs w:val="22"/>
                <w:highlight w:val="none"/>
                <w:u w:val="none"/>
                <w:lang w:val="en-US" w:eastAsia="zh-CN" w:bidi="ar"/>
              </w:rPr>
              <w:t>。</w:t>
            </w:r>
          </w:p>
          <w:p w14:paraId="18AEEDB9">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弦码：采用色木多层板制作，音频振动响应精确、迅速</w:t>
            </w:r>
            <w:r>
              <w:rPr>
                <w:rFonts w:hint="eastAsia" w:ascii="宋体" w:hAnsi="宋体" w:cs="宋体"/>
                <w:i w:val="0"/>
                <w:iCs w:val="0"/>
                <w:color w:val="auto"/>
                <w:kern w:val="0"/>
                <w:sz w:val="22"/>
                <w:szCs w:val="22"/>
                <w:highlight w:val="none"/>
                <w:u w:val="none"/>
                <w:lang w:val="en-US" w:eastAsia="zh-CN" w:bidi="ar"/>
              </w:rPr>
              <w:t>。</w:t>
            </w:r>
          </w:p>
          <w:p w14:paraId="78E1B9FA">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弦轴板：由多层硬木交错拼接而成，为弦轴钉提供稳固的握钉力，保证了音准稳定性</w:t>
            </w:r>
            <w:r>
              <w:rPr>
                <w:rFonts w:hint="eastAsia" w:ascii="宋体" w:hAnsi="宋体" w:cs="宋体"/>
                <w:i w:val="0"/>
                <w:iCs w:val="0"/>
                <w:color w:val="auto"/>
                <w:kern w:val="0"/>
                <w:sz w:val="22"/>
                <w:szCs w:val="22"/>
                <w:highlight w:val="none"/>
                <w:u w:val="none"/>
                <w:lang w:val="en-US" w:eastAsia="zh-CN" w:bidi="ar"/>
              </w:rPr>
              <w:t>。</w:t>
            </w:r>
          </w:p>
          <w:p w14:paraId="23E4AECA">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弦槌：采用优质国产羊毛毡并应用欧洲传统工艺制作的弦槌，音色圆润通透</w:t>
            </w:r>
            <w:r>
              <w:rPr>
                <w:rFonts w:hint="eastAsia" w:ascii="宋体" w:hAnsi="宋体" w:cs="宋体"/>
                <w:i w:val="0"/>
                <w:iCs w:val="0"/>
                <w:color w:val="auto"/>
                <w:kern w:val="0"/>
                <w:sz w:val="22"/>
                <w:szCs w:val="22"/>
                <w:highlight w:val="none"/>
                <w:u w:val="none"/>
                <w:lang w:val="en-US" w:eastAsia="zh-CN" w:bidi="ar"/>
              </w:rPr>
              <w:t>。</w:t>
            </w:r>
          </w:p>
          <w:p w14:paraId="0003F6C7">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制音器：采用优质羊毛制造，制音效果好</w:t>
            </w:r>
            <w:r>
              <w:rPr>
                <w:rFonts w:hint="eastAsia" w:ascii="宋体" w:hAnsi="宋体" w:cs="宋体"/>
                <w:i w:val="0"/>
                <w:iCs w:val="0"/>
                <w:color w:val="auto"/>
                <w:kern w:val="0"/>
                <w:sz w:val="22"/>
                <w:szCs w:val="22"/>
                <w:highlight w:val="none"/>
                <w:u w:val="none"/>
                <w:lang w:val="en-US" w:eastAsia="zh-CN" w:bidi="ar"/>
              </w:rPr>
              <w:t>。</w:t>
            </w:r>
          </w:p>
          <w:p w14:paraId="250D739C">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转击器、联动杆、制音杆：采用坚硬细密的优质木材制作，强度高韧性大、运动灵敏、观感典雅</w:t>
            </w:r>
            <w:r>
              <w:rPr>
                <w:rFonts w:hint="eastAsia" w:ascii="宋体" w:hAnsi="宋体" w:cs="宋体"/>
                <w:i w:val="0"/>
                <w:iCs w:val="0"/>
                <w:color w:val="auto"/>
                <w:kern w:val="0"/>
                <w:sz w:val="22"/>
                <w:szCs w:val="22"/>
                <w:highlight w:val="none"/>
                <w:u w:val="none"/>
                <w:lang w:val="en-US" w:eastAsia="zh-CN" w:bidi="ar"/>
              </w:rPr>
              <w:t>。</w:t>
            </w:r>
          </w:p>
          <w:p w14:paraId="1DD620FE">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顶杆：采用高强度ABS材质，不易磨损，自润性能佳，保证了产品的使用寿命</w:t>
            </w:r>
            <w:r>
              <w:rPr>
                <w:rFonts w:hint="eastAsia" w:ascii="宋体" w:hAnsi="宋体" w:cs="宋体"/>
                <w:i w:val="0"/>
                <w:iCs w:val="0"/>
                <w:color w:val="auto"/>
                <w:kern w:val="0"/>
                <w:sz w:val="22"/>
                <w:szCs w:val="22"/>
                <w:highlight w:val="none"/>
                <w:u w:val="none"/>
                <w:lang w:val="en-US" w:eastAsia="zh-CN" w:bidi="ar"/>
              </w:rPr>
              <w:t>。</w:t>
            </w:r>
          </w:p>
          <w:p w14:paraId="30A27DF1">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琴键：采用亚光黑键，色彩和质感如同乌木，触感舒适自然</w:t>
            </w:r>
            <w:r>
              <w:rPr>
                <w:rFonts w:hint="eastAsia" w:ascii="宋体" w:hAnsi="宋体" w:cs="宋体"/>
                <w:i w:val="0"/>
                <w:iCs w:val="0"/>
                <w:color w:val="auto"/>
                <w:kern w:val="0"/>
                <w:sz w:val="22"/>
                <w:szCs w:val="22"/>
                <w:highlight w:val="none"/>
                <w:u w:val="none"/>
                <w:lang w:val="en-US" w:eastAsia="zh-CN" w:bidi="ar"/>
              </w:rPr>
              <w:t>。</w:t>
            </w:r>
          </w:p>
          <w:p w14:paraId="23732B1E">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键板：采用优质木材制作的实木键板，性能稳定</w:t>
            </w:r>
            <w:r>
              <w:rPr>
                <w:rFonts w:hint="eastAsia" w:ascii="宋体" w:hAnsi="宋体" w:cs="宋体"/>
                <w:i w:val="0"/>
                <w:iCs w:val="0"/>
                <w:color w:val="auto"/>
                <w:kern w:val="0"/>
                <w:sz w:val="22"/>
                <w:szCs w:val="22"/>
                <w:highlight w:val="none"/>
                <w:u w:val="none"/>
                <w:lang w:val="en-US" w:eastAsia="zh-CN" w:bidi="ar"/>
              </w:rPr>
              <w:t>。</w:t>
            </w:r>
          </w:p>
          <w:p w14:paraId="0F5703AA">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脚轮：采用单轮脚轮，具有转动灵活、推行顺畅、噪声低的特点</w:t>
            </w:r>
            <w:r>
              <w:rPr>
                <w:rFonts w:hint="eastAsia" w:ascii="宋体" w:hAnsi="宋体" w:cs="宋体"/>
                <w:i w:val="0"/>
                <w:iCs w:val="0"/>
                <w:color w:val="auto"/>
                <w:kern w:val="0"/>
                <w:sz w:val="22"/>
                <w:szCs w:val="22"/>
                <w:highlight w:val="none"/>
                <w:u w:val="none"/>
                <w:lang w:val="en-US" w:eastAsia="zh-CN" w:bidi="ar"/>
              </w:rPr>
              <w:t>。</w:t>
            </w:r>
          </w:p>
          <w:p w14:paraId="15D4A22B">
            <w:pPr>
              <w:keepNext w:val="0"/>
              <w:keepLines w:val="0"/>
              <w:widowControl/>
              <w:numPr>
                <w:ilvl w:val="0"/>
                <w:numId w:val="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外壳涂饰：采用不饱和树脂环保漆，并应用静电喷涂、自动淋油等先进涂饰工艺，令漆面光亮平整。</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21679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4EF2BC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FF3B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0F262E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3498A7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电子钢琴</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6DF2CD04">
            <w:pPr>
              <w:keepNext w:val="0"/>
              <w:keepLines w:val="0"/>
              <w:widowControl/>
              <w:numPr>
                <w:ilvl w:val="0"/>
                <w:numId w:val="2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键盘：88键力度键盘</w:t>
            </w:r>
            <w:r>
              <w:rPr>
                <w:rFonts w:hint="eastAsia" w:ascii="宋体" w:hAnsi="宋体" w:cs="宋体"/>
                <w:i w:val="0"/>
                <w:iCs w:val="0"/>
                <w:color w:val="auto"/>
                <w:kern w:val="0"/>
                <w:sz w:val="22"/>
                <w:szCs w:val="22"/>
                <w:highlight w:val="none"/>
                <w:u w:val="none"/>
                <w:lang w:val="en-US" w:eastAsia="zh-CN" w:bidi="ar"/>
              </w:rPr>
              <w:t>。</w:t>
            </w:r>
          </w:p>
          <w:p w14:paraId="0301BC72">
            <w:pPr>
              <w:keepNext w:val="0"/>
              <w:keepLines w:val="0"/>
              <w:widowControl/>
              <w:numPr>
                <w:ilvl w:val="0"/>
                <w:numId w:val="2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音色:1301种（其中包含93个民族音色，10组打击乐，1组民族打击乐，1组效果音）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节奏：278种世界风格节奏，其中包含50个民族节奏，速度范围：10-300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示范曲：</w:t>
            </w:r>
            <w:r>
              <w:rPr>
                <w:rFonts w:hint="eastAsia" w:ascii="宋体" w:hAnsi="宋体" w:cs="宋体"/>
                <w:i w:val="0"/>
                <w:iCs w:val="0"/>
                <w:color w:val="auto"/>
                <w:kern w:val="0"/>
                <w:sz w:val="22"/>
                <w:szCs w:val="22"/>
                <w:highlight w:val="none"/>
                <w:u w:val="none"/>
                <w:lang w:val="en-US" w:eastAsia="zh-CN" w:bidi="ar"/>
              </w:rPr>
              <w:t>不少于</w:t>
            </w:r>
            <w:r>
              <w:rPr>
                <w:rFonts w:hint="eastAsia" w:ascii="宋体" w:hAnsi="宋体" w:eastAsia="宋体" w:cs="宋体"/>
                <w:i w:val="0"/>
                <w:iCs w:val="0"/>
                <w:color w:val="auto"/>
                <w:kern w:val="0"/>
                <w:sz w:val="22"/>
                <w:szCs w:val="22"/>
                <w:highlight w:val="none"/>
                <w:u w:val="none"/>
                <w:lang w:val="en-US" w:eastAsia="zh-CN" w:bidi="ar"/>
              </w:rPr>
              <w:t>255首示范曲，</w:t>
            </w:r>
            <w:r>
              <w:rPr>
                <w:rFonts w:hint="eastAsia" w:ascii="宋体" w:hAnsi="宋体" w:cs="宋体"/>
                <w:i w:val="0"/>
                <w:iCs w:val="0"/>
                <w:color w:val="auto"/>
                <w:kern w:val="0"/>
                <w:sz w:val="22"/>
                <w:szCs w:val="22"/>
                <w:highlight w:val="none"/>
                <w:u w:val="none"/>
                <w:lang w:val="en-US" w:eastAsia="zh-CN" w:bidi="ar"/>
              </w:rPr>
              <w:t>不少于</w:t>
            </w:r>
            <w:r>
              <w:rPr>
                <w:rFonts w:hint="eastAsia" w:ascii="宋体" w:hAnsi="宋体" w:eastAsia="宋体" w:cs="宋体"/>
                <w:i w:val="0"/>
                <w:iCs w:val="0"/>
                <w:color w:val="auto"/>
                <w:kern w:val="0"/>
                <w:sz w:val="22"/>
                <w:szCs w:val="22"/>
                <w:highlight w:val="none"/>
                <w:u w:val="none"/>
                <w:lang w:val="en-US" w:eastAsia="zh-CN" w:bidi="ar"/>
              </w:rPr>
              <w:t>150首学习歌曲</w:t>
            </w:r>
            <w:r>
              <w:rPr>
                <w:rFonts w:hint="eastAsia" w:ascii="宋体" w:hAnsi="宋体" w:cs="宋体"/>
                <w:i w:val="0"/>
                <w:iCs w:val="0"/>
                <w:color w:val="auto"/>
                <w:kern w:val="0"/>
                <w:sz w:val="22"/>
                <w:szCs w:val="22"/>
                <w:highlight w:val="none"/>
                <w:u w:val="none"/>
                <w:lang w:val="en-US" w:eastAsia="zh-CN" w:bidi="ar"/>
              </w:rPr>
              <w:t>。</w:t>
            </w:r>
          </w:p>
          <w:p w14:paraId="25D7CFD0">
            <w:pPr>
              <w:keepNext w:val="0"/>
              <w:keepLines w:val="0"/>
              <w:widowControl/>
              <w:numPr>
                <w:ilvl w:val="0"/>
                <w:numId w:val="2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复音数：128</w:t>
            </w:r>
            <w:r>
              <w:rPr>
                <w:rFonts w:hint="eastAsia" w:ascii="宋体" w:hAnsi="宋体" w:cs="宋体"/>
                <w:i w:val="0"/>
                <w:iCs w:val="0"/>
                <w:color w:val="auto"/>
                <w:kern w:val="0"/>
                <w:sz w:val="22"/>
                <w:szCs w:val="22"/>
                <w:highlight w:val="none"/>
                <w:u w:val="none"/>
                <w:lang w:val="en-US" w:eastAsia="zh-CN" w:bidi="ar"/>
              </w:rPr>
              <w:t>。</w:t>
            </w:r>
          </w:p>
          <w:p w14:paraId="2F478944">
            <w:pPr>
              <w:keepNext w:val="0"/>
              <w:keepLines w:val="0"/>
              <w:widowControl/>
              <w:numPr>
                <w:ilvl w:val="0"/>
                <w:numId w:val="2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效果功能：64级混响、64级合唱</w:t>
            </w:r>
            <w:r>
              <w:rPr>
                <w:rFonts w:hint="eastAsia" w:ascii="宋体" w:hAnsi="宋体" w:cs="宋体"/>
                <w:i w:val="0"/>
                <w:iCs w:val="0"/>
                <w:color w:val="auto"/>
                <w:kern w:val="0"/>
                <w:sz w:val="22"/>
                <w:szCs w:val="22"/>
                <w:highlight w:val="none"/>
                <w:u w:val="none"/>
                <w:lang w:val="en-US" w:eastAsia="zh-CN" w:bidi="ar"/>
              </w:rPr>
              <w:t>。</w:t>
            </w:r>
          </w:p>
          <w:p w14:paraId="61BAF77C">
            <w:pPr>
              <w:keepNext w:val="0"/>
              <w:keepLines w:val="0"/>
              <w:widowControl/>
              <w:numPr>
                <w:ilvl w:val="0"/>
                <w:numId w:val="2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存储设置：4组存储记忆设置键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16个库，4*16=64个记忆</w:t>
            </w:r>
            <w:r>
              <w:rPr>
                <w:rFonts w:hint="eastAsia" w:ascii="宋体" w:hAnsi="宋体" w:cs="宋体"/>
                <w:i w:val="0"/>
                <w:iCs w:val="0"/>
                <w:color w:val="auto"/>
                <w:kern w:val="0"/>
                <w:sz w:val="22"/>
                <w:szCs w:val="22"/>
                <w:highlight w:val="none"/>
                <w:u w:val="none"/>
                <w:lang w:val="en-US" w:eastAsia="zh-CN" w:bidi="ar"/>
              </w:rPr>
              <w:t>。</w:t>
            </w:r>
          </w:p>
          <w:p w14:paraId="46C4787D">
            <w:pPr>
              <w:keepNext w:val="0"/>
              <w:keepLines w:val="0"/>
              <w:widowControl/>
              <w:numPr>
                <w:ilvl w:val="0"/>
                <w:numId w:val="2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自动关机功能：有</w:t>
            </w:r>
            <w:r>
              <w:rPr>
                <w:rFonts w:hint="eastAsia" w:ascii="宋体" w:hAnsi="宋体" w:cs="宋体"/>
                <w:i w:val="0"/>
                <w:iCs w:val="0"/>
                <w:color w:val="auto"/>
                <w:kern w:val="0"/>
                <w:sz w:val="22"/>
                <w:szCs w:val="22"/>
                <w:highlight w:val="none"/>
                <w:u w:val="none"/>
                <w:lang w:val="en-US" w:eastAsia="zh-CN" w:bidi="ar"/>
              </w:rPr>
              <w:t>。</w:t>
            </w:r>
          </w:p>
          <w:p w14:paraId="6FA657DF">
            <w:pPr>
              <w:keepNext w:val="0"/>
              <w:keepLines w:val="0"/>
              <w:widowControl/>
              <w:numPr>
                <w:ilvl w:val="0"/>
                <w:numId w:val="2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力度曲线：7种标准钢琴力度曲线</w:t>
            </w:r>
            <w:r>
              <w:rPr>
                <w:rFonts w:hint="eastAsia" w:ascii="宋体" w:hAnsi="宋体" w:cs="宋体"/>
                <w:i w:val="0"/>
                <w:iCs w:val="0"/>
                <w:color w:val="auto"/>
                <w:kern w:val="0"/>
                <w:sz w:val="22"/>
                <w:szCs w:val="22"/>
                <w:highlight w:val="none"/>
                <w:u w:val="none"/>
                <w:lang w:val="en-US" w:eastAsia="zh-CN" w:bidi="ar"/>
              </w:rPr>
              <w:t>。</w:t>
            </w:r>
          </w:p>
          <w:p w14:paraId="50846ECC">
            <w:pPr>
              <w:keepNext w:val="0"/>
              <w:keepLines w:val="0"/>
              <w:widowControl/>
              <w:numPr>
                <w:ilvl w:val="0"/>
                <w:numId w:val="2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接口：耳机；USB接口（USBMIDI和USBAUDIO）；AUXIN；线路输出/输入,耳机接口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1大+1小</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288B8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122E1B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62B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3CABE9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10-3</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3F0423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指挥台（含指挥棒）</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530152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实木指挥台踏板尺寸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120*100*22cm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板材选用橡胶木，内有</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2*4方管镀锌钢架支撑，踩踏无任何异响颤动谱台板尺寸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60*40cm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二层板尺寸为</w:t>
            </w:r>
            <w:r>
              <w:rPr>
                <w:rFonts w:hint="eastAsia" w:ascii="宋体" w:hAnsi="宋体" w:cs="宋体"/>
                <w:i w:val="0"/>
                <w:iCs w:val="0"/>
                <w:color w:val="auto"/>
                <w:kern w:val="0"/>
                <w:sz w:val="22"/>
                <w:szCs w:val="22"/>
                <w:highlight w:val="none"/>
                <w:u w:val="none"/>
                <w:lang w:val="en-US" w:eastAsia="zh-CN" w:bidi="ar"/>
              </w:rPr>
              <w:t>不小于</w:t>
            </w:r>
            <w:r>
              <w:rPr>
                <w:rFonts w:hint="eastAsia" w:ascii="宋体" w:hAnsi="宋体" w:eastAsia="宋体" w:cs="宋体"/>
                <w:i w:val="0"/>
                <w:iCs w:val="0"/>
                <w:color w:val="auto"/>
                <w:kern w:val="0"/>
                <w:sz w:val="22"/>
                <w:szCs w:val="22"/>
                <w:highlight w:val="none"/>
                <w:u w:val="none"/>
                <w:lang w:val="en-US" w:eastAsia="zh-CN" w:bidi="ar"/>
              </w:rPr>
              <w:t>30*40cm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角度可任意调节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谱台板高度80-120cm可调</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38903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7B50A0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775B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19D63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10-4</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4600C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音乐节拍器</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6A31B5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机械式</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3BB84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6EE4CC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EF3C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1F702C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10-5</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0FB83F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音叉</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6033DC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钢制，440Hz</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CAF86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2CEEB3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5FBB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709D01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10-6</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501CAA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乐器储藏柜</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4F77FB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隔层高度可调</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69A2B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50AFB2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A5CE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23AF5F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10-7</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39C5D8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钟琴</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61577D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钢制，木架，音域4个八度（高、中、低音）</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C79F1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11C29D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0421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23ABCB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10-8</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EB9EB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沙锤</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3B581A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26759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4B0C34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41CC8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4CC07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10-9</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724B0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沙锤</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0ED772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椰壳制</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AE746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655575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7B3B9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37BAD0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10-10</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725920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卡巴撒</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7BA54E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大号</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E965F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59C9FC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3D3DC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2BEF2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10-11</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4EDE6B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卡巴撒</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442079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中号</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3FFA8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35EB91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0331D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3D62B4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10-12</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5372FB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双响筒</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5502D2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木制，长17cm～18cm,宽19cm～20cm，棍长18cm～19cm</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2288A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3F2D05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38AFD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63129A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10-13</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3AABF9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北梆子</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1CAE0F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硬木制，坚实无疤节或劈裂，外表光滑无毛刺</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7FBD7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79435A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C98D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071CB0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10-14</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4CFD0B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南梆子</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3B19C162">
            <w:pPr>
              <w:keepNext w:val="0"/>
              <w:keepLines w:val="0"/>
              <w:widowControl/>
              <w:numPr>
                <w:ilvl w:val="0"/>
                <w:numId w:val="2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红木、枣木或其他硬木制，坚实无疤节或劈裂</w:t>
            </w:r>
            <w:r>
              <w:rPr>
                <w:rFonts w:hint="eastAsia" w:ascii="宋体" w:hAnsi="宋体" w:cs="宋体"/>
                <w:i w:val="0"/>
                <w:iCs w:val="0"/>
                <w:color w:val="auto"/>
                <w:kern w:val="0"/>
                <w:sz w:val="22"/>
                <w:szCs w:val="22"/>
                <w:highlight w:val="none"/>
                <w:u w:val="none"/>
                <w:lang w:val="en-US" w:eastAsia="zh-CN" w:bidi="ar"/>
              </w:rPr>
              <w:t>。</w:t>
            </w:r>
          </w:p>
          <w:p w14:paraId="31316411">
            <w:pPr>
              <w:keepNext w:val="0"/>
              <w:keepLines w:val="0"/>
              <w:widowControl/>
              <w:numPr>
                <w:ilvl w:val="0"/>
                <w:numId w:val="2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直径4cm、长25cm圆柱形和长20cm、宽5cm～6cm、厚4cm长方形为一副,外表光滑、圆弧和棱角适度</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D5E06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6F0BB8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2153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7DB578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10-15</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7E64D5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木鱼</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079A47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硬木，发音清脆，7音一组</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460A9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6FD266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D25D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03EAEA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10-16</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69210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铃鼓</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4F280F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木框,铜钹,羊皮鼓面,鼓面直径20cm～25cm</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9554F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27CFFD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231C7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A4048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10-17</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B9C11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三角铁</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5CF9D4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钢制，边长分别为15cm、20cm、25cm，三件一套</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61628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20418A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8CCE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6144A3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10-18</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736C24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碰铃</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1EBBA1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黄铜制，系绳</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A7A37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56E2F7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9372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6DBA28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10-19</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14F431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大军鼓</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55EC3C55">
            <w:pPr>
              <w:keepNext w:val="0"/>
              <w:keepLines w:val="0"/>
              <w:widowControl/>
              <w:numPr>
                <w:ilvl w:val="0"/>
                <w:numId w:val="2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材质：金属鼓腔烤漆</w:t>
            </w:r>
            <w:r>
              <w:rPr>
                <w:rFonts w:hint="eastAsia" w:ascii="宋体" w:hAnsi="宋体" w:cs="宋体"/>
                <w:i w:val="0"/>
                <w:iCs w:val="0"/>
                <w:color w:val="auto"/>
                <w:kern w:val="0"/>
                <w:sz w:val="22"/>
                <w:szCs w:val="22"/>
                <w:highlight w:val="none"/>
                <w:u w:val="none"/>
                <w:lang w:val="en-US" w:eastAsia="zh-CN" w:bidi="ar"/>
              </w:rPr>
              <w:t>。</w:t>
            </w:r>
          </w:p>
          <w:p w14:paraId="17A648FE">
            <w:pPr>
              <w:keepNext w:val="0"/>
              <w:keepLines w:val="0"/>
              <w:widowControl/>
              <w:numPr>
                <w:ilvl w:val="0"/>
                <w:numId w:val="2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结构：鼓膜与压边圈、鼓腔、金属配件鼓背带组成</w:t>
            </w:r>
            <w:r>
              <w:rPr>
                <w:rFonts w:hint="eastAsia" w:ascii="宋体" w:hAnsi="宋体" w:cs="宋体"/>
                <w:i w:val="0"/>
                <w:iCs w:val="0"/>
                <w:color w:val="auto"/>
                <w:kern w:val="0"/>
                <w:sz w:val="22"/>
                <w:szCs w:val="22"/>
                <w:highlight w:val="none"/>
                <w:u w:val="none"/>
                <w:lang w:val="en-US" w:eastAsia="zh-CN" w:bidi="ar"/>
              </w:rPr>
              <w:t>。</w:t>
            </w:r>
          </w:p>
          <w:p w14:paraId="2BF6D1B8">
            <w:pPr>
              <w:keepNext w:val="0"/>
              <w:keepLines w:val="0"/>
              <w:widowControl/>
              <w:numPr>
                <w:ilvl w:val="0"/>
                <w:numId w:val="2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规格：BassDrum24"×10"，鼓面的直径≥60mm，鼓高直径≥250mm，鼓棒长≥320mm，鼓棒直径≥19mm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4.音质：发音灵敏、清晰、音色可调性强、无杂音、响）反应灵敏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5、有独立布袋包装。</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93950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35C06D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4593E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6A4E8D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10-20</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0A62A4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小军鼓</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61042189">
            <w:pPr>
              <w:keepNext w:val="0"/>
              <w:keepLines w:val="0"/>
              <w:widowControl/>
              <w:numPr>
                <w:ilvl w:val="0"/>
                <w:numId w:val="29"/>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材质：金属外腔，鼓圈：合金压圈；金属外腔，正品鼓皮</w:t>
            </w:r>
            <w:r>
              <w:rPr>
                <w:rFonts w:hint="eastAsia" w:ascii="宋体" w:hAnsi="宋体" w:cs="宋体"/>
                <w:i w:val="0"/>
                <w:iCs w:val="0"/>
                <w:color w:val="auto"/>
                <w:kern w:val="0"/>
                <w:sz w:val="22"/>
                <w:szCs w:val="22"/>
                <w:highlight w:val="none"/>
                <w:u w:val="none"/>
                <w:lang w:val="en-US" w:eastAsia="zh-CN" w:bidi="ar"/>
              </w:rPr>
              <w:t>。</w:t>
            </w:r>
          </w:p>
          <w:p w14:paraId="31FC10AB">
            <w:pPr>
              <w:keepNext w:val="0"/>
              <w:keepLines w:val="0"/>
              <w:widowControl/>
              <w:numPr>
                <w:ilvl w:val="0"/>
                <w:numId w:val="2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规格：直径330mm,鼓体高度120mm，鼓皮厚度0.15mm</w:t>
            </w:r>
            <w:r>
              <w:rPr>
                <w:rFonts w:hint="eastAsia" w:ascii="宋体" w:hAnsi="宋体" w:cs="宋体"/>
                <w:i w:val="0"/>
                <w:iCs w:val="0"/>
                <w:color w:val="auto"/>
                <w:kern w:val="0"/>
                <w:sz w:val="22"/>
                <w:szCs w:val="22"/>
                <w:highlight w:val="none"/>
                <w:u w:val="none"/>
                <w:lang w:val="en-US" w:eastAsia="zh-CN" w:bidi="ar"/>
              </w:rPr>
              <w:t>。</w:t>
            </w:r>
          </w:p>
          <w:p w14:paraId="40CA5F2C">
            <w:pPr>
              <w:keepNext w:val="0"/>
              <w:keepLines w:val="0"/>
              <w:widowControl/>
              <w:numPr>
                <w:ilvl w:val="0"/>
                <w:numId w:val="2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镀锌紧箍件，6个精密紧箍件</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2C592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330245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2A48C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30EA4F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10-21</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17392D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多音鼓</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2818B1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25.4cm×12.5cm（10in×5in），三鼓，带架</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016B2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15EC37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0330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114798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10-22</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6E819A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多音鼓</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20FE1D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25.4cm×12.5cm（10in×5in），四鼓，带架</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1ADE5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601738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635C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D2B20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10-23</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136C88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多音鼓</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7B90EF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25.4cm×12.5cm（10in×5in），五鼓，带架</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C4E1A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2C63BD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9535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3FA903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10-24</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2AEB95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竖笛</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435971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六孔，高级品，塑料</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B50BA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27F48E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141CF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3DEBDB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10-25</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326B78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竖笛</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63B3D3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八孔，高级品，塑料</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1281B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088E6F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1A138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6C00F4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10-26</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19A868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陶笛</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29BC41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单管十二孔中音C调（AC）等</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C4165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1845F0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3D4CD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54843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10-27</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76759C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葫芦丝</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23CA14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降B调</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09CD7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490741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1B996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04D9AC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10-28</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53C4E1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吉它</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611E79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六弦，民谣</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F88B0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173751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7CF07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5B921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10-29</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1008F7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堂鼓</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582E0E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木框，牛皮鼓面，直径22cm～32cm，高33cm,带架</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4A786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01C957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3ED65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1F3023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10-30</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71E0BE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中虎音锣</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75A99B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铜制，直径约30cm</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691696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4D6D7D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FB8B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43E33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10-31</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61D1B4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小锣</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549ED9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铜制，直径约22cm</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7577E4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4F1ABC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0FA6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5FAC27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10-32</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02E32F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铙</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4A47E3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铜制，直径27cm～55cm,铙面光、弧度适度、圆度准确、边缘厚度一致，中间的帽形大小和两面的音高要相同，两面为一副</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36584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6A4EB5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1960C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00" w:type="dxa"/>
            <w:tcBorders>
              <w:top w:val="single" w:color="000000" w:sz="4" w:space="0"/>
              <w:left w:val="single" w:color="000000" w:sz="4" w:space="0"/>
              <w:bottom w:val="single" w:color="000000" w:sz="4" w:space="0"/>
              <w:right w:val="single" w:color="000000" w:sz="4" w:space="0"/>
            </w:tcBorders>
            <w:noWrap/>
            <w:vAlign w:val="center"/>
          </w:tcPr>
          <w:p w14:paraId="4D5928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10-33</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08C630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钹</w:t>
            </w:r>
          </w:p>
        </w:tc>
        <w:tc>
          <w:tcPr>
            <w:tcW w:w="6585" w:type="dxa"/>
            <w:tcBorders>
              <w:top w:val="single" w:color="000000" w:sz="4" w:space="0"/>
              <w:left w:val="single" w:color="000000" w:sz="4" w:space="0"/>
              <w:bottom w:val="single" w:color="000000" w:sz="4" w:space="0"/>
              <w:right w:val="single" w:color="000000" w:sz="4" w:space="0"/>
            </w:tcBorders>
            <w:noWrap w:val="0"/>
            <w:vAlign w:val="center"/>
          </w:tcPr>
          <w:p w14:paraId="798F49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铜制，钹面直径12cm～14cm，碗径5cm～7cm，碗高1.5cm～2cm，钹面光、弧度适度、圆度准确、边缘厚度一致，中间的帽形大小和两面的音高要相同，两面为一副</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36C6D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副</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3423FB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705B8FCB">
      <w:pPr>
        <w:pStyle w:val="33"/>
        <w:rPr>
          <w:rFonts w:hint="eastAsia"/>
          <w:color w:val="auto"/>
          <w:highlight w:val="none"/>
        </w:rPr>
      </w:pPr>
    </w:p>
    <w:p w14:paraId="64FC6FB5">
      <w:pPr>
        <w:pStyle w:val="33"/>
        <w:rPr>
          <w:rFonts w:hint="eastAsia"/>
          <w:color w:val="auto"/>
          <w:highlight w:val="none"/>
        </w:rPr>
      </w:pPr>
    </w:p>
    <w:tbl>
      <w:tblPr>
        <w:tblStyle w:val="43"/>
        <w:tblW w:w="10080" w:type="dxa"/>
        <w:tblInd w:w="-81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08"/>
        <w:gridCol w:w="1183"/>
        <w:gridCol w:w="6566"/>
        <w:gridCol w:w="754"/>
        <w:gridCol w:w="669"/>
      </w:tblGrid>
      <w:tr w14:paraId="0AB1A9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0080" w:type="dxa"/>
            <w:gridSpan w:val="5"/>
            <w:tcBorders>
              <w:top w:val="single" w:color="000000" w:sz="4" w:space="0"/>
              <w:left w:val="single" w:color="000000" w:sz="4" w:space="0"/>
              <w:bottom w:val="single" w:color="000000" w:sz="4" w:space="0"/>
              <w:right w:val="single" w:color="000000" w:sz="4" w:space="0"/>
            </w:tcBorders>
            <w:noWrap/>
            <w:vAlign w:val="center"/>
          </w:tcPr>
          <w:p w14:paraId="6034FA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劳动教室</w:t>
            </w:r>
          </w:p>
        </w:tc>
      </w:tr>
      <w:tr w14:paraId="065EA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4DFA65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704D8D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566" w:type="dxa"/>
            <w:tcBorders>
              <w:top w:val="single" w:color="000000" w:sz="4" w:space="0"/>
              <w:left w:val="single" w:color="000000" w:sz="4" w:space="0"/>
              <w:bottom w:val="single" w:color="000000" w:sz="4" w:space="0"/>
              <w:right w:val="single" w:color="000000" w:sz="4" w:space="0"/>
            </w:tcBorders>
            <w:noWrap/>
            <w:vAlign w:val="center"/>
          </w:tcPr>
          <w:p w14:paraId="3D02F4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0A4B5C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669" w:type="dxa"/>
            <w:tcBorders>
              <w:top w:val="single" w:color="000000" w:sz="4" w:space="0"/>
              <w:left w:val="single" w:color="000000" w:sz="4" w:space="0"/>
              <w:bottom w:val="single" w:color="000000" w:sz="4" w:space="0"/>
              <w:right w:val="single" w:color="000000" w:sz="4" w:space="0"/>
            </w:tcBorders>
            <w:noWrap/>
            <w:vAlign w:val="center"/>
          </w:tcPr>
          <w:p w14:paraId="422F23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46054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618F02F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079A21E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教师实验桌</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55BFCDB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1、规格尺寸：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2400×700×850mm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2、台面：采用40mm厚实木樟子松木板精制加工，表面清漆处理，具有耐磨、耐压、耐撞击等特点。台面表面铺设透明胶垫，有效保护桌面。</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主体：采用钢木结构，框架采用40*60mm矩形钢管配以ABS连接件组装而成，钢管表面经环氧树脂高温固化处理，具有耐酸碱防腐、防潮等特点；台身主体背板及吊板采用16mm厚三聚氰胺防潮双贴面板，所有外露板边都采用机器进行PVC热压平封边。</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结构：演示台为组合式设计，中间为演示台，抽屉装有教师演示电源、电控制装置；右侧为多媒体集中控制桌，桌内可置电脑主机、DVD、功放、中央控制主机等，控制台设有键盘活动抽屉，台面可置不低于15寸彩色显示器。</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5、所有抽屉轨道采用国产高档优质两节伸缩式滑轨。</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4E60849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ign w:val="center"/>
          </w:tcPr>
          <w:p w14:paraId="4395D2F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42A8E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68D994B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18FBE5A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学生实验桌</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320F3CB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1、规格尺寸: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长2400*宽1200*高780mm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2、台面: 采用40mm厚实木樟子松木板精制加工，表面清漆处理，具有耐磨、耐压、耐撞击等特点。台面表面铺设透明胶垫，有效保护桌面。</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框架：采用钢木结构，框架采用40*60mm矩形钢管配以ABS连接件组装而成，钢管表面经环氧树脂高温固化处理，具有耐酸碱防腐、防潮等特点；台身主体背板及吊板采用16mm厚三聚氰胺防潮双贴面板，所有外露板边都采用机器进行PVC热压平封边。操作台底部设计存放工具的工具柜，工具柜加通开锁。</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2AA3AFA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ign w:val="center"/>
          </w:tcPr>
          <w:p w14:paraId="04629C1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7</w:t>
            </w:r>
          </w:p>
        </w:tc>
      </w:tr>
      <w:tr w14:paraId="294F6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74B0307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144FA75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机床操作台</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589D4E6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1、规格尺寸: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长2400*宽600*高780mm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2、台面: 采用</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40mm厚实木台面，台面表面清漆处理，具有耐磨、耐压、耐撞击等特点。台面表面铺设透明胶垫，有效保护桌面。</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台身结构：采用钢木结构，框架采用40*60mm矩形钢管配以ABS连接件组装而成，钢管表面经环氧树脂高温固化处理，具有耐酸碱防腐、防潮等特点；台身主体背板及吊板采用16mm厚优质三聚氰胺防潮双贴面板，所有外露板边都采用机器进行PVC热压平封边</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操作台底部设计存放工具的工具柜。</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4、电源：采用罩式电源，内置220V，五孔多功能插座</w:t>
            </w:r>
            <w:r>
              <w:rPr>
                <w:rFonts w:hint="eastAsia" w:ascii="宋体" w:hAnsi="宋体" w:cs="宋体"/>
                <w:i w:val="0"/>
                <w:iCs w:val="0"/>
                <w:color w:val="auto"/>
                <w:kern w:val="0"/>
                <w:sz w:val="21"/>
                <w:szCs w:val="21"/>
                <w:highlight w:val="none"/>
                <w:u w:val="none"/>
                <w:lang w:val="en-US" w:eastAsia="zh-CN" w:bidi="ar"/>
              </w:rPr>
              <w:t>不少于</w:t>
            </w:r>
            <w:r>
              <w:rPr>
                <w:rFonts w:hint="eastAsia" w:ascii="宋体" w:hAnsi="宋体" w:eastAsia="宋体" w:cs="宋体"/>
                <w:i w:val="0"/>
                <w:iCs w:val="0"/>
                <w:color w:val="auto"/>
                <w:kern w:val="0"/>
                <w:sz w:val="21"/>
                <w:szCs w:val="21"/>
                <w:highlight w:val="none"/>
                <w:u w:val="none"/>
                <w:lang w:val="en-US" w:eastAsia="zh-CN" w:bidi="ar"/>
              </w:rPr>
              <w:t>4个。</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2524919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ign w:val="center"/>
          </w:tcPr>
          <w:p w14:paraId="4AC046A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0031A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4E0FA9D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11-4</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8C2E24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低背椅</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58A2480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W440*D440*H550mm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2.结构：工字形钢架，科学支撑，钢架前端有踏脚垫，磨砂界面</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3.座面规格：采用PP塑料一体注塑成型，长389*宽352*高149mm，椅背提手设计（提手规格：182*36mm），提拉方便。人性化圆角设计（坐垫、钢架），有效防止磕碰撞伤</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座椅底部可悬挂功能设计，不用时，可悬挂桌面之上，方便打扫，节省空间。</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4.材质：座椅面采用双色双质，有内弧造型，表面防滑不发光，座椅面镶嵌TPR灰色软性材料，并采用包胶工艺与凳面组合，且表面平整、无凹凸，整体协调、美观，注塑包胶成型。</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5.工艺：钢管直径</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22mm，壁厚</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1.8mm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6.脚垫：有效防滑，防刮伤，脚垫材质为PP塑料材质。</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677E0D6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条</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768446A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595E4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6016BB5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11-5</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0D9CD8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马鞍凳</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22057D6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1、马鞍凳尺寸：座高：450mm±5mm.；凳面：面板</w:t>
            </w:r>
            <w:r>
              <w:rPr>
                <w:rFonts w:hint="eastAsia" w:ascii="宋体" w:hAnsi="宋体" w:cs="宋体"/>
                <w:i w:val="0"/>
                <w:iCs w:val="0"/>
                <w:color w:val="auto"/>
                <w:kern w:val="0"/>
                <w:sz w:val="21"/>
                <w:szCs w:val="21"/>
                <w:highlight w:val="none"/>
                <w:u w:val="none"/>
                <w:lang w:val="en-US" w:eastAsia="zh-CN" w:bidi="ar"/>
              </w:rPr>
              <w:t>采用</w:t>
            </w:r>
            <w:r>
              <w:rPr>
                <w:rFonts w:hint="eastAsia" w:ascii="宋体" w:hAnsi="宋体" w:eastAsia="宋体" w:cs="宋体"/>
                <w:i w:val="0"/>
                <w:iCs w:val="0"/>
                <w:color w:val="auto"/>
                <w:kern w:val="0"/>
                <w:sz w:val="21"/>
                <w:szCs w:val="21"/>
                <w:highlight w:val="none"/>
                <w:u w:val="none"/>
                <w:lang w:val="en-US" w:eastAsia="zh-CN" w:bidi="ar"/>
              </w:rPr>
              <w:t>注塑包</w:t>
            </w:r>
            <w:r>
              <w:rPr>
                <w:rFonts w:hint="eastAsia" w:ascii="宋体" w:hAnsi="宋体" w:cs="宋体"/>
                <w:i w:val="0"/>
                <w:iCs w:val="0"/>
                <w:color w:val="auto"/>
                <w:kern w:val="0"/>
                <w:sz w:val="21"/>
                <w:szCs w:val="21"/>
                <w:highlight w:val="none"/>
                <w:u w:val="none"/>
                <w:lang w:val="en-US" w:eastAsia="zh-CN" w:bidi="ar"/>
              </w:rPr>
              <w:t>边</w:t>
            </w:r>
            <w:r>
              <w:rPr>
                <w:rFonts w:hint="eastAsia" w:ascii="宋体" w:hAnsi="宋体" w:eastAsia="宋体" w:cs="宋体"/>
                <w:i w:val="0"/>
                <w:iCs w:val="0"/>
                <w:color w:val="auto"/>
                <w:kern w:val="0"/>
                <w:sz w:val="21"/>
                <w:szCs w:val="21"/>
                <w:highlight w:val="none"/>
                <w:u w:val="none"/>
                <w:lang w:val="en-US" w:eastAsia="zh-CN" w:bidi="ar"/>
              </w:rPr>
              <w:t>成型，尺寸角到边</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320mm*240mm，脚架尺寸：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32*22*1.8mm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2、脚架材质及形状：</w:t>
            </w:r>
            <w:r>
              <w:rPr>
                <w:rFonts w:hint="eastAsia" w:ascii="宋体" w:hAnsi="宋体" w:cs="宋体"/>
                <w:i w:val="0"/>
                <w:iCs w:val="0"/>
                <w:color w:val="auto"/>
                <w:kern w:val="0"/>
                <w:sz w:val="21"/>
                <w:szCs w:val="21"/>
                <w:highlight w:val="none"/>
                <w:u w:val="none"/>
                <w:lang w:val="en-US" w:eastAsia="zh-CN" w:bidi="ar"/>
              </w:rPr>
              <w:t>钢</w:t>
            </w:r>
            <w:r>
              <w:rPr>
                <w:rFonts w:hint="eastAsia" w:ascii="宋体" w:hAnsi="宋体" w:eastAsia="宋体" w:cs="宋体"/>
                <w:i w:val="0"/>
                <w:iCs w:val="0"/>
                <w:color w:val="auto"/>
                <w:kern w:val="0"/>
                <w:sz w:val="21"/>
                <w:szCs w:val="21"/>
                <w:highlight w:val="none"/>
                <w:u w:val="none"/>
                <w:lang w:val="en-US" w:eastAsia="zh-CN" w:bidi="ar"/>
              </w:rPr>
              <w:t>管</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cs="宋体"/>
                <w:i w:val="0"/>
                <w:iCs w:val="0"/>
                <w:color w:val="auto"/>
                <w:kern w:val="0"/>
                <w:sz w:val="21"/>
                <w:szCs w:val="21"/>
                <w:highlight w:val="none"/>
                <w:u w:val="none"/>
                <w:lang w:val="en-US" w:eastAsia="zh-CN" w:bidi="ar"/>
              </w:rPr>
              <w:t>3</w:t>
            </w:r>
            <w:r>
              <w:rPr>
                <w:rFonts w:hint="eastAsia" w:ascii="宋体" w:hAnsi="宋体" w:eastAsia="宋体" w:cs="宋体"/>
                <w:i w:val="0"/>
                <w:iCs w:val="0"/>
                <w:color w:val="auto"/>
                <w:kern w:val="0"/>
                <w:sz w:val="21"/>
                <w:szCs w:val="21"/>
                <w:highlight w:val="none"/>
                <w:u w:val="none"/>
                <w:lang w:val="en-US" w:eastAsia="zh-CN" w:bidi="ar"/>
              </w:rPr>
              <w:t>、脚架表面涂装：钢管架焊接完成后，表面经酸洗、脱脂、磷化处理，耐腐蚀、防锈</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外表采一级颗粒粉末，经高温粉体烤漆，附着力强，不脱漆</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涂层需无漏喷、锈蚀；涂层需光滑均匀，色泽一致，长时间使用也不会产生表面漆剥落现象</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cs="宋体"/>
                <w:i w:val="0"/>
                <w:iCs w:val="0"/>
                <w:color w:val="auto"/>
                <w:kern w:val="0"/>
                <w:sz w:val="21"/>
                <w:szCs w:val="21"/>
                <w:highlight w:val="none"/>
                <w:u w:val="none"/>
                <w:lang w:val="en-US" w:eastAsia="zh-CN" w:bidi="ar"/>
              </w:rPr>
              <w:t>4</w:t>
            </w:r>
            <w:r>
              <w:rPr>
                <w:rFonts w:hint="eastAsia" w:ascii="宋体" w:hAnsi="宋体" w:eastAsia="宋体" w:cs="宋体"/>
                <w:i w:val="0"/>
                <w:iCs w:val="0"/>
                <w:color w:val="auto"/>
                <w:kern w:val="0"/>
                <w:sz w:val="21"/>
                <w:szCs w:val="21"/>
                <w:highlight w:val="none"/>
                <w:u w:val="none"/>
                <w:lang w:val="en-US" w:eastAsia="zh-CN" w:bidi="ar"/>
              </w:rPr>
              <w:t>、脚垫材质：采用PP塑料，底部有防滑防刮伤地板软垫</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cs="宋体"/>
                <w:i w:val="0"/>
                <w:iCs w:val="0"/>
                <w:color w:val="auto"/>
                <w:kern w:val="0"/>
                <w:sz w:val="21"/>
                <w:szCs w:val="21"/>
                <w:highlight w:val="none"/>
                <w:u w:val="none"/>
                <w:lang w:val="en-US" w:eastAsia="zh-CN" w:bidi="ar"/>
              </w:rPr>
              <w:t>5</w:t>
            </w:r>
            <w:r>
              <w:rPr>
                <w:rFonts w:hint="eastAsia" w:ascii="宋体" w:hAnsi="宋体" w:eastAsia="宋体" w:cs="宋体"/>
                <w:i w:val="0"/>
                <w:iCs w:val="0"/>
                <w:color w:val="auto"/>
                <w:kern w:val="0"/>
                <w:sz w:val="21"/>
                <w:szCs w:val="21"/>
                <w:highlight w:val="none"/>
                <w:u w:val="none"/>
                <w:lang w:val="en-US" w:eastAsia="zh-CN" w:bidi="ar"/>
              </w:rPr>
              <w:t>、产品应符合GB/T3325-20</w:t>
            </w:r>
            <w:r>
              <w:rPr>
                <w:rFonts w:hint="eastAsia" w:ascii="宋体" w:hAnsi="宋体" w:cs="宋体"/>
                <w:i w:val="0"/>
                <w:iCs w:val="0"/>
                <w:color w:val="auto"/>
                <w:kern w:val="0"/>
                <w:sz w:val="21"/>
                <w:szCs w:val="21"/>
                <w:highlight w:val="none"/>
                <w:u w:val="none"/>
                <w:lang w:val="en-US" w:eastAsia="zh-CN" w:bidi="ar"/>
              </w:rPr>
              <w:t>24</w:t>
            </w:r>
            <w:r>
              <w:rPr>
                <w:rFonts w:hint="eastAsia" w:ascii="宋体" w:hAnsi="宋体" w:eastAsia="宋体" w:cs="宋体"/>
                <w:i w:val="0"/>
                <w:iCs w:val="0"/>
                <w:color w:val="auto"/>
                <w:kern w:val="0"/>
                <w:sz w:val="21"/>
                <w:szCs w:val="21"/>
                <w:highlight w:val="none"/>
                <w:u w:val="none"/>
                <w:lang w:val="en-US" w:eastAsia="zh-CN" w:bidi="ar"/>
              </w:rPr>
              <w:t>《金属家具通用技术条件》标准要求。</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3AC1EE7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0ABC6A7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56</w:t>
            </w:r>
          </w:p>
        </w:tc>
      </w:tr>
      <w:tr w14:paraId="39D43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47CD3E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11-6</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65D4DB0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总控电源</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4121DE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产品外壳采用木质外框，表面喷塑，电源面板表面贴面膜，设有漏电总开关、交流220V五孔带防护插座、学生用插座控制单元</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分四路输出，分别独立控制。</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7DB2B7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F19DE2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06662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9E3395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11-7</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318586F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学生电源</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65D7C2B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220V到桌，带防尘盖六孔插座</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B2B5F3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1898819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28</w:t>
            </w:r>
          </w:p>
        </w:tc>
      </w:tr>
      <w:tr w14:paraId="05DFC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DEC107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11-8</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35DA91C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实验室电器布线</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0B699CD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采用φ25㎜优质PVC-U国标管预先埋地，耐压500V；220V市电采用2.5㎜²电线。</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445A4D2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ign w:val="center"/>
          </w:tcPr>
          <w:p w14:paraId="3B8040C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6506B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58A7EA8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11-9</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8B32AB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多功能微型台钻</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50C210F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金属机身，七档调速电源，含车钻两用套件，机身高250mm,底座200*150mm，夹持直径38-43mm，工作半径95mm</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7B76D52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074E106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77512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A5C3F5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11-10</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1AD1461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多功能微型台床</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6CCC2D49">
            <w:pPr>
              <w:keepNext w:val="0"/>
              <w:keepLines w:val="0"/>
              <w:widowControl/>
              <w:numPr>
                <w:ilvl w:val="0"/>
                <w:numId w:val="30"/>
              </w:numPr>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可以具备：圆盘锯、钻、磨、抛光、开孔等功能，不用改变结构，就可以实现一机多能，方便省事</w:t>
            </w:r>
            <w:r>
              <w:rPr>
                <w:rFonts w:hint="eastAsia" w:ascii="宋体" w:hAnsi="宋体" w:cs="宋体"/>
                <w:i w:val="0"/>
                <w:iCs w:val="0"/>
                <w:color w:val="auto"/>
                <w:kern w:val="0"/>
                <w:sz w:val="21"/>
                <w:szCs w:val="21"/>
                <w:highlight w:val="none"/>
                <w:u w:val="none"/>
                <w:lang w:val="en-US" w:eastAsia="zh-CN" w:bidi="ar"/>
              </w:rPr>
              <w:t>。</w:t>
            </w:r>
          </w:p>
          <w:p w14:paraId="44BBCBF6">
            <w:pPr>
              <w:keepNext w:val="0"/>
              <w:keepLines w:val="0"/>
              <w:widowControl/>
              <w:numPr>
                <w:ilvl w:val="0"/>
                <w:numId w:val="30"/>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使用电源适配器，输入为直流安全电压，电压7档可调：DC12V-24V。最大功率：96W。马达最高转速：6500转/分钟</w:t>
            </w:r>
            <w:r>
              <w:rPr>
                <w:rFonts w:hint="eastAsia" w:ascii="宋体" w:hAnsi="宋体" w:cs="宋体"/>
                <w:i w:val="0"/>
                <w:iCs w:val="0"/>
                <w:color w:val="auto"/>
                <w:kern w:val="0"/>
                <w:sz w:val="21"/>
                <w:szCs w:val="21"/>
                <w:highlight w:val="none"/>
                <w:u w:val="none"/>
                <w:lang w:val="en-US" w:eastAsia="zh-CN" w:bidi="ar"/>
              </w:rPr>
              <w:t>。</w:t>
            </w:r>
          </w:p>
          <w:p w14:paraId="501E50D2">
            <w:pPr>
              <w:keepNext w:val="0"/>
              <w:keepLines w:val="0"/>
              <w:widowControl/>
              <w:numPr>
                <w:ilvl w:val="0"/>
                <w:numId w:val="30"/>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整体铝合金材质，表面磨砂氧化处理，装有透明亚克力安全防护板。整机外形尺寸≥240×240×109mm，台面尺寸≥200×240mm。最大切割厚度：29mm，可切割硬木、塑料、铝、铜、铁、钢等。台面标有双刻度，可调节的铝合金靠山，具有可调的角度推尺，可实现精确地切割</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钻夹头夹持范围：1.5-10mm</w:t>
            </w:r>
            <w:r>
              <w:rPr>
                <w:rFonts w:hint="eastAsia" w:ascii="宋体" w:hAnsi="宋体" w:cs="宋体"/>
                <w:i w:val="0"/>
                <w:iCs w:val="0"/>
                <w:color w:val="auto"/>
                <w:kern w:val="0"/>
                <w:sz w:val="21"/>
                <w:szCs w:val="21"/>
                <w:highlight w:val="none"/>
                <w:u w:val="none"/>
                <w:lang w:val="en-US" w:eastAsia="zh-CN" w:bidi="ar"/>
              </w:rPr>
              <w:t>。</w:t>
            </w:r>
          </w:p>
          <w:p w14:paraId="6C601701">
            <w:pPr>
              <w:keepNext w:val="0"/>
              <w:keepLines w:val="0"/>
              <w:widowControl/>
              <w:numPr>
                <w:ilvl w:val="0"/>
                <w:numId w:val="30"/>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含：多功能锯片1片、高速钢切割片1片、金刚石锯片0.3和0.4各一片、砂盘一套、开孔器3个、内六角扳手若干。</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AB1B75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57295EB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2307A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5E584CC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11-11</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0DEA46D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调速金属微型铣床</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4A5FD728">
            <w:pPr>
              <w:keepNext w:val="0"/>
              <w:keepLines w:val="0"/>
              <w:widowControl/>
              <w:numPr>
                <w:ilvl w:val="0"/>
                <w:numId w:val="31"/>
              </w:numPr>
              <w:suppressLineNumbers w:val="0"/>
              <w:jc w:val="left"/>
              <w:textAlignment w:val="center"/>
              <w:rPr>
                <w:rFonts w:hint="eastAsia" w:ascii="宋体" w:hAnsi="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机床铝合金结构，电机马达箱为一体化全铝合金设计</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机床可加工木板、三合板、工程塑料</w:t>
            </w:r>
            <w:r>
              <w:rPr>
                <w:rFonts w:hint="eastAsia" w:ascii="宋体" w:hAnsi="宋体" w:cs="宋体"/>
                <w:i w:val="0"/>
                <w:iCs w:val="0"/>
                <w:color w:val="auto"/>
                <w:kern w:val="0"/>
                <w:sz w:val="21"/>
                <w:szCs w:val="21"/>
                <w:highlight w:val="none"/>
                <w:u w:val="none"/>
                <w:lang w:val="en-US" w:eastAsia="zh-CN" w:bidi="ar"/>
              </w:rPr>
              <w:t>。</w:t>
            </w:r>
          </w:p>
          <w:p w14:paraId="221FB0B8">
            <w:pPr>
              <w:keepNext w:val="0"/>
              <w:keepLines w:val="0"/>
              <w:widowControl/>
              <w:numPr>
                <w:ilvl w:val="0"/>
                <w:numId w:val="31"/>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大功率SDZDL双滚珠轴承马达空载转速：空载7000转/分钟。（工作转速可调节）</w:t>
            </w:r>
          </w:p>
          <w:p w14:paraId="5D2BF37A">
            <w:pPr>
              <w:keepNext w:val="0"/>
              <w:keepLines w:val="0"/>
              <w:widowControl/>
              <w:numPr>
                <w:ilvl w:val="0"/>
                <w:numId w:val="31"/>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输入电压/电流/功率： 12VDC/4A/48W。</w:t>
            </w:r>
          </w:p>
          <w:p w14:paraId="1BEFDBBB">
            <w:pPr>
              <w:keepNext w:val="0"/>
              <w:keepLines w:val="0"/>
              <w:widowControl/>
              <w:numPr>
                <w:ilvl w:val="0"/>
                <w:numId w:val="31"/>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垂直行程：70mm，加工底座行程30*60mm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中轴轨道采用铜制螺杆170mm加大加工行程。</w:t>
            </w:r>
          </w:p>
          <w:p w14:paraId="7CF0B297">
            <w:pPr>
              <w:keepNext w:val="0"/>
              <w:keepLines w:val="0"/>
              <w:widowControl/>
              <w:numPr>
                <w:ilvl w:val="0"/>
                <w:numId w:val="31"/>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铣床虎钳采用锌合金压铸，表面刻有数字标尺经模具一次成型，外径尺寸：（不含把手）85mmx55mmx28mm，最大夹持尺寸：47mm，夹头：6mm。</w:t>
            </w:r>
          </w:p>
          <w:p w14:paraId="58C437F8">
            <w:pPr>
              <w:keepNext w:val="0"/>
              <w:keepLines w:val="0"/>
              <w:widowControl/>
              <w:numPr>
                <w:ilvl w:val="0"/>
                <w:numId w:val="31"/>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手轮采用镀铬工艺，具有精度的刻度线（刻度线为模具一次成型，非粘贴），增加机床加工工件的精确度；</w:t>
            </w:r>
          </w:p>
          <w:p w14:paraId="08117AAE">
            <w:pPr>
              <w:keepNext w:val="0"/>
              <w:keepLines w:val="0"/>
              <w:widowControl/>
              <w:numPr>
                <w:ilvl w:val="0"/>
                <w:numId w:val="31"/>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机床底座黑色ABS材质。</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E1ADA7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546A068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4EC39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2361D7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11-12</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76E0648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调速金属微型车床</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028F64AE">
            <w:pPr>
              <w:keepNext w:val="0"/>
              <w:keepLines w:val="0"/>
              <w:widowControl/>
              <w:numPr>
                <w:ilvl w:val="0"/>
                <w:numId w:val="32"/>
              </w:numPr>
              <w:suppressLineNumbers w:val="0"/>
              <w:jc w:val="left"/>
              <w:textAlignment w:val="center"/>
              <w:rPr>
                <w:rFonts w:hint="eastAsia" w:ascii="宋体" w:hAnsi="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机床铝合金结构，电机马达箱为一体化全铝合金设计机箱到防护罩</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机床尾座顶锥采用嵌入全金属一体化机械结构</w:t>
            </w:r>
            <w:r>
              <w:rPr>
                <w:rFonts w:hint="eastAsia" w:ascii="宋体" w:hAnsi="宋体" w:cs="宋体"/>
                <w:i w:val="0"/>
                <w:iCs w:val="0"/>
                <w:color w:val="auto"/>
                <w:kern w:val="0"/>
                <w:sz w:val="21"/>
                <w:szCs w:val="21"/>
                <w:highlight w:val="none"/>
                <w:u w:val="none"/>
                <w:lang w:val="en-US" w:eastAsia="zh-CN" w:bidi="ar"/>
              </w:rPr>
              <w:t>。</w:t>
            </w:r>
          </w:p>
          <w:p w14:paraId="58F882EF">
            <w:pPr>
              <w:keepNext w:val="0"/>
              <w:keepLines w:val="0"/>
              <w:widowControl/>
              <w:numPr>
                <w:ilvl w:val="0"/>
                <w:numId w:val="32"/>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机床全铝合金结构车刀为高速钢材质可以加工木材和工程塑料等</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 xml:space="preserve"> </w:t>
            </w:r>
          </w:p>
          <w:p w14:paraId="1CACABC0">
            <w:pPr>
              <w:keepNext w:val="0"/>
              <w:keepLines w:val="0"/>
              <w:widowControl/>
              <w:numPr>
                <w:ilvl w:val="0"/>
                <w:numId w:val="32"/>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大功率SDZDL双滚珠轴承马达空载转速：空载7000转/分钟（工作转速可调节）。</w:t>
            </w:r>
          </w:p>
          <w:p w14:paraId="51C5620E">
            <w:pPr>
              <w:keepNext w:val="0"/>
              <w:keepLines w:val="0"/>
              <w:widowControl/>
              <w:numPr>
                <w:ilvl w:val="0"/>
                <w:numId w:val="32"/>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输入电压/电流/功率：12V/4A/48W。</w:t>
            </w:r>
          </w:p>
          <w:p w14:paraId="58DAF7D3">
            <w:pPr>
              <w:keepNext w:val="0"/>
              <w:keepLines w:val="0"/>
              <w:widowControl/>
              <w:numPr>
                <w:ilvl w:val="0"/>
                <w:numId w:val="32"/>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滑块行程：30和50mm。</w:t>
            </w:r>
          </w:p>
          <w:p w14:paraId="4301F247">
            <w:pPr>
              <w:keepNext w:val="0"/>
              <w:keepLines w:val="0"/>
              <w:widowControl/>
              <w:numPr>
                <w:ilvl w:val="0"/>
                <w:numId w:val="32"/>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最大加工直径正爪13mm、反爪45mm，三爪夹盘夹持直径：正爪13mm 、反爪45mm。</w:t>
            </w:r>
          </w:p>
          <w:p w14:paraId="79226D23">
            <w:pPr>
              <w:keepNext w:val="0"/>
              <w:keepLines w:val="0"/>
              <w:widowControl/>
              <w:numPr>
                <w:ilvl w:val="0"/>
                <w:numId w:val="32"/>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手轮采用镀铬工艺，具有0.02mm精度的刻度线（刻度线为模具一次成型，非粘贴），增加机床加工工件的精确度。</w:t>
            </w:r>
          </w:p>
          <w:p w14:paraId="1B07418E">
            <w:pPr>
              <w:keepNext w:val="0"/>
              <w:keepLines w:val="0"/>
              <w:widowControl/>
              <w:numPr>
                <w:ilvl w:val="0"/>
                <w:numId w:val="32"/>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提高学生创造性和动手能力。是学生做航模等模型的必备工具。</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8B96F8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1762291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41952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7E4DF2F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11-13</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0C66FB9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金属微型磨床</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D0637B1">
            <w:pPr>
              <w:keepNext w:val="0"/>
              <w:keepLines w:val="0"/>
              <w:widowControl/>
              <w:numPr>
                <w:ilvl w:val="0"/>
                <w:numId w:val="33"/>
              </w:numPr>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机床铝合金结构，电机马达箱为一体化全铝合金设计</w:t>
            </w:r>
            <w:r>
              <w:rPr>
                <w:rFonts w:hint="eastAsia" w:ascii="宋体" w:hAnsi="宋体" w:cs="宋体"/>
                <w:i w:val="0"/>
                <w:iCs w:val="0"/>
                <w:color w:val="auto"/>
                <w:kern w:val="0"/>
                <w:sz w:val="21"/>
                <w:szCs w:val="21"/>
                <w:highlight w:val="none"/>
                <w:u w:val="none"/>
                <w:lang w:val="en-US" w:eastAsia="zh-CN" w:bidi="ar"/>
              </w:rPr>
              <w:t>。</w:t>
            </w:r>
          </w:p>
          <w:p w14:paraId="739C4706">
            <w:pPr>
              <w:keepNext w:val="0"/>
              <w:keepLines w:val="0"/>
              <w:widowControl/>
              <w:numPr>
                <w:ilvl w:val="0"/>
                <w:numId w:val="33"/>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金属锌合金压铸台面、工作面积为131*121*15mm表面带有废屑槽和2条刻度尺数字标识、模具一次性压铸成型表面镀铬处理</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可以用来抛光、打磨</w:t>
            </w:r>
            <w:r>
              <w:rPr>
                <w:rFonts w:hint="eastAsia" w:ascii="宋体" w:hAnsi="宋体" w:cs="宋体"/>
                <w:i w:val="0"/>
                <w:iCs w:val="0"/>
                <w:color w:val="auto"/>
                <w:kern w:val="0"/>
                <w:sz w:val="21"/>
                <w:szCs w:val="21"/>
                <w:highlight w:val="none"/>
                <w:u w:val="none"/>
                <w:lang w:val="en-US" w:eastAsia="zh-CN" w:bidi="ar"/>
              </w:rPr>
              <w:t>。</w:t>
            </w:r>
          </w:p>
          <w:p w14:paraId="573F92DD">
            <w:pPr>
              <w:keepNext w:val="0"/>
              <w:keepLines w:val="0"/>
              <w:widowControl/>
              <w:numPr>
                <w:ilvl w:val="0"/>
                <w:numId w:val="33"/>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大功率SDZDL双滚珠轴承马达空载转速：空载</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7000转/分钟。</w:t>
            </w:r>
          </w:p>
          <w:p w14:paraId="131DA518">
            <w:pPr>
              <w:keepNext w:val="0"/>
              <w:keepLines w:val="0"/>
              <w:widowControl/>
              <w:numPr>
                <w:ilvl w:val="0"/>
                <w:numId w:val="33"/>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输入电压/电流/功率：12V/4A/48W</w:t>
            </w:r>
            <w:r>
              <w:rPr>
                <w:rFonts w:hint="eastAsia" w:ascii="宋体" w:hAnsi="宋体" w:cs="宋体"/>
                <w:i w:val="0"/>
                <w:iCs w:val="0"/>
                <w:color w:val="auto"/>
                <w:kern w:val="0"/>
                <w:sz w:val="21"/>
                <w:szCs w:val="21"/>
                <w:highlight w:val="none"/>
                <w:u w:val="none"/>
                <w:lang w:val="en-US" w:eastAsia="zh-CN" w:bidi="ar"/>
              </w:rPr>
              <w:t>。</w:t>
            </w:r>
          </w:p>
          <w:p w14:paraId="43CCF086">
            <w:pPr>
              <w:keepNext w:val="0"/>
              <w:keepLines w:val="0"/>
              <w:widowControl/>
              <w:numPr>
                <w:ilvl w:val="0"/>
                <w:numId w:val="33"/>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机床底座黑色ABS材质</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A7C015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357D771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1FAF2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61369FD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11-14</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6826078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小型种植工具</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0077A85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美工刀1件、枝剪1把、3m卷尺1件、手工园林锯1件、园林大三件套（锹、耙）3件、园林小三件套（锹、耙）3件、草坪剪1件、剪刀1把、扎绳1件、喷嘴（带接头）3件。</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919A3C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1DE9ACF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28</w:t>
            </w:r>
          </w:p>
        </w:tc>
      </w:tr>
      <w:tr w14:paraId="10064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53F7A85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11-15</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607D619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喷雾器</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65E93AD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小号塑制</w:t>
            </w:r>
            <w:r>
              <w:rPr>
                <w:rFonts w:hint="eastAsia" w:ascii="宋体" w:hAnsi="宋体" w:cs="宋体"/>
                <w:i w:val="0"/>
                <w:iCs w:val="0"/>
                <w:color w:val="auto"/>
                <w:kern w:val="0"/>
                <w:sz w:val="21"/>
                <w:szCs w:val="21"/>
                <w:highlight w:val="none"/>
                <w:u w:val="none"/>
                <w:lang w:val="en-US" w:eastAsia="zh-CN" w:bidi="ar"/>
              </w:rPr>
              <w:t>不小于</w:t>
            </w:r>
            <w:r>
              <w:rPr>
                <w:rFonts w:hint="eastAsia" w:ascii="宋体" w:hAnsi="宋体" w:eastAsia="宋体" w:cs="宋体"/>
                <w:i w:val="0"/>
                <w:iCs w:val="0"/>
                <w:color w:val="auto"/>
                <w:kern w:val="0"/>
                <w:sz w:val="21"/>
                <w:szCs w:val="21"/>
                <w:highlight w:val="none"/>
                <w:u w:val="none"/>
                <w:lang w:val="en-US" w:eastAsia="zh-CN" w:bidi="ar"/>
              </w:rPr>
              <w:t>260ml、大号塑制</w:t>
            </w:r>
            <w:r>
              <w:rPr>
                <w:rFonts w:hint="eastAsia" w:ascii="宋体" w:hAnsi="宋体" w:cs="宋体"/>
                <w:i w:val="0"/>
                <w:iCs w:val="0"/>
                <w:color w:val="auto"/>
                <w:kern w:val="0"/>
                <w:sz w:val="21"/>
                <w:szCs w:val="21"/>
                <w:highlight w:val="none"/>
                <w:u w:val="none"/>
                <w:lang w:val="en-US" w:eastAsia="zh-CN" w:bidi="ar"/>
              </w:rPr>
              <w:t>不小于</w:t>
            </w:r>
            <w:r>
              <w:rPr>
                <w:rFonts w:hint="eastAsia" w:ascii="宋体" w:hAnsi="宋体" w:eastAsia="宋体" w:cs="宋体"/>
                <w:i w:val="0"/>
                <w:iCs w:val="0"/>
                <w:color w:val="auto"/>
                <w:kern w:val="0"/>
                <w:sz w:val="21"/>
                <w:szCs w:val="21"/>
                <w:highlight w:val="none"/>
                <w:u w:val="none"/>
                <w:lang w:val="en-US" w:eastAsia="zh-CN" w:bidi="ar"/>
              </w:rPr>
              <w:t>500ml</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7393807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付</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72AED47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631E9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EC69A3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11-16</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6929491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无土栽培盆</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74E2EAE0">
            <w:pPr>
              <w:keepNext w:val="0"/>
              <w:keepLines w:val="0"/>
              <w:widowControl/>
              <w:numPr>
                <w:ilvl w:val="0"/>
                <w:numId w:val="34"/>
              </w:numPr>
              <w:suppressLineNumbers w:val="0"/>
              <w:jc w:val="left"/>
              <w:textAlignment w:val="center"/>
              <w:rPr>
                <w:rFonts w:hint="eastAsia" w:ascii="宋体" w:hAnsi="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无土栽培盆尺寸：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38.5*27*14cm</w:t>
            </w:r>
            <w:r>
              <w:rPr>
                <w:rFonts w:hint="eastAsia" w:ascii="宋体" w:hAnsi="宋体" w:cs="宋体"/>
                <w:i w:val="0"/>
                <w:iCs w:val="0"/>
                <w:color w:val="auto"/>
                <w:kern w:val="0"/>
                <w:sz w:val="21"/>
                <w:szCs w:val="21"/>
                <w:highlight w:val="none"/>
                <w:u w:val="none"/>
                <w:lang w:val="en-US" w:eastAsia="zh-CN" w:bidi="ar"/>
              </w:rPr>
              <w:t>。</w:t>
            </w:r>
          </w:p>
          <w:p w14:paraId="04848DA5">
            <w:pPr>
              <w:keepNext w:val="0"/>
              <w:keepLines w:val="0"/>
              <w:widowControl/>
              <w:numPr>
                <w:ilvl w:val="0"/>
                <w:numId w:val="34"/>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内涵产品：（1）、定植孔12个（2）、定植篮12个（3）、定植棉12个，（4）、吸水布1张（4）、营养液2瓶，（5）、蔬菜种子2包，（7）、气泵及控制器1套，低压直流电源水泵12V</w:t>
            </w:r>
            <w:r>
              <w:rPr>
                <w:rFonts w:hint="eastAsia" w:ascii="宋体" w:hAnsi="宋体" w:cs="宋体"/>
                <w:i w:val="0"/>
                <w:iCs w:val="0"/>
                <w:color w:val="auto"/>
                <w:kern w:val="0"/>
                <w:sz w:val="21"/>
                <w:szCs w:val="21"/>
                <w:highlight w:val="none"/>
                <w:u w:val="none"/>
                <w:lang w:val="en-US" w:eastAsia="zh-CN" w:bidi="ar"/>
              </w:rPr>
              <w:t>。</w:t>
            </w:r>
          </w:p>
          <w:p w14:paraId="5D004C0A">
            <w:pPr>
              <w:keepNext w:val="0"/>
              <w:keepLines w:val="0"/>
              <w:widowControl/>
              <w:numPr>
                <w:ilvl w:val="0"/>
                <w:numId w:val="34"/>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无土栽培盆材质：塑质，经济型箱式、偏于携带储存</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45C7E6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1F72B3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738496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3DD975A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11-17</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1EABAB1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育种育苗箱</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260FAE7F">
            <w:pPr>
              <w:keepNext w:val="0"/>
              <w:keepLines w:val="0"/>
              <w:widowControl/>
              <w:numPr>
                <w:ilvl w:val="0"/>
                <w:numId w:val="35"/>
              </w:numPr>
              <w:suppressLineNumbers w:val="0"/>
              <w:jc w:val="left"/>
              <w:textAlignment w:val="center"/>
              <w:rPr>
                <w:rFonts w:hint="eastAsia" w:ascii="宋体" w:hAnsi="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育种育苗箱：育苗三件套包括20孔穴盆、透明盖、底部托盘</w:t>
            </w:r>
            <w:r>
              <w:rPr>
                <w:rFonts w:hint="eastAsia" w:ascii="宋体" w:hAnsi="宋体" w:cs="宋体"/>
                <w:i w:val="0"/>
                <w:iCs w:val="0"/>
                <w:color w:val="auto"/>
                <w:kern w:val="0"/>
                <w:sz w:val="21"/>
                <w:szCs w:val="21"/>
                <w:highlight w:val="none"/>
                <w:u w:val="none"/>
                <w:lang w:val="en-US" w:eastAsia="zh-CN" w:bidi="ar"/>
              </w:rPr>
              <w:t>。</w:t>
            </w:r>
          </w:p>
          <w:p w14:paraId="61C9C684">
            <w:pPr>
              <w:keepNext w:val="0"/>
              <w:keepLines w:val="0"/>
              <w:widowControl/>
              <w:numPr>
                <w:ilvl w:val="0"/>
                <w:numId w:val="35"/>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育苗盘：口径长370*宽300*高75mm，底径330*260mm</w:t>
            </w:r>
            <w:r>
              <w:rPr>
                <w:rFonts w:hint="eastAsia" w:ascii="宋体" w:hAnsi="宋体" w:cs="宋体"/>
                <w:i w:val="0"/>
                <w:iCs w:val="0"/>
                <w:color w:val="auto"/>
                <w:kern w:val="0"/>
                <w:sz w:val="21"/>
                <w:szCs w:val="21"/>
                <w:highlight w:val="none"/>
                <w:u w:val="none"/>
                <w:lang w:val="en-US" w:eastAsia="zh-CN" w:bidi="ar"/>
              </w:rPr>
              <w:t>。</w:t>
            </w:r>
          </w:p>
          <w:p w14:paraId="59FCAD0A">
            <w:pPr>
              <w:keepNext w:val="0"/>
              <w:keepLines w:val="0"/>
              <w:widowControl/>
              <w:numPr>
                <w:ilvl w:val="0"/>
                <w:numId w:val="35"/>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接水盘：尺寸长351*宽280*高17mm，可内置20个彩色育苗杯口径70mm高80mm</w:t>
            </w:r>
            <w:r>
              <w:rPr>
                <w:rFonts w:hint="eastAsia" w:ascii="宋体" w:hAnsi="宋体" w:cs="宋体"/>
                <w:i w:val="0"/>
                <w:iCs w:val="0"/>
                <w:color w:val="auto"/>
                <w:kern w:val="0"/>
                <w:sz w:val="21"/>
                <w:szCs w:val="21"/>
                <w:highlight w:val="none"/>
                <w:u w:val="none"/>
                <w:lang w:val="en-US" w:eastAsia="zh-CN" w:bidi="ar"/>
              </w:rPr>
              <w:t>。</w:t>
            </w:r>
          </w:p>
          <w:p w14:paraId="6BF2FD69">
            <w:pPr>
              <w:keepNext w:val="0"/>
              <w:keepLines w:val="0"/>
              <w:widowControl/>
              <w:numPr>
                <w:ilvl w:val="0"/>
                <w:numId w:val="35"/>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材质：PVC 保温保湿</w:t>
            </w:r>
            <w:r>
              <w:rPr>
                <w:rFonts w:hint="eastAsia" w:ascii="宋体" w:hAnsi="宋体" w:cs="宋体"/>
                <w:i w:val="0"/>
                <w:iCs w:val="0"/>
                <w:color w:val="auto"/>
                <w:kern w:val="0"/>
                <w:sz w:val="21"/>
                <w:szCs w:val="21"/>
                <w:highlight w:val="none"/>
                <w:u w:val="none"/>
                <w:lang w:val="en-US" w:eastAsia="zh-CN" w:bidi="ar"/>
              </w:rPr>
              <w:t>。</w:t>
            </w:r>
          </w:p>
          <w:p w14:paraId="38638686">
            <w:pPr>
              <w:keepNext w:val="0"/>
              <w:keepLines w:val="0"/>
              <w:widowControl/>
              <w:numPr>
                <w:ilvl w:val="0"/>
                <w:numId w:val="35"/>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透光规格：539*340*70mm、 育种育苗箱塑制有渗水功能，种植三件套1套。</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C5CEA0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5632667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2D89A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7E91A55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11-18</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1E09498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多肉种植套组</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3470A30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7*8小方20孔托架配套接水盘，配套20个口径7*7种植盆，尺寸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370mm*300mm*5.5mm，桶铲、打孔器、起苗器、铲土勺各1把。</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435B8A6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18A0B3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51CD8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7015091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11-19</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4E59842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饲养用具</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4D001B7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开食盘1个、饮水箱1件、食料箱1件、家畜（禽）饮水嘴5个、圈养网1张、折叠笼1个、全自动饮水器1件、取料勺1把、水管1根、食槽1个、PVC水管1根</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7E6D5B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732282E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0F7662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CFAFCF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11-20</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213FAA1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宠物饲养笼</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5B260AD6">
            <w:pPr>
              <w:keepNext w:val="0"/>
              <w:keepLines w:val="0"/>
              <w:widowControl/>
              <w:numPr>
                <w:ilvl w:val="0"/>
                <w:numId w:val="36"/>
              </w:numPr>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饲养槽整体采用高透明塑料制成，外观 平整、光洁、无毛刺</w:t>
            </w:r>
            <w:r>
              <w:rPr>
                <w:rFonts w:hint="eastAsia" w:ascii="宋体" w:hAnsi="宋体" w:cs="宋体"/>
                <w:i w:val="0"/>
                <w:iCs w:val="0"/>
                <w:color w:val="auto"/>
                <w:kern w:val="0"/>
                <w:sz w:val="21"/>
                <w:szCs w:val="21"/>
                <w:highlight w:val="none"/>
                <w:u w:val="none"/>
                <w:lang w:val="en-US" w:eastAsia="zh-CN" w:bidi="ar"/>
              </w:rPr>
              <w:t>。</w:t>
            </w:r>
          </w:p>
          <w:p w14:paraId="6A0C7DBE">
            <w:pPr>
              <w:keepNext w:val="0"/>
              <w:keepLines w:val="0"/>
              <w:widowControl/>
              <w:numPr>
                <w:ilvl w:val="0"/>
                <w:numId w:val="36"/>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饲养笼长</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390mm，宽</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290mm，高</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230mm</w:t>
            </w:r>
            <w:r>
              <w:rPr>
                <w:rFonts w:hint="eastAsia" w:ascii="宋体" w:hAnsi="宋体" w:cs="宋体"/>
                <w:i w:val="0"/>
                <w:iCs w:val="0"/>
                <w:color w:val="auto"/>
                <w:kern w:val="0"/>
                <w:sz w:val="21"/>
                <w:szCs w:val="21"/>
                <w:highlight w:val="none"/>
                <w:u w:val="none"/>
                <w:lang w:val="en-US" w:eastAsia="zh-CN" w:bidi="ar"/>
              </w:rPr>
              <w:t>。</w:t>
            </w:r>
          </w:p>
          <w:p w14:paraId="24DF46A4">
            <w:pPr>
              <w:keepNext w:val="0"/>
              <w:keepLines w:val="0"/>
              <w:widowControl/>
              <w:numPr>
                <w:ilvl w:val="0"/>
                <w:numId w:val="36"/>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饲养笼顶盖中间留有长</w:t>
            </w:r>
            <w:r>
              <w:rPr>
                <w:rFonts w:hint="eastAsia" w:ascii="宋体" w:hAnsi="宋体" w:cs="宋体"/>
                <w:i w:val="0"/>
                <w:iCs w:val="0"/>
                <w:color w:val="auto"/>
                <w:kern w:val="0"/>
                <w:sz w:val="21"/>
                <w:szCs w:val="21"/>
                <w:highlight w:val="none"/>
                <w:u w:val="none"/>
                <w:lang w:val="en-US" w:eastAsia="zh-CN" w:bidi="ar"/>
              </w:rPr>
              <w:t>不小于</w:t>
            </w:r>
            <w:r>
              <w:rPr>
                <w:rFonts w:hint="eastAsia" w:ascii="宋体" w:hAnsi="宋体" w:eastAsia="宋体" w:cs="宋体"/>
                <w:i w:val="0"/>
                <w:iCs w:val="0"/>
                <w:color w:val="auto"/>
                <w:kern w:val="0"/>
                <w:sz w:val="21"/>
                <w:szCs w:val="21"/>
                <w:highlight w:val="none"/>
                <w:u w:val="none"/>
                <w:lang w:val="en-US" w:eastAsia="zh-CN" w:bidi="ar"/>
              </w:rPr>
              <w:t>270mm，宽</w:t>
            </w:r>
            <w:r>
              <w:rPr>
                <w:rFonts w:hint="eastAsia" w:ascii="宋体" w:hAnsi="宋体" w:cs="宋体"/>
                <w:i w:val="0"/>
                <w:iCs w:val="0"/>
                <w:color w:val="auto"/>
                <w:kern w:val="0"/>
                <w:sz w:val="21"/>
                <w:szCs w:val="21"/>
                <w:highlight w:val="none"/>
                <w:u w:val="none"/>
                <w:lang w:val="en-US" w:eastAsia="zh-CN" w:bidi="ar"/>
              </w:rPr>
              <w:t>不小于</w:t>
            </w:r>
            <w:r>
              <w:rPr>
                <w:rFonts w:hint="eastAsia" w:ascii="宋体" w:hAnsi="宋体" w:eastAsia="宋体" w:cs="宋体"/>
                <w:i w:val="0"/>
                <w:iCs w:val="0"/>
                <w:color w:val="auto"/>
                <w:kern w:val="0"/>
                <w:sz w:val="21"/>
                <w:szCs w:val="21"/>
                <w:highlight w:val="none"/>
                <w:u w:val="none"/>
                <w:lang w:val="en-US" w:eastAsia="zh-CN" w:bidi="ar"/>
              </w:rPr>
              <w:t>170mm的可以翻盖的铁丝网，以通风透气</w:t>
            </w:r>
            <w:r>
              <w:rPr>
                <w:rFonts w:hint="eastAsia" w:ascii="宋体" w:hAnsi="宋体" w:cs="宋体"/>
                <w:i w:val="0"/>
                <w:iCs w:val="0"/>
                <w:color w:val="auto"/>
                <w:kern w:val="0"/>
                <w:sz w:val="21"/>
                <w:szCs w:val="21"/>
                <w:highlight w:val="none"/>
                <w:u w:val="none"/>
                <w:lang w:val="en-US" w:eastAsia="zh-CN" w:bidi="ar"/>
              </w:rPr>
              <w:t>。</w:t>
            </w:r>
          </w:p>
          <w:p w14:paraId="271F347F">
            <w:pPr>
              <w:keepNext w:val="0"/>
              <w:keepLines w:val="0"/>
              <w:widowControl/>
              <w:numPr>
                <w:ilvl w:val="0"/>
                <w:numId w:val="36"/>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方便投食喂料</w:t>
            </w:r>
            <w:r>
              <w:rPr>
                <w:rFonts w:hint="eastAsia" w:ascii="宋体" w:hAnsi="宋体" w:cs="宋体"/>
                <w:i w:val="0"/>
                <w:iCs w:val="0"/>
                <w:color w:val="auto"/>
                <w:kern w:val="0"/>
                <w:sz w:val="21"/>
                <w:szCs w:val="21"/>
                <w:highlight w:val="none"/>
                <w:u w:val="none"/>
                <w:lang w:val="en-US" w:eastAsia="zh-CN" w:bidi="ar"/>
              </w:rPr>
              <w:t>。</w:t>
            </w:r>
          </w:p>
          <w:p w14:paraId="4477A481">
            <w:pPr>
              <w:keepNext w:val="0"/>
              <w:keepLines w:val="0"/>
              <w:widowControl/>
              <w:numPr>
                <w:ilvl w:val="0"/>
                <w:numId w:val="36"/>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饲养笼双侧留有三排18孔的透气孔</w:t>
            </w:r>
            <w:r>
              <w:rPr>
                <w:rFonts w:hint="eastAsia" w:ascii="宋体" w:hAnsi="宋体" w:cs="宋体"/>
                <w:i w:val="0"/>
                <w:iCs w:val="0"/>
                <w:color w:val="auto"/>
                <w:kern w:val="0"/>
                <w:sz w:val="21"/>
                <w:szCs w:val="21"/>
                <w:highlight w:val="none"/>
                <w:u w:val="none"/>
                <w:lang w:val="en-US" w:eastAsia="zh-CN" w:bidi="ar"/>
              </w:rPr>
              <w:t>。</w:t>
            </w:r>
          </w:p>
          <w:p w14:paraId="56175E69">
            <w:pPr>
              <w:keepNext w:val="0"/>
              <w:keepLines w:val="0"/>
              <w:widowControl/>
              <w:numPr>
                <w:ilvl w:val="0"/>
                <w:numId w:val="36"/>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饲养槽正面留有可灵活开关的下开式笼门，尺寸</w:t>
            </w:r>
            <w:r>
              <w:rPr>
                <w:rFonts w:hint="eastAsia" w:ascii="宋体" w:hAnsi="宋体" w:cs="宋体"/>
                <w:i w:val="0"/>
                <w:iCs w:val="0"/>
                <w:color w:val="auto"/>
                <w:kern w:val="0"/>
                <w:sz w:val="21"/>
                <w:szCs w:val="21"/>
                <w:highlight w:val="none"/>
                <w:u w:val="none"/>
                <w:lang w:val="en-US" w:eastAsia="zh-CN" w:bidi="ar"/>
              </w:rPr>
              <w:t>不小于</w:t>
            </w:r>
            <w:r>
              <w:rPr>
                <w:rFonts w:hint="eastAsia" w:ascii="宋体" w:hAnsi="宋体" w:eastAsia="宋体" w:cs="宋体"/>
                <w:i w:val="0"/>
                <w:iCs w:val="0"/>
                <w:color w:val="auto"/>
                <w:kern w:val="0"/>
                <w:sz w:val="21"/>
                <w:szCs w:val="21"/>
                <w:highlight w:val="none"/>
                <w:u w:val="none"/>
                <w:lang w:val="en-US" w:eastAsia="zh-CN" w:bidi="ar"/>
              </w:rPr>
              <w:t>320mm*140mm,龙门两侧带有可锁死开关。</w:t>
            </w:r>
          </w:p>
        </w:tc>
        <w:tc>
          <w:tcPr>
            <w:tcW w:w="754" w:type="dxa"/>
            <w:tcBorders>
              <w:top w:val="single" w:color="000000" w:sz="4" w:space="0"/>
              <w:left w:val="single" w:color="000000" w:sz="4" w:space="0"/>
              <w:bottom w:val="single" w:color="000000" w:sz="4" w:space="0"/>
              <w:right w:val="single" w:color="000000" w:sz="4" w:space="0"/>
            </w:tcBorders>
            <w:noWrap/>
            <w:vAlign w:val="center"/>
          </w:tcPr>
          <w:p w14:paraId="05BF266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52CB451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47C36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205AEB5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11-21</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3040C23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生态水族箱</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0C521F47">
            <w:pPr>
              <w:keepNext w:val="0"/>
              <w:keepLines w:val="0"/>
              <w:widowControl/>
              <w:numPr>
                <w:ilvl w:val="0"/>
                <w:numId w:val="37"/>
              </w:numPr>
              <w:suppressLineNumbers w:val="0"/>
              <w:jc w:val="left"/>
              <w:textAlignment w:val="center"/>
              <w:rPr>
                <w:rFonts w:hint="eastAsia" w:ascii="宋体" w:hAnsi="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材质：玻璃封闭式</w:t>
            </w:r>
            <w:r>
              <w:rPr>
                <w:rFonts w:hint="eastAsia" w:ascii="宋体" w:hAnsi="宋体" w:cs="宋体"/>
                <w:i w:val="0"/>
                <w:iCs w:val="0"/>
                <w:color w:val="auto"/>
                <w:kern w:val="0"/>
                <w:sz w:val="21"/>
                <w:szCs w:val="21"/>
                <w:highlight w:val="none"/>
                <w:u w:val="none"/>
                <w:lang w:val="en-US" w:eastAsia="zh-CN" w:bidi="ar"/>
              </w:rPr>
              <w:t>。</w:t>
            </w:r>
          </w:p>
          <w:p w14:paraId="1FBAAB68">
            <w:pPr>
              <w:keepNext w:val="0"/>
              <w:keepLines w:val="0"/>
              <w:widowControl/>
              <w:numPr>
                <w:ilvl w:val="0"/>
                <w:numId w:val="37"/>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360x220x370mm</w:t>
            </w:r>
            <w:r>
              <w:rPr>
                <w:rFonts w:hint="eastAsia" w:ascii="宋体" w:hAnsi="宋体" w:cs="宋体"/>
                <w:i w:val="0"/>
                <w:iCs w:val="0"/>
                <w:color w:val="auto"/>
                <w:kern w:val="0"/>
                <w:sz w:val="21"/>
                <w:szCs w:val="21"/>
                <w:highlight w:val="none"/>
                <w:u w:val="none"/>
                <w:lang w:val="en-US" w:eastAsia="zh-CN" w:bidi="ar"/>
              </w:rPr>
              <w:t>。</w:t>
            </w:r>
          </w:p>
          <w:p w14:paraId="609B5B0C">
            <w:pPr>
              <w:keepNext w:val="0"/>
              <w:keepLines w:val="0"/>
              <w:widowControl/>
              <w:numPr>
                <w:ilvl w:val="0"/>
                <w:numId w:val="37"/>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容量：</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22L</w:t>
            </w:r>
            <w:r>
              <w:rPr>
                <w:rFonts w:hint="eastAsia" w:ascii="宋体" w:hAnsi="宋体" w:cs="宋体"/>
                <w:i w:val="0"/>
                <w:iCs w:val="0"/>
                <w:color w:val="auto"/>
                <w:kern w:val="0"/>
                <w:sz w:val="21"/>
                <w:szCs w:val="21"/>
                <w:highlight w:val="none"/>
                <w:u w:val="none"/>
                <w:lang w:val="en-US" w:eastAsia="zh-CN" w:bidi="ar"/>
              </w:rPr>
              <w:t>。</w:t>
            </w:r>
          </w:p>
          <w:p w14:paraId="229D3E33">
            <w:pPr>
              <w:keepNext w:val="0"/>
              <w:keepLines w:val="0"/>
              <w:widowControl/>
              <w:numPr>
                <w:ilvl w:val="0"/>
                <w:numId w:val="37"/>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配备水泵、水过滤棉、LED照明系统，开关为触摸式</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81C7E0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57A381F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4E8E88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C53247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11-22</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1380B9E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鱼类养殖箱</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7180E00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采用超白SK聚笨材质，尺寸：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120*80*105mm，黑、白、红、黄、绿、篮、橙、粉8色一组</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所有组件接口为标准化接口，可以相互连接拼装组合摆放。</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45BCF59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组</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36FF6C8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278F0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3F570F9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11-23</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6ED42D1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鱼类养殖用具</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C7DD0F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水过滤棉、鱼捞网、生化球、水草、水晶砂、彩色石、清洁工具、换水器、除氯剂、收纳盒</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94AF74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0E1ACD4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16FB9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2051B68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11-24</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77B06C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发夹diy材料包</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201CED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2.5cm宽印刷带2条（1米长），2.5cm宽纯色彩带6条（1米），细丝带3条（1米），装饰配件12个，头皮筋10根，BB夹4个、平夹8个、棉线1个，双面胶1卷，胶棒1根，塑料盒包装</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7B5181D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6F2A54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10</w:t>
            </w:r>
          </w:p>
        </w:tc>
      </w:tr>
      <w:tr w14:paraId="3F4AF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57EA61B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11-25</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78C1EA7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手工饰品材料包</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4A3691B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白乳胶1个，砂纸1张，打磨条1根，马芬杯1个、抛光砖1个、搅拌棒5根、塑料滴管5根，50ml量杯2个、弯头镊子1个、手指套10个、卸甲巾1盒、色精1瓶、叶脉干花10片、100g硬胶1份、闪粉粉色1瓶、闪粉紫色1瓶、闪粉蓝色1瓶、混彩五角星1瓶、钩扣2个、实心爱心1瓶、羊眼钉20个、开口全20个、蓝色龙虾扣绳5个、爱心模具1个、手镯模具1个，戒指模具1个，塑料盒包装</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E01541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213F223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5</w:t>
            </w:r>
          </w:p>
        </w:tc>
      </w:tr>
      <w:tr w14:paraId="68A04C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2BD93E2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11-26</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4366666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手工DIY制作套装1</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65052D4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卡纸不同色（19.5*27cm）；卡纸；40克白胶；手工镊子；1.5cm海绵压花贴纸；6*7cm彩色贴纸；5*11cm彩纸多色；13cm彩色纸10色；13色单面彩色纸6cm；花纹剪刀；彩色闪光笔；1cm双面胶；6个颜色金葱毛条；7mm卡通眼睛；彩色金葱胶；彩色胶带；3mm金银葱带；手摇压力机</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2FC11C1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2721063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10</w:t>
            </w:r>
          </w:p>
        </w:tc>
      </w:tr>
      <w:tr w14:paraId="45C5A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386523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11-27</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77BE53A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手工DIY制作套装2</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7E8D14E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2#酒精胶；切片；水消笔芯；胸针；平口夹；剪刀；金尾针；10色线；填充棉；缎带；发圈；软尺；扣子；钥匙圈；手机绳；拉链；子母贴；拆线器；顶针；珠针；裁纸刀；糖果珠；15*15cm不织布。</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78D7EC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380B54B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10</w:t>
            </w:r>
          </w:p>
        </w:tc>
      </w:tr>
      <w:tr w14:paraId="5F38C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2AA4B8C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11-28</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DEA9E9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手工DIY制作套装3</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0AF1E4B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3#凹凸球形，曲规器，卷纸笔，锥子，镊子，瓦楞器， 缠绕器，胶水，玻璃片，万用尺，大头针，贴钻，说明页，小吊卡，线稿图300克厚，1*39的12色，0.5*39厘米24色，0.5*54厘米24色，05*39厘米36色。</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42B771B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4D305F3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10</w:t>
            </w:r>
          </w:p>
        </w:tc>
      </w:tr>
      <w:tr w14:paraId="7C009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0F2046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11-29</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4AB3DCF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剪纸工艺DIY材料包</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45D29C7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A4双面橡胶切割垫板1张，22度雕刻刀一把，带5片刀片，5色剪花纸各100张，A4作品袋10个，电子图样内含3000多张图片的剪纸图样1套。磨刀石一块，镀金龙凤剪刀一把、防静电镊子1把，小铜锤1把，入门图样一套，进阶图样一套。</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DB3A49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2D63DEE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10</w:t>
            </w:r>
          </w:p>
        </w:tc>
      </w:tr>
      <w:tr w14:paraId="4A842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799AC10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11-30</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6E2BE11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刺绣工具</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2123708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绣绷大小2个、刺绣针1板、刺绣布4块、复写纸4张、拷贝纸4张、镊子1件、小剪刀1把、纱剪1把、不锈钢夹子1个、穿线器1个、拆线器1个、顶针1个、绣线48色各1支、工艺木箱包装，产品箱内定位存放</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7150562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2D8E74D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16</w:t>
            </w:r>
          </w:p>
        </w:tc>
      </w:tr>
      <w:tr w14:paraId="0E7E6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E8AAE6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11-31</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63E1C8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桌面绣架</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FB45E0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榉木材质，桌面可调节式，58*16*12.5cm，净重1150g，圆形、方形绣绷都可使用。</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0BE77F2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13E691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66CE0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5EC1FD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11-32</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5F1BD52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刺绣材料包（1）</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3872156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纯棉绣布单块面副25*25cm,自带12生肖图案，省去拓图、画图等繁杂步骤，刺绣完成后图案放入水中图案即可消失。特别适合刺绣初学者、中小学生DIY使用。</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720B549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0754C52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200</w:t>
            </w:r>
          </w:p>
        </w:tc>
      </w:tr>
      <w:tr w14:paraId="28F9F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0011673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11-33</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3E0B677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刺绣材料包（2）</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01F5910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刺绣相框采用羊毛毡材质，包含高山绵羊、海边沙滩、金秋时节、樱花富士山等多种图案，23.7cm * 2cm * 26cm，净重160g，高清视频教程+图文说明书，让学习刺绣过程更简单快乐。</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33DECB1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5A632F6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36D712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71C2090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11-34</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5AD166E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编织织布机</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257230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榉木材质  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60*45*3cm，可编织宽度39cm</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6847696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185199D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5EDDA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3D1DC2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11-35</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08ACBF3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编织工具</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55DDFCA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毛衣针不同规格共3付、环形针1付、毛线6种颜色各1、针盒1、直头镊子1、弯头镊子1、竹尺1、钩针1、胸围尺1、剪刀1、线头剪1、拆线器1、穿针器1、金属钩针套装 22根 （银色钩针号码： 0.6mm 0.75mm 0.85mm 0.9mm 1.0mm 1.1mm 1.25mm 1.3mm(1.4MM) 1.5mm 1.6mm 1.75mm   1.9mm      彩色钩针号码：  2.0mm 2.5mm 3.0mm 3.5mm 4.0mm 4.5mm 5.0mm 5.5mm 6.0mm 6.5mm ）；编织零件盒内含：记数器大小各一个 针帽大号2个 针帽小号4个 O形圈30个 开口记号圈10个 记数扣 10个 葫芦扣30个；  抽屉式收纳工具箱</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42BC332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5655B1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16</w:t>
            </w:r>
          </w:p>
        </w:tc>
      </w:tr>
      <w:tr w14:paraId="78B8F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33C6BB2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11-36</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33246D5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毛线编织机</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3721D85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40针手摇毛线编织机  规格</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30*30*18.5cm，可编织围巾、帽子、布片、袜子等</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39B7311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380B056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3E5FE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4047971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11-37</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3E20F8E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毛线绕线器</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7D884C4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18*14*10cm,简易型学生毛线绕线器，重约420克</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72F3D6E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4159016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w:t>
            </w:r>
          </w:p>
        </w:tc>
      </w:tr>
      <w:tr w14:paraId="584B4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EFAF82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11-38</w:t>
            </w:r>
          </w:p>
        </w:tc>
        <w:tc>
          <w:tcPr>
            <w:tcW w:w="1183" w:type="dxa"/>
            <w:tcBorders>
              <w:top w:val="single" w:color="000000" w:sz="4" w:space="0"/>
              <w:left w:val="single" w:color="000000" w:sz="4" w:space="0"/>
              <w:bottom w:val="single" w:color="000000" w:sz="4" w:space="0"/>
              <w:right w:val="single" w:color="000000" w:sz="4" w:space="0"/>
            </w:tcBorders>
            <w:noWrap/>
            <w:vAlign w:val="center"/>
          </w:tcPr>
          <w:p w14:paraId="3450C27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毛线</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4F79AA8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牛奶棉毛线 1两（50克）/盒  80%亲肤棉20%牛奶纤维，12花色</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443725A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包</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04359F8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100</w:t>
            </w:r>
          </w:p>
        </w:tc>
      </w:tr>
      <w:tr w14:paraId="44B478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6A5AE42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11-39</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1BE4CA0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防护用品</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1A1A2FF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侧面完全遮挡、抗机械冲击护目镜*1，口罩*1，防滑手套*1，工作服*1</w:t>
            </w:r>
            <w:r>
              <w:rPr>
                <w:rFonts w:hint="eastAsia" w:ascii="宋体" w:hAnsi="宋体" w:cs="宋体"/>
                <w:i w:val="0"/>
                <w:iCs w:val="0"/>
                <w:color w:val="auto"/>
                <w:kern w:val="0"/>
                <w:sz w:val="21"/>
                <w:szCs w:val="21"/>
                <w:highlight w:val="none"/>
                <w:u w:val="none"/>
                <w:lang w:val="en-US" w:eastAsia="zh-CN" w:bidi="ar"/>
              </w:rPr>
              <w:t>。</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674487B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30BF45D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56</w:t>
            </w:r>
          </w:p>
        </w:tc>
      </w:tr>
      <w:tr w14:paraId="34FC6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192967F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11-40</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786770B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劳技室管理及展示图板</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57B8191D">
            <w:pPr>
              <w:keepNext w:val="0"/>
              <w:keepLines w:val="0"/>
              <w:widowControl/>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1、</w:t>
            </w:r>
            <w:r>
              <w:rPr>
                <w:rFonts w:hint="eastAsia" w:ascii="宋体" w:hAnsi="宋体" w:eastAsia="宋体" w:cs="宋体"/>
                <w:i w:val="0"/>
                <w:iCs w:val="0"/>
                <w:color w:val="auto"/>
                <w:kern w:val="0"/>
                <w:sz w:val="21"/>
                <w:szCs w:val="21"/>
                <w:highlight w:val="none"/>
                <w:u w:val="none"/>
                <w:lang w:val="en-US" w:eastAsia="zh-CN" w:bidi="ar"/>
              </w:rPr>
              <w:t xml:space="preserve">5mm亚克力材质 </w:t>
            </w:r>
            <w:r>
              <w:rPr>
                <w:rFonts w:hint="eastAsia" w:ascii="宋体" w:hAnsi="宋体" w:cs="宋体"/>
                <w:i w:val="0"/>
                <w:iCs w:val="0"/>
                <w:color w:val="auto"/>
                <w:kern w:val="0"/>
                <w:sz w:val="21"/>
                <w:szCs w:val="21"/>
                <w:highlight w:val="none"/>
                <w:u w:val="none"/>
                <w:lang w:val="en-US" w:eastAsia="zh-CN" w:bidi="ar"/>
              </w:rPr>
              <w:t>。</w:t>
            </w:r>
          </w:p>
          <w:p w14:paraId="245D5B7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cs="宋体"/>
                <w:i w:val="0"/>
                <w:iCs w:val="0"/>
                <w:color w:val="auto"/>
                <w:kern w:val="0"/>
                <w:sz w:val="21"/>
                <w:szCs w:val="21"/>
                <w:highlight w:val="none"/>
                <w:u w:val="none"/>
                <w:lang w:val="en-US" w:eastAsia="zh-CN" w:bidi="ar"/>
              </w:rPr>
              <w:t>2、</w:t>
            </w:r>
            <w:r>
              <w:rPr>
                <w:rFonts w:hint="eastAsia" w:ascii="宋体" w:hAnsi="宋体" w:eastAsia="宋体" w:cs="宋体"/>
                <w:i w:val="0"/>
                <w:iCs w:val="0"/>
                <w:color w:val="auto"/>
                <w:kern w:val="0"/>
                <w:sz w:val="21"/>
                <w:szCs w:val="21"/>
                <w:highlight w:val="none"/>
                <w:u w:val="none"/>
                <w:lang w:val="en-US" w:eastAsia="zh-CN" w:bidi="ar"/>
              </w:rPr>
              <w:t>规格尺寸：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800*600mm/张，包含但不限于劳技室管理规则、金工、木工、电工、刺绣、编织等展示图板6张。</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1831C68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6BEC830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108CD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908" w:type="dxa"/>
            <w:tcBorders>
              <w:top w:val="single" w:color="000000" w:sz="4" w:space="0"/>
              <w:left w:val="single" w:color="000000" w:sz="4" w:space="0"/>
              <w:bottom w:val="single" w:color="000000" w:sz="4" w:space="0"/>
              <w:right w:val="single" w:color="000000" w:sz="4" w:space="0"/>
            </w:tcBorders>
            <w:noWrap/>
            <w:vAlign w:val="center"/>
          </w:tcPr>
          <w:p w14:paraId="7DB59D6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11-41</w:t>
            </w:r>
          </w:p>
        </w:tc>
        <w:tc>
          <w:tcPr>
            <w:tcW w:w="1183" w:type="dxa"/>
            <w:tcBorders>
              <w:top w:val="single" w:color="000000" w:sz="4" w:space="0"/>
              <w:left w:val="single" w:color="000000" w:sz="4" w:space="0"/>
              <w:bottom w:val="single" w:color="000000" w:sz="4" w:space="0"/>
              <w:right w:val="single" w:color="000000" w:sz="4" w:space="0"/>
            </w:tcBorders>
            <w:noWrap w:val="0"/>
            <w:vAlign w:val="center"/>
          </w:tcPr>
          <w:p w14:paraId="46354F2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烟感探测器</w:t>
            </w:r>
          </w:p>
        </w:tc>
        <w:tc>
          <w:tcPr>
            <w:tcW w:w="6566" w:type="dxa"/>
            <w:tcBorders>
              <w:top w:val="single" w:color="000000" w:sz="4" w:space="0"/>
              <w:left w:val="single" w:color="000000" w:sz="4" w:space="0"/>
              <w:bottom w:val="single" w:color="000000" w:sz="4" w:space="0"/>
              <w:right w:val="single" w:color="000000" w:sz="4" w:space="0"/>
            </w:tcBorders>
            <w:noWrap w:val="0"/>
            <w:vAlign w:val="center"/>
          </w:tcPr>
          <w:p w14:paraId="605B78C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当发生火灾探测到烟雾时，系统主机和分机应能通过无线方式接受烟感探测器的警报信号，并应能触发“发生火灾”警报提示，并上传到突发事件接警云平台。</w:t>
            </w:r>
          </w:p>
        </w:tc>
        <w:tc>
          <w:tcPr>
            <w:tcW w:w="754" w:type="dxa"/>
            <w:tcBorders>
              <w:top w:val="single" w:color="000000" w:sz="4" w:space="0"/>
              <w:left w:val="single" w:color="000000" w:sz="4" w:space="0"/>
              <w:bottom w:val="single" w:color="000000" w:sz="4" w:space="0"/>
              <w:right w:val="single" w:color="000000" w:sz="4" w:space="0"/>
            </w:tcBorders>
            <w:noWrap w:val="0"/>
            <w:vAlign w:val="center"/>
          </w:tcPr>
          <w:p w14:paraId="5DF9231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669" w:type="dxa"/>
            <w:tcBorders>
              <w:top w:val="single" w:color="000000" w:sz="4" w:space="0"/>
              <w:left w:val="single" w:color="000000" w:sz="4" w:space="0"/>
              <w:bottom w:val="single" w:color="000000" w:sz="4" w:space="0"/>
              <w:right w:val="single" w:color="000000" w:sz="4" w:space="0"/>
            </w:tcBorders>
            <w:noWrap w:val="0"/>
            <w:vAlign w:val="center"/>
          </w:tcPr>
          <w:p w14:paraId="1F1E926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bl>
    <w:p w14:paraId="70A12E0E">
      <w:pPr>
        <w:pStyle w:val="33"/>
        <w:rPr>
          <w:rFonts w:hint="eastAsia"/>
          <w:color w:val="auto"/>
          <w:highlight w:val="none"/>
        </w:rPr>
      </w:pPr>
    </w:p>
    <w:tbl>
      <w:tblPr>
        <w:tblStyle w:val="43"/>
        <w:tblW w:w="5914" w:type="pct"/>
        <w:tblInd w:w="-79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5"/>
        <w:gridCol w:w="1234"/>
        <w:gridCol w:w="6776"/>
        <w:gridCol w:w="736"/>
        <w:gridCol w:w="722"/>
      </w:tblGrid>
      <w:tr w14:paraId="0BCE8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7095943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美术室</w:t>
            </w:r>
          </w:p>
        </w:tc>
      </w:tr>
      <w:tr w14:paraId="1653B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329359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95" w:type="pct"/>
            <w:tcBorders>
              <w:top w:val="single" w:color="000000" w:sz="4" w:space="0"/>
              <w:left w:val="single" w:color="000000" w:sz="4" w:space="0"/>
              <w:bottom w:val="single" w:color="000000" w:sz="4" w:space="0"/>
              <w:right w:val="single" w:color="000000" w:sz="4" w:space="0"/>
            </w:tcBorders>
            <w:noWrap/>
            <w:vAlign w:val="center"/>
          </w:tcPr>
          <w:p w14:paraId="63C996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66" w:type="pct"/>
            <w:tcBorders>
              <w:top w:val="single" w:color="000000" w:sz="4" w:space="0"/>
              <w:left w:val="single" w:color="000000" w:sz="4" w:space="0"/>
              <w:bottom w:val="single" w:color="000000" w:sz="4" w:space="0"/>
              <w:right w:val="single" w:color="000000" w:sz="4" w:space="0"/>
            </w:tcBorders>
            <w:noWrap/>
            <w:vAlign w:val="center"/>
          </w:tcPr>
          <w:p w14:paraId="6E653C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55" w:type="pct"/>
            <w:tcBorders>
              <w:top w:val="single" w:color="000000" w:sz="4" w:space="0"/>
              <w:left w:val="single" w:color="000000" w:sz="4" w:space="0"/>
              <w:bottom w:val="single" w:color="000000" w:sz="4" w:space="0"/>
              <w:right w:val="single" w:color="000000" w:sz="4" w:space="0"/>
            </w:tcBorders>
            <w:noWrap/>
            <w:vAlign w:val="center"/>
          </w:tcPr>
          <w:p w14:paraId="1B98A1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46" w:type="pct"/>
            <w:tcBorders>
              <w:top w:val="single" w:color="000000" w:sz="4" w:space="0"/>
              <w:left w:val="single" w:color="000000" w:sz="4" w:space="0"/>
              <w:bottom w:val="single" w:color="000000" w:sz="4" w:space="0"/>
              <w:right w:val="single" w:color="000000" w:sz="4" w:space="0"/>
            </w:tcBorders>
            <w:noWrap/>
            <w:vAlign w:val="center"/>
          </w:tcPr>
          <w:p w14:paraId="64BAFF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455B7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6C25C2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61A75F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衬布</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34ADA8C8">
            <w:pPr>
              <w:keepNext w:val="0"/>
              <w:keepLines w:val="0"/>
              <w:widowControl/>
              <w:numPr>
                <w:ilvl w:val="0"/>
                <w:numId w:val="3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规格：≥900mm×1200mm。</w:t>
            </w:r>
          </w:p>
          <w:p w14:paraId="7972F2CE">
            <w:pPr>
              <w:keepNext w:val="0"/>
              <w:keepLines w:val="0"/>
              <w:widowControl/>
              <w:numPr>
                <w:ilvl w:val="0"/>
                <w:numId w:val="3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材质：衬布材质为平绒或棉布。</w:t>
            </w:r>
          </w:p>
          <w:p w14:paraId="1EB52252">
            <w:pPr>
              <w:keepNext w:val="0"/>
              <w:keepLines w:val="0"/>
              <w:widowControl/>
              <w:numPr>
                <w:ilvl w:val="0"/>
                <w:numId w:val="3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颜色：灰、淡蓝、红、棕为主。</w:t>
            </w:r>
          </w:p>
          <w:p w14:paraId="299EAA45">
            <w:pPr>
              <w:keepNext w:val="0"/>
              <w:keepLines w:val="0"/>
              <w:widowControl/>
              <w:numPr>
                <w:ilvl w:val="0"/>
                <w:numId w:val="3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产品易于清洗，耐用，不退色。</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75327F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3D924F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4CC23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3AB491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2242ED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写生凳</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402FBDA6">
            <w:pPr>
              <w:keepNext w:val="0"/>
              <w:keepLines w:val="0"/>
              <w:widowControl/>
              <w:numPr>
                <w:ilvl w:val="0"/>
                <w:numId w:val="3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规格：≥350mm×300mm×400mm</w:t>
            </w:r>
            <w:r>
              <w:rPr>
                <w:rFonts w:hint="eastAsia" w:ascii="宋体" w:hAnsi="宋体" w:cs="宋体"/>
                <w:i w:val="0"/>
                <w:iCs w:val="0"/>
                <w:color w:val="auto"/>
                <w:kern w:val="0"/>
                <w:sz w:val="22"/>
                <w:szCs w:val="22"/>
                <w:highlight w:val="none"/>
                <w:u w:val="none"/>
                <w:lang w:val="en-US" w:eastAsia="zh-CN" w:bidi="ar"/>
              </w:rPr>
              <w:t>。</w:t>
            </w:r>
          </w:p>
          <w:p w14:paraId="664589D4">
            <w:pPr>
              <w:keepNext w:val="0"/>
              <w:keepLines w:val="0"/>
              <w:widowControl/>
              <w:numPr>
                <w:ilvl w:val="0"/>
                <w:numId w:val="3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材质：优质木材、凳面20mm</w:t>
            </w:r>
            <w:r>
              <w:rPr>
                <w:rFonts w:hint="eastAsia" w:ascii="宋体" w:hAnsi="宋体" w:cs="宋体"/>
                <w:i w:val="0"/>
                <w:iCs w:val="0"/>
                <w:color w:val="auto"/>
                <w:kern w:val="0"/>
                <w:sz w:val="22"/>
                <w:szCs w:val="22"/>
                <w:highlight w:val="none"/>
                <w:u w:val="none"/>
                <w:lang w:val="en-US" w:eastAsia="zh-CN" w:bidi="ar"/>
              </w:rPr>
              <w:t>。</w:t>
            </w:r>
          </w:p>
          <w:p w14:paraId="36A1BFAB">
            <w:pPr>
              <w:keepNext w:val="0"/>
              <w:keepLines w:val="0"/>
              <w:widowControl/>
              <w:numPr>
                <w:ilvl w:val="0"/>
                <w:numId w:val="3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要求：可折叠，携带方便，支撑稳定，牢固可靠，工艺精细，表面光洁，环保清漆处理，漆面均匀光亮。</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47E035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1C8B56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w:t>
            </w:r>
          </w:p>
        </w:tc>
      </w:tr>
      <w:tr w14:paraId="2826A7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7DDA41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12-3</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4225B6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写生灯</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017905B4">
            <w:pPr>
              <w:keepNext w:val="0"/>
              <w:keepLines w:val="0"/>
              <w:widowControl/>
              <w:numPr>
                <w:ilvl w:val="0"/>
                <w:numId w:val="4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包装1.外包装：符合JY0001-2003的有关要求2.销售包装：符合JY0001-2003的有关要求3.内包装：符合JY0001-2003的有关要求</w:t>
            </w:r>
            <w:r>
              <w:rPr>
                <w:rFonts w:hint="eastAsia" w:ascii="宋体" w:hAnsi="宋体" w:cs="宋体"/>
                <w:i w:val="0"/>
                <w:iCs w:val="0"/>
                <w:color w:val="auto"/>
                <w:kern w:val="0"/>
                <w:sz w:val="22"/>
                <w:szCs w:val="22"/>
                <w:highlight w:val="none"/>
                <w:u w:val="none"/>
                <w:lang w:val="en-US" w:eastAsia="zh-CN" w:bidi="ar"/>
              </w:rPr>
              <w:t>。</w:t>
            </w:r>
          </w:p>
          <w:p w14:paraId="73759736">
            <w:pPr>
              <w:keepNext w:val="0"/>
              <w:keepLines w:val="0"/>
              <w:widowControl/>
              <w:numPr>
                <w:ilvl w:val="0"/>
                <w:numId w:val="40"/>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开箱1.标志：符合JY0001-2003的有关要求2.合格证：符合JY0001-2003的有关要求3.使用说明：符合JY0001-2003的有关要求</w:t>
            </w:r>
          </w:p>
          <w:p w14:paraId="21888678">
            <w:pPr>
              <w:keepNext w:val="0"/>
              <w:keepLines w:val="0"/>
              <w:widowControl/>
              <w:numPr>
                <w:ilvl w:val="0"/>
                <w:numId w:val="40"/>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外观1、塑料件①、表面平整、清洁，造型美观、色彩协调②、无擦伤、划痕③、无溶剂、缩迹、无气泡④、无烧粉和夹生⑤.边缘无毛刺⑥.边缘无变形、破边和凹凸不平⑦.无明显浇口和飞边2、金属件①.防锈处理，防锈层牢固②.无锈蚀③.表面不应有明显的划痕和碰撞坑疤④.无尖角毛刺⑤.薄板拉伸件无裂纹和皱褶⑥.冲压件无飞边3、覆盖层①.电镀层表面致密、平滑、均匀②.电镀层无气泡、针孔、剥层、水迹和覆盖不严的地方③.不应有树枝状和海绵状电镀层④.电镀层不应有斑点和条纹⑤.漆层附着牢固，不脱落⑥.漆层表面平整光洁、色调美观、薄厚均匀⑦.漆层不应有留疤、龟裂、皱皮、剥落和露底</w:t>
            </w:r>
          </w:p>
          <w:p w14:paraId="1994938F">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四、</w:t>
            </w:r>
            <w:r>
              <w:rPr>
                <w:rFonts w:hint="eastAsia" w:ascii="宋体" w:hAnsi="宋体" w:eastAsia="宋体" w:cs="宋体"/>
                <w:i w:val="0"/>
                <w:iCs w:val="0"/>
                <w:color w:val="auto"/>
                <w:kern w:val="0"/>
                <w:sz w:val="22"/>
                <w:szCs w:val="22"/>
                <w:highlight w:val="none"/>
                <w:u w:val="none"/>
                <w:lang w:val="en-US" w:eastAsia="zh-CN" w:bidi="ar"/>
              </w:rPr>
              <w:t>结构1、一般要求①.底座和支撑部件应有足够的稳定性，便于调整安放②.转到部分不应能达到规定的调节范围，调整可靠③.调节部位应能达到规定的调节范围，调节可靠④.定位和止推机构应定位准确、端正牢固、不应有错位、歪斜和松脱⑤紧固件不应脱口、劈头、断裂和歪斜⑥.控制操作件及开关应可靠耐用，松紧适度，手感舒适⑦.以薄板为主体材料的产品或部件，应有足够的刚性，不因正常使用而变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2、具体要求①.规格：立式三节可升降、最大调节高度2400mm、照射角度0°-120°；②、材质：球形灯罩：金属材料，灯杆：钢管，表面镀铬，塑料旋钮，内置弹簧。③、要求：表面光滑、无锈斑、划痕。</w:t>
            </w:r>
          </w:p>
          <w:p w14:paraId="5AA63D29">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五、</w:t>
            </w:r>
            <w:r>
              <w:rPr>
                <w:rFonts w:hint="eastAsia" w:ascii="宋体" w:hAnsi="宋体" w:eastAsia="宋体" w:cs="宋体"/>
                <w:i w:val="0"/>
                <w:iCs w:val="0"/>
                <w:color w:val="auto"/>
                <w:kern w:val="0"/>
                <w:sz w:val="22"/>
                <w:szCs w:val="22"/>
                <w:highlight w:val="none"/>
                <w:u w:val="none"/>
                <w:lang w:val="en-US" w:eastAsia="zh-CN" w:bidi="ar"/>
              </w:rPr>
              <w:t>安全1.绝缘电阻：仪器处于非工作状态，电源开关置于接通位置，用500V兆欧表测仪器电源进线与机壳绝缘电阻20ΜΩ2.抗电强度：仪器处于非工作状态，电源开关置于接通位置，仪器电源进线与机壳间馈给1.5KV实验电压，无飞狐和击穿现象</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73FBA0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0E12F5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07514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5EFC43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12-4</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10F620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工作台</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1116A3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一、适用范围：适用于美术教学使用。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技术要求：1．面板：采用三聚氰胺板，优质PVC封边，圆角处理，厚度≥25mm；2．规格：尺寸≥1800mm×800mm×750mm，可折叠；3.底部为≥40mm×40mm、壁厚≥0.9mm方管焊接成型的对折式支撑架；4．台架工艺要求：表面经酸洗磷化处理，静电喷涂，无虚焊、无焊渣，焊点光滑、美观，结构稳固，漆面不脱落，圆柱形升降可调式4个防滑地脚垫。</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3EFB5B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1DF3CD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1880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13960A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2FC6DA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学生凳</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0E9F7493">
            <w:pPr>
              <w:keepNext w:val="0"/>
              <w:keepLines w:val="0"/>
              <w:widowControl/>
              <w:numPr>
                <w:ilvl w:val="0"/>
                <w:numId w:val="41"/>
              </w:numPr>
              <w:suppressLineNumbers w:val="0"/>
              <w:jc w:val="left"/>
              <w:textAlignment w:val="center"/>
              <w:rPr>
                <w:rStyle w:val="180"/>
                <w:color w:val="auto"/>
                <w:highlight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格：</w:t>
            </w:r>
            <w:r>
              <w:rPr>
                <w:rStyle w:val="180"/>
                <w:color w:val="auto"/>
                <w:highlight w:val="none"/>
                <w:lang w:val="en-US" w:eastAsia="zh-CN" w:bidi="ar"/>
              </w:rPr>
              <w:t xml:space="preserve"> ≥320*230*440mm，定制。</w:t>
            </w:r>
          </w:p>
          <w:p w14:paraId="3345316A">
            <w:pPr>
              <w:keepNext w:val="0"/>
              <w:keepLines w:val="0"/>
              <w:widowControl/>
              <w:numPr>
                <w:ilvl w:val="0"/>
                <w:numId w:val="41"/>
              </w:numPr>
              <w:suppressLineNumbers w:val="0"/>
              <w:jc w:val="left"/>
              <w:textAlignment w:val="center"/>
              <w:rPr>
                <w:rFonts w:hint="eastAsia" w:ascii="宋体" w:hAnsi="宋体" w:eastAsia="宋体" w:cs="宋体"/>
                <w:i w:val="0"/>
                <w:iCs w:val="0"/>
                <w:color w:val="auto"/>
                <w:sz w:val="22"/>
                <w:szCs w:val="22"/>
                <w:highlight w:val="none"/>
                <w:u w:val="none"/>
              </w:rPr>
            </w:pPr>
            <w:r>
              <w:rPr>
                <w:rStyle w:val="180"/>
                <w:color w:val="auto"/>
                <w:highlight w:val="none"/>
                <w:lang w:val="en-US" w:eastAsia="zh-CN" w:bidi="ar"/>
              </w:rPr>
              <w:t>材质：主体实木（如松木、樟木等），整体采用榫卯工艺，整体清漆，凳面板材厚度≥18mm，凳腿加粗且含4根横梁加固。</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238ED6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0407D8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r w14:paraId="29F84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659D3F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12-6</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3CD5C7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美术教学用品柜</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0EB1C2AD">
            <w:pPr>
              <w:keepNext w:val="0"/>
              <w:keepLines w:val="0"/>
              <w:widowControl/>
              <w:numPr>
                <w:ilvl w:val="0"/>
                <w:numId w:val="4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1800*850*380mm</w:t>
            </w:r>
            <w:r>
              <w:rPr>
                <w:rFonts w:hint="eastAsia" w:ascii="宋体" w:hAnsi="宋体" w:cs="宋体"/>
                <w:i w:val="0"/>
                <w:iCs w:val="0"/>
                <w:color w:val="auto"/>
                <w:kern w:val="0"/>
                <w:sz w:val="22"/>
                <w:szCs w:val="22"/>
                <w:highlight w:val="none"/>
                <w:u w:val="none"/>
                <w:lang w:val="en-US" w:eastAsia="zh-CN" w:bidi="ar"/>
              </w:rPr>
              <w:t>。</w:t>
            </w:r>
          </w:p>
          <w:p w14:paraId="65EA821D">
            <w:pPr>
              <w:keepNext w:val="0"/>
              <w:keepLines w:val="0"/>
              <w:widowControl/>
              <w:numPr>
                <w:ilvl w:val="0"/>
                <w:numId w:val="4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材质采用</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0.8mm厚度冷轧钢材</w:t>
            </w:r>
            <w:r>
              <w:rPr>
                <w:rFonts w:hint="eastAsia" w:ascii="宋体" w:hAnsi="宋体" w:cs="宋体"/>
                <w:i w:val="0"/>
                <w:iCs w:val="0"/>
                <w:color w:val="auto"/>
                <w:kern w:val="0"/>
                <w:sz w:val="22"/>
                <w:szCs w:val="22"/>
                <w:highlight w:val="none"/>
                <w:u w:val="none"/>
                <w:lang w:val="en-US" w:eastAsia="zh-CN" w:bidi="ar"/>
              </w:rPr>
              <w:t>。</w:t>
            </w:r>
          </w:p>
          <w:p w14:paraId="381C1F83">
            <w:pPr>
              <w:keepNext w:val="0"/>
              <w:keepLines w:val="0"/>
              <w:widowControl/>
              <w:numPr>
                <w:ilvl w:val="0"/>
                <w:numId w:val="4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采用金属结构，结构为上下结构，上部镶装3mm后浮化玻璃对开门，两棚三格，下部0.8mm 冷轧钢板对开门，一棚两格</w:t>
            </w:r>
            <w:r>
              <w:rPr>
                <w:rFonts w:hint="eastAsia" w:ascii="宋体" w:hAnsi="宋体" w:cs="宋体"/>
                <w:i w:val="0"/>
                <w:iCs w:val="0"/>
                <w:color w:val="auto"/>
                <w:kern w:val="0"/>
                <w:sz w:val="22"/>
                <w:szCs w:val="22"/>
                <w:highlight w:val="none"/>
                <w:u w:val="none"/>
                <w:lang w:val="en-US" w:eastAsia="zh-CN" w:bidi="ar"/>
              </w:rPr>
              <w:t>。</w:t>
            </w:r>
          </w:p>
          <w:p w14:paraId="4CB8C782">
            <w:pPr>
              <w:keepNext w:val="0"/>
              <w:keepLines w:val="0"/>
              <w:widowControl/>
              <w:numPr>
                <w:ilvl w:val="0"/>
                <w:numId w:val="4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内部隔板采用</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0.8mm冷轧钢板；表面经酸洗磷化，全封闭静电喷塑。</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13240F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11F698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42524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1C3DDA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12-7</w:t>
            </w:r>
          </w:p>
        </w:tc>
        <w:tc>
          <w:tcPr>
            <w:tcW w:w="595" w:type="pct"/>
            <w:tcBorders>
              <w:top w:val="single" w:color="000000" w:sz="4" w:space="0"/>
              <w:left w:val="single" w:color="000000" w:sz="4" w:space="0"/>
              <w:bottom w:val="single" w:color="000000" w:sz="4" w:space="0"/>
              <w:right w:val="single" w:color="000000" w:sz="4" w:space="0"/>
            </w:tcBorders>
            <w:noWrap/>
            <w:vAlign w:val="center"/>
          </w:tcPr>
          <w:p w14:paraId="34DAAA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静物台</w:t>
            </w:r>
          </w:p>
        </w:tc>
        <w:tc>
          <w:tcPr>
            <w:tcW w:w="3266" w:type="pct"/>
            <w:tcBorders>
              <w:top w:val="single" w:color="000000" w:sz="4" w:space="0"/>
              <w:left w:val="single" w:color="000000" w:sz="4" w:space="0"/>
              <w:bottom w:val="single" w:color="000000" w:sz="4" w:space="0"/>
              <w:right w:val="single" w:color="000000" w:sz="4" w:space="0"/>
            </w:tcBorders>
            <w:noWrap w:val="0"/>
            <w:vAlign w:val="top"/>
          </w:tcPr>
          <w:p w14:paraId="69C558DA">
            <w:pPr>
              <w:keepNext w:val="0"/>
              <w:keepLines w:val="0"/>
              <w:widowControl/>
              <w:numPr>
                <w:ilvl w:val="0"/>
                <w:numId w:val="43"/>
              </w:numPr>
              <w:suppressLineNumbers w:val="0"/>
              <w:jc w:val="left"/>
              <w:textAlignment w:val="top"/>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包装1.外包装：符合JY 0001-2003 的有关要求，2.销售包装：符合JY 0001-2003 的有关要求，3.内包装：符合JY 0001-2003 的有关要求</w:t>
            </w:r>
            <w:r>
              <w:rPr>
                <w:rFonts w:hint="eastAsia" w:ascii="宋体" w:hAnsi="宋体" w:cs="宋体"/>
                <w:i w:val="0"/>
                <w:iCs w:val="0"/>
                <w:color w:val="auto"/>
                <w:kern w:val="0"/>
                <w:sz w:val="22"/>
                <w:szCs w:val="22"/>
                <w:highlight w:val="none"/>
                <w:u w:val="none"/>
                <w:lang w:val="en-US" w:eastAsia="zh-CN" w:bidi="ar"/>
              </w:rPr>
              <w:t>。</w:t>
            </w:r>
          </w:p>
          <w:p w14:paraId="423290A5">
            <w:pPr>
              <w:keepNext w:val="0"/>
              <w:keepLines w:val="0"/>
              <w:widowControl/>
              <w:numPr>
                <w:ilvl w:val="0"/>
                <w:numId w:val="43"/>
              </w:numPr>
              <w:suppressLineNumbers w:val="0"/>
              <w:jc w:val="left"/>
              <w:textAlignment w:val="top"/>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开箱1.标志：符合JY 0001-2003 的有关要求，2.合格证：符合JY 0001-2003 的有关要求，3.使用说明：符合JY 0001-2003 的有关要求</w:t>
            </w:r>
            <w:r>
              <w:rPr>
                <w:rFonts w:hint="eastAsia" w:ascii="宋体" w:hAnsi="宋体" w:cs="宋体"/>
                <w:i w:val="0"/>
                <w:iCs w:val="0"/>
                <w:color w:val="auto"/>
                <w:kern w:val="0"/>
                <w:sz w:val="22"/>
                <w:szCs w:val="22"/>
                <w:highlight w:val="none"/>
                <w:u w:val="none"/>
                <w:lang w:val="en-US" w:eastAsia="zh-CN" w:bidi="ar"/>
              </w:rPr>
              <w:t>。</w:t>
            </w:r>
          </w:p>
          <w:p w14:paraId="0C0B5B4D">
            <w:pPr>
              <w:keepNext w:val="0"/>
              <w:keepLines w:val="0"/>
              <w:widowControl/>
              <w:numPr>
                <w:ilvl w:val="0"/>
                <w:numId w:val="43"/>
              </w:numPr>
              <w:suppressLineNumbers w:val="0"/>
              <w:jc w:val="left"/>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观：1.金属件：①防锈处理、防锈层牢固②无锈蚀③表面不应有明显的划痕和碰撞坑疤④无尖角毛刺⑤.薄板拉伸件无裂痕和皱褶⑥.冲压件无飞边2.覆盖层：①.电镀层表面致密、平滑、均匀②.电镀层无起泡、针孔、剥层、水迹和覆盖不严地方③.不应有树枝状和海绵状电镀层④.电镀层不应有斑点和条纹⑤.喷塑层表面应光洁平整、薄厚均匀、附着力强⑥. 喷塑层无露底色、污点、混色3.木制件：①.平整清洁②.表面不应有明显的檫伤、划痕和碰撞坑疤③．无霉变、虫眼、死节、树脂漆④.无明显变形</w:t>
            </w:r>
            <w:r>
              <w:rPr>
                <w:rFonts w:hint="eastAsia" w:ascii="宋体" w:hAnsi="宋体" w:cs="宋体"/>
                <w:i w:val="0"/>
                <w:iCs w:val="0"/>
                <w:color w:val="auto"/>
                <w:kern w:val="0"/>
                <w:sz w:val="22"/>
                <w:szCs w:val="22"/>
                <w:highlight w:val="none"/>
                <w:u w:val="none"/>
                <w:lang w:val="en-US" w:eastAsia="zh-CN" w:bidi="ar"/>
              </w:rPr>
              <w:t>；</w:t>
            </w:r>
          </w:p>
          <w:p w14:paraId="51C72005">
            <w:pPr>
              <w:keepNext w:val="0"/>
              <w:keepLines w:val="0"/>
              <w:widowControl/>
              <w:numPr>
                <w:ilvl w:val="0"/>
                <w:numId w:val="43"/>
              </w:numPr>
              <w:suppressLineNumbers w:val="0"/>
              <w:jc w:val="left"/>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结构1.一般要求：①.结构合理，工艺性好②.底座和支撑部件应有足够的稳定性，便于调整安放③.调节部件应能达到规定的调节范围，调整方便可靠④.紧固件不应脱扣、劈头、断裂和歪斜⑤.以薄板为主体材料的产品或部件，应有足够的刚性， 不因正常使用而变形2.台面具体要求：①.桌面尺寸；600 mm×600 mm。</w:t>
            </w:r>
            <w:r>
              <w:rPr>
                <w:rStyle w:val="185"/>
                <w:rFonts w:eastAsia="宋体"/>
                <w:color w:val="auto"/>
                <w:highlight w:val="none"/>
                <w:lang w:val="en-US" w:eastAsia="zh-CN" w:bidi="ar"/>
              </w:rPr>
              <w:t>②</w:t>
            </w:r>
            <w:r>
              <w:rPr>
                <w:rStyle w:val="171"/>
                <w:color w:val="auto"/>
                <w:highlight w:val="none"/>
                <w:lang w:val="en-US" w:eastAsia="zh-CN" w:bidi="ar"/>
              </w:rPr>
              <w:t>台面具防水、防火、耐磨、不易破碎、表面光亮、美观大方， 桌面能修能补能翻新、持久耐用③.侧面采用三聚氰胺脂双饰面，优质PVC 封边。</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0E19C5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ign w:val="center"/>
          </w:tcPr>
          <w:p w14:paraId="136D3A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12CF1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1637F3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12-8</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12B925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磁性白黑板</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105982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1、≥60CM*90CM覆盖层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①电镀层表面致密、平滑、均匀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②电镀层不应有斑点和条纹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③漆层附着牢固，不脱落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④漆层表面平整光滑、色调美观、薄厚均匀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⑤漆层不应有流疤、龟裂、皱皮、剥落和露底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其他：面板色彩柔和，不反光，不刺眼，有益于视力保护结构：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、一般要求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①结构合理，工艺性好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②可移动的教学仪器设备应有提手或辅助提手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③以薄板为主体材料的产品或部件，应有足够的刚性，不因正常使用而变形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、组成及尺寸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①产品应采用板面、双层烤漆，易书写、易擦净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②表面平整光滑、无划痕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③白板外形尺寸：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60cm×90cm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④白板四周应有铝合金包边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⑤白板四角应用塑料包边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⑥白板的相对边应有提手或悬挂装置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⑦应配有白板笔、板刷、磁石套装配件。</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346434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475E3C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FB7E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603A5D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12-9</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64F159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展示画框</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765BB479">
            <w:pPr>
              <w:keepNext w:val="0"/>
              <w:keepLines w:val="0"/>
              <w:widowControl/>
              <w:numPr>
                <w:ilvl w:val="0"/>
                <w:numId w:val="44"/>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≥60cm×45cm，边框2.2×2.8cm，配背板，玻璃，挂钩</w:t>
            </w:r>
            <w:r>
              <w:rPr>
                <w:rFonts w:hint="eastAsia" w:ascii="宋体" w:hAnsi="宋体" w:cs="宋体"/>
                <w:i w:val="0"/>
                <w:iCs w:val="0"/>
                <w:color w:val="auto"/>
                <w:kern w:val="0"/>
                <w:sz w:val="22"/>
                <w:szCs w:val="22"/>
                <w:highlight w:val="none"/>
                <w:u w:val="none"/>
                <w:lang w:val="en-US" w:eastAsia="zh-CN" w:bidi="ar"/>
              </w:rPr>
              <w:t>。</w:t>
            </w:r>
          </w:p>
          <w:p w14:paraId="0F81BDB7">
            <w:pPr>
              <w:keepNext w:val="0"/>
              <w:keepLines w:val="0"/>
              <w:widowControl/>
              <w:numPr>
                <w:ilvl w:val="0"/>
                <w:numId w:val="4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由框架、玻璃面板、底板、锁扣等组成</w:t>
            </w:r>
            <w:r>
              <w:rPr>
                <w:rFonts w:hint="eastAsia" w:ascii="宋体" w:hAnsi="宋体" w:cs="宋体"/>
                <w:i w:val="0"/>
                <w:iCs w:val="0"/>
                <w:color w:val="auto"/>
                <w:kern w:val="0"/>
                <w:sz w:val="22"/>
                <w:szCs w:val="22"/>
                <w:highlight w:val="none"/>
                <w:u w:val="none"/>
                <w:lang w:val="en-US" w:eastAsia="zh-CN" w:bidi="ar"/>
              </w:rPr>
              <w:t>。</w:t>
            </w:r>
          </w:p>
          <w:p w14:paraId="4F788E42">
            <w:pPr>
              <w:keepNext w:val="0"/>
              <w:keepLines w:val="0"/>
              <w:widowControl/>
              <w:numPr>
                <w:ilvl w:val="0"/>
                <w:numId w:val="4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玻璃面板≥2㎜.（或透明塑料面板）悬挂件牢固、可靠，能承受自身重力的2～3倍。</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464C9F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0F29B9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66318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100F01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12-10</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02B74E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展示画框</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64206B16">
            <w:pPr>
              <w:keepNext w:val="0"/>
              <w:keepLines w:val="0"/>
              <w:widowControl/>
              <w:numPr>
                <w:ilvl w:val="0"/>
                <w:numId w:val="4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≥60cm×90cm，边框2.2×2.8cm，配背板，玻璃，挂钩。</w:t>
            </w:r>
          </w:p>
          <w:p w14:paraId="46C69432">
            <w:pPr>
              <w:keepNext w:val="0"/>
              <w:keepLines w:val="0"/>
              <w:widowControl/>
              <w:numPr>
                <w:ilvl w:val="0"/>
                <w:numId w:val="4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由框架、玻璃面板、底板、锁扣等组成</w:t>
            </w:r>
            <w:r>
              <w:rPr>
                <w:rFonts w:hint="eastAsia" w:ascii="宋体" w:hAnsi="宋体" w:cs="宋体"/>
                <w:i w:val="0"/>
                <w:iCs w:val="0"/>
                <w:color w:val="auto"/>
                <w:kern w:val="0"/>
                <w:sz w:val="22"/>
                <w:szCs w:val="22"/>
                <w:highlight w:val="none"/>
                <w:u w:val="none"/>
                <w:lang w:val="en-US" w:eastAsia="zh-CN" w:bidi="ar"/>
              </w:rPr>
              <w:t>。</w:t>
            </w:r>
          </w:p>
          <w:p w14:paraId="02046EDF">
            <w:pPr>
              <w:keepNext w:val="0"/>
              <w:keepLines w:val="0"/>
              <w:widowControl/>
              <w:numPr>
                <w:ilvl w:val="0"/>
                <w:numId w:val="4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玻璃面板≥2㎜.（或透明塑料面板）悬挂件牢固、可靠，能承受自身重力的2～3倍。</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51EA53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393924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6DDA4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2CC78E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w:t>
            </w:r>
            <w:r>
              <w:rPr>
                <w:rFonts w:hint="eastAsia" w:ascii="宋体" w:hAnsi="宋体" w:cs="宋体"/>
                <w:i w:val="0"/>
                <w:iCs w:val="0"/>
                <w:color w:val="auto"/>
                <w:kern w:val="0"/>
                <w:sz w:val="22"/>
                <w:szCs w:val="22"/>
                <w:highlight w:val="none"/>
                <w:u w:val="none"/>
                <w:lang w:val="en-US" w:eastAsia="zh-CN" w:bidi="ar"/>
              </w:rPr>
              <w:t>1</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786FF4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写生画板</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04F0BEAA">
            <w:pPr>
              <w:keepNext w:val="0"/>
              <w:keepLines w:val="0"/>
              <w:widowControl/>
              <w:numPr>
                <w:ilvl w:val="0"/>
                <w:numId w:val="4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适用范围：适用于中学美术教学用。</w:t>
            </w:r>
          </w:p>
          <w:p w14:paraId="71683AA8">
            <w:pPr>
              <w:keepNext w:val="0"/>
              <w:keepLines w:val="0"/>
              <w:widowControl/>
              <w:numPr>
                <w:ilvl w:val="0"/>
                <w:numId w:val="46"/>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技术要求：1、规格：450mm×300mm×18mm；2、材质：双面椴木三合板，四周实木边框；3、要求：边框宽≥4mm，边框气钉眼需进行表面处理。整体板面平整、表面光滑、洁净、无毛刺。</w:t>
            </w:r>
          </w:p>
          <w:p w14:paraId="000BFE57">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三、产品应符合JY0001-2003《教学仪器产品一般质量要求》的有关规定。</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5FBDB3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5180A6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w:t>
            </w:r>
          </w:p>
        </w:tc>
      </w:tr>
      <w:tr w14:paraId="00523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289F1D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12-12</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70BE83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人体结构活动模型</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5D2A77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高≥40cm，木质，仿照人体比例设计，每处关节均可随意灵活转动，底部有防滑布，可任意造型，供绘画者临摹。</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196231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409E2A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0A4C5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2B0E5A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12-13</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73C7D5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云台</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75D71415">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直径不小于18cm，高不小于3cm</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169516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3AF24E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w:t>
            </w:r>
          </w:p>
        </w:tc>
      </w:tr>
      <w:tr w14:paraId="54988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3B1E4E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12-14</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6EB99F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泥工工具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31BA05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泥塑刀6把、环形刀3把、刮刀2把、切割线1套、刮板1件、拍板1件、型板1块、喷壶1个、海绵1块</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307836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1B9656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w:t>
            </w:r>
          </w:p>
        </w:tc>
      </w:tr>
      <w:tr w14:paraId="42BC8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766C6A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12-15</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6701A1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民间美术欣赏及写生样本</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26C62E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中国结、京剧脸谱、扎染、蜡染、皮影、年画、木板年画、剪纸、面具、泥塑、玩具、风车、纹样、风筝、唐三彩、彩陶器、瓷器等</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554BC8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451155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03B8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1484E6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12-16</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58CDBF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美术学具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3A55E0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毛笔、小剪刀、调色盘、笔洗、美工刀、水溶性油墨、黑色胶滚、毛毡、刻纸刀、水粉画笔、调色盒、直尺</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4C4E7B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5871AF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w:t>
            </w:r>
          </w:p>
        </w:tc>
      </w:tr>
      <w:tr w14:paraId="1FDF6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56BA57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12-17</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7054FC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写生画箱</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62CAFD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一、包装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1、外包装：符合JY0001-2003的有关要求2、销售包装：符合JY0001-2003的有关要求3、内包装：符合JY0001-2003的有关要求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二、开箱1、标志：符合JY0001-2003的有关要求2、合格证：符合JY0001-2003的有关要求3、使用说明：符合JY0001-2003的有关要求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三、外观：1、木制件①平整整洁②表面不应有明显的擦伤、划痕和碰撞坑疤③无霉变、虫眼、死节、树脂漆④无明显变形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2、金属件：①金属件防锈处理、防锈层牢固②金属件无锈蚀③表面不应有明显的划痕和碰撞坑疤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3、覆盖层：①电镀层表面致密、平滑、均衡②电镀层无气泡、针孔、剥层、水迹和覆盖不严的地方③不应有树枝状和海绵状电镀层④电镀层不应有斑点和条纹⑤镀件的边缘和棱角不得有粗糙的结晶和烧痕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四、结构：1、一般要求①可移动的教学仪器设备应有提手或辅助提手②底座和支撑部件应有足够的稳定性，便于调整安防③调节部件应能达到规定的调节范围，调整方便可靠④定位和止推机构应定位准确、端正牢固，不应有错位、歪斜和松脱⑤紧固件不应脱扣、劈头、断裂和歪斜⑥组合仪器应易拆装、连接可靠、取放携带便利⑦木材应经干燥处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体要求：①箱体规格：不小于470mm×330mm×85mm②箱体为木质③便携式、带手提，背景为混纺编织带④箱内分五格，内配雕色盘1件、木质调色板1件⑤附支架1件，支架可打开闭合，金属腿可伸缩、折叠⑥支架打开后高度可达840mm</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2F9560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6DBB42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1C96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57"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5BC25A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12-18</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1A70C0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写生教具（1）</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18D4C39B">
            <w:pPr>
              <w:keepNext w:val="0"/>
              <w:keepLines w:val="0"/>
              <w:widowControl/>
              <w:numPr>
                <w:ilvl w:val="0"/>
                <w:numId w:val="47"/>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石膏像：阿古力巴（切面）、腊空（半面）、太阳神（头像）、海盗（头像）、小大卫（头像）、亚历山大（头像），轮廓正确、比例协调，结构简明，重点特征突出，便于艺术观察或教学演示</w:t>
            </w:r>
            <w:r>
              <w:rPr>
                <w:rFonts w:hint="eastAsia" w:ascii="宋体" w:hAnsi="宋体" w:cs="宋体"/>
                <w:i w:val="0"/>
                <w:iCs w:val="0"/>
                <w:color w:val="auto"/>
                <w:kern w:val="0"/>
                <w:sz w:val="22"/>
                <w:szCs w:val="22"/>
                <w:highlight w:val="none"/>
                <w:u w:val="none"/>
                <w:lang w:val="en-US" w:eastAsia="zh-CN" w:bidi="ar"/>
              </w:rPr>
              <w:t>；</w:t>
            </w:r>
          </w:p>
          <w:p w14:paraId="0C9464E2">
            <w:pPr>
              <w:keepNext w:val="0"/>
              <w:keepLines w:val="0"/>
              <w:widowControl/>
              <w:numPr>
                <w:ilvl w:val="0"/>
                <w:numId w:val="4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表面处理：经粗磨、细磨、精磨多道工序，无毛刺、颗粒感，平整度优异。色泽：整体色泽均匀一致，呈天然石膏本色或统一哑光白色，无反光、色差；涂层质量：无污痕、皱纹、明显划痕、砂眼、流痕等缺陷</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29889C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60E772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6B79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51D0A0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12-19</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2498A7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写生教具（2）</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3C164812">
            <w:pPr>
              <w:keepNext w:val="0"/>
              <w:keepLines w:val="0"/>
              <w:widowControl/>
              <w:numPr>
                <w:ilvl w:val="0"/>
                <w:numId w:val="4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石膏几何形体：圆球、长方体、正方体、圆柱体、六棱柱、圆锥、方锥、方带方、圆锥带圆、十二面体。分形面线条清晰，外形准确，无缺角、变形。</w:t>
            </w:r>
          </w:p>
          <w:p w14:paraId="42E4A82D">
            <w:pPr>
              <w:keepNext w:val="0"/>
              <w:keepLines w:val="0"/>
              <w:widowControl/>
              <w:numPr>
                <w:ilvl w:val="0"/>
                <w:numId w:val="4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表面处理：经粗磨、细磨、精磨多道工序，无毛刺、颗粒感，平整度优异。</w:t>
            </w:r>
          </w:p>
          <w:p w14:paraId="25DEB2AD">
            <w:pPr>
              <w:keepNext w:val="0"/>
              <w:keepLines w:val="0"/>
              <w:widowControl/>
              <w:numPr>
                <w:ilvl w:val="0"/>
                <w:numId w:val="4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色泽：整体色泽均匀一致，呈天然石膏本色或统一哑光白色，无反光、色差；涂层质量：无污痕、皱纹、明显划痕、砂眼、流痕等缺陷</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4040DD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0471D8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2462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440DAE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12-20</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5459D5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画架</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00D9C61B">
            <w:pPr>
              <w:keepNext w:val="0"/>
              <w:keepLines w:val="0"/>
              <w:widowControl/>
              <w:numPr>
                <w:ilvl w:val="0"/>
                <w:numId w:val="4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包装:1、外包装：符合JY0001-2003的有关要求</w:t>
            </w:r>
            <w:r>
              <w:rPr>
                <w:rFonts w:hint="eastAsia" w:ascii="宋体" w:hAnsi="宋体" w:cs="宋体"/>
                <w:i w:val="0"/>
                <w:iCs w:val="0"/>
                <w:color w:val="auto"/>
                <w:kern w:val="0"/>
                <w:sz w:val="22"/>
                <w:szCs w:val="22"/>
                <w:highlight w:val="none"/>
                <w:u w:val="none"/>
                <w:lang w:val="en-US" w:eastAsia="zh-CN" w:bidi="ar"/>
              </w:rPr>
              <w:t>。</w:t>
            </w:r>
          </w:p>
          <w:p w14:paraId="2D7EFEC7">
            <w:pPr>
              <w:keepNext w:val="0"/>
              <w:keepLines w:val="0"/>
              <w:widowControl/>
              <w:numPr>
                <w:ilvl w:val="0"/>
                <w:numId w:val="5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销售包装：符合JY0001-2003的有关要求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3、内包装：符合JY0001-2003的有关要求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二、开箱:1、标志：符合JY0001-2003的有关要求2、合格证：符合JY0001-2003的有关要求3、使用说明：符合JY0001-2003的有关要求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三、外观: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1、金属件:①金属件防锈处理，防锈层牢固②金属件无锈蚀③表面不应有明显的划痕和碰撞坑疤④金属件无尖角毛刺⑤冲压件无飞边</w:t>
            </w:r>
            <w:r>
              <w:rPr>
                <w:rFonts w:hint="eastAsia" w:ascii="宋体" w:hAnsi="宋体" w:cs="宋体"/>
                <w:i w:val="0"/>
                <w:iCs w:val="0"/>
                <w:color w:val="auto"/>
                <w:kern w:val="0"/>
                <w:sz w:val="22"/>
                <w:szCs w:val="22"/>
                <w:highlight w:val="none"/>
                <w:u w:val="none"/>
                <w:lang w:val="en-US" w:eastAsia="zh-CN" w:bidi="ar"/>
              </w:rPr>
              <w:t>。</w:t>
            </w:r>
          </w:p>
          <w:p w14:paraId="0C6B67DB">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2、覆盖层:①电镀层表面致密、平滑、均匀②电镀层无起泡、针孔、剥层、水迹和覆盖不严的地方③不应有树枝状和海绵状电镀层④电镀层不应有斑点和条纹⑤镀件的边缘和棱角不得有粗糙的结晶和烧痕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3、木制作:①平整清洁②表面不应有明显的擦伤、划痕和碰撞坑疤③无霉变、虫眼、死节、树脂漆④无明显变形⑤漆层不应有流疤、龟裂、皱皮、剥落和露底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4、其它:①应造型美观、色彩协调、规整光洁②底座和内腔不外露表面应有防腐、防潮措施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四、结构: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一般要求:①结构合理，工艺性好②底座和支撑部件应有足够的稳定性，便于调整安放③调节部位应能达到规定的调节范围，调整方便可靠④转动部分不应过紧和明显跳动，移动部分不应卡滞和松动⑤紧固件不应脱扣、劈头、断裂和歪斜⑥木材应经干燥处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2、具体要求:①高大于1400mm②支撑杆边框宽40mm③支撑杆厚20mm④材料：松木⑤梯形，12孔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⑥配支撑杆四支</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4322B6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1BEEBB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914B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4C7BD5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12-21</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4938FC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画板</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7899D0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一、包装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1、外包装：符合JY0001-2003的有关要求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2、销售包装：符合JY0001-2003的有关要求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3、内包装：符合JY0001-2003的有关要求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二、开箱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1、标志：符合JY0001-2003的有关要求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2、合格证：符合JY0001-2003的有关要求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3、使用说明：符合JY0001-2003的有关要求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四、外观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1、木制件：①平整清洁②表面不应有明显的擦伤、划痕和碰撞坑疤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③无霉变、虫眼、死节、树脂漆④无明显变形⑤漆层不应有流疤、龟裂、皱皮、剥落和露底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2、其它：①应造型美观、色彩协调、规整光洁②底座和内腔不外露表面应有防腐、防潮措施结构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五、一般要求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1、结构合理，工艺性好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2、组合仪器应易拆装、连接可靠、取放携带便利</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3、以塑料为主体材料的产品或部件，应有足够的强度，不易变形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六、具体要求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1、2#双面杨木板，边框松木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2、规格：不小于600mm×450mm×18mm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3、边框宽8mm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4、45度割角拼接。</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2C619C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7F32B8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B322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18C697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12-22</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40B927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版画工具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30E053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木刻刀5把、笔刀1把、笔刀片3件、电烙铁1把、木蘑托1只、胶滚1套（大中小各1件）、油石1件、刮刀2-3把、6B中华绘图铅笔2支</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315B41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1C95D4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D99E1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4CBE6F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12-23</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62C348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绘画工具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375BF1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水粉笔1#～12#各1支，水彩笔1#～12#各1支、大白云毛笔1支、小狼毫1支、勾线笔1支、斗笔1支、扁笔1支、调色盒1个、调色盘1个</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37FB3F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74D4A7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E935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1C2BCC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12-24</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430C83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制作工具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1D0F99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美工刀1把、剪刀2把、木刻刀12把、尖钻1把、篆刻刀1把、油石1块、改锥2把、多用锯1把、锯条5根、推刨1把、木锉1把、尖嘴钳1把、铁锤1把、电烙铁1把、凿子2把、什锦锉1套、切割垫板1块、三用圆规1件、订书器1个、壁纸刀1把、U型锯1把、线锯条10根、手摇钻1个、刨子1把、盒尺1个、角尺1把、砂纸5张、小台钳1台、钢丝钳1把、钢锉1把、钢板尺1把、金属剪1把、铁砧子1件</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74EF19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4C24E1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B2929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0D8E49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12-25</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3E2849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国画和书法工具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519123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毛笔8支、画毡1块、调色盘1块、砚台1个、笔洗1个、笔架1个、镇尺1付、笔帘1、墨1块、墨汁1瓶</w:t>
            </w:r>
            <w:r>
              <w:rPr>
                <w:rFonts w:hint="eastAsia" w:ascii="宋体" w:hAnsi="宋体" w:cs="宋体"/>
                <w:i w:val="0"/>
                <w:iCs w:val="0"/>
                <w:color w:val="auto"/>
                <w:kern w:val="0"/>
                <w:sz w:val="22"/>
                <w:szCs w:val="22"/>
                <w:highlight w:val="none"/>
                <w:u w:val="none"/>
                <w:lang w:val="en-US" w:eastAsia="zh-CN" w:bidi="ar"/>
              </w:rPr>
              <w:t>。</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17DC04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7D152B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B7609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0D7CE9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12-26</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2C7A01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书法工具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26AC10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毛笔(斗笔、大白云、中白云、小白云、小狼毫、勾线笔)、毛毡、镇尺、笔洗、墨汁、调色盘、笔架、名家字帖</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3587C6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390091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r w14:paraId="2EFC08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436" w:type="pct"/>
            <w:tcBorders>
              <w:top w:val="single" w:color="000000" w:sz="4" w:space="0"/>
              <w:left w:val="single" w:color="000000" w:sz="4" w:space="0"/>
              <w:bottom w:val="single" w:color="000000" w:sz="4" w:space="0"/>
              <w:right w:val="single" w:color="000000" w:sz="4" w:space="0"/>
            </w:tcBorders>
            <w:noWrap/>
            <w:vAlign w:val="center"/>
          </w:tcPr>
          <w:p w14:paraId="42898A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12-27</w:t>
            </w:r>
          </w:p>
        </w:tc>
        <w:tc>
          <w:tcPr>
            <w:tcW w:w="595" w:type="pct"/>
            <w:tcBorders>
              <w:top w:val="single" w:color="000000" w:sz="4" w:space="0"/>
              <w:left w:val="single" w:color="000000" w:sz="4" w:space="0"/>
              <w:bottom w:val="single" w:color="000000" w:sz="4" w:space="0"/>
              <w:right w:val="single" w:color="000000" w:sz="4" w:space="0"/>
            </w:tcBorders>
            <w:noWrap w:val="0"/>
            <w:vAlign w:val="center"/>
          </w:tcPr>
          <w:p w14:paraId="7EE64F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篆刻工具</w:t>
            </w:r>
          </w:p>
        </w:tc>
        <w:tc>
          <w:tcPr>
            <w:tcW w:w="3266" w:type="pct"/>
            <w:tcBorders>
              <w:top w:val="single" w:color="000000" w:sz="4" w:space="0"/>
              <w:left w:val="single" w:color="000000" w:sz="4" w:space="0"/>
              <w:bottom w:val="single" w:color="000000" w:sz="4" w:space="0"/>
              <w:right w:val="single" w:color="000000" w:sz="4" w:space="0"/>
            </w:tcBorders>
            <w:noWrap w:val="0"/>
            <w:vAlign w:val="center"/>
          </w:tcPr>
          <w:p w14:paraId="1A1167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篆刻刀、印床、章料、印泥等</w:t>
            </w:r>
          </w:p>
        </w:tc>
        <w:tc>
          <w:tcPr>
            <w:tcW w:w="355" w:type="pct"/>
            <w:tcBorders>
              <w:top w:val="single" w:color="000000" w:sz="4" w:space="0"/>
              <w:left w:val="single" w:color="000000" w:sz="4" w:space="0"/>
              <w:bottom w:val="single" w:color="000000" w:sz="4" w:space="0"/>
              <w:right w:val="single" w:color="000000" w:sz="4" w:space="0"/>
            </w:tcBorders>
            <w:noWrap w:val="0"/>
            <w:vAlign w:val="center"/>
          </w:tcPr>
          <w:p w14:paraId="423739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46" w:type="pct"/>
            <w:tcBorders>
              <w:top w:val="single" w:color="000000" w:sz="4" w:space="0"/>
              <w:left w:val="single" w:color="000000" w:sz="4" w:space="0"/>
              <w:bottom w:val="single" w:color="000000" w:sz="4" w:space="0"/>
              <w:right w:val="single" w:color="000000" w:sz="4" w:space="0"/>
            </w:tcBorders>
            <w:noWrap w:val="0"/>
            <w:vAlign w:val="center"/>
          </w:tcPr>
          <w:p w14:paraId="00B0B6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bl>
    <w:p w14:paraId="154388EB">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10095" w:type="dxa"/>
        <w:tblInd w:w="-8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0"/>
        <w:gridCol w:w="1230"/>
        <w:gridCol w:w="6570"/>
        <w:gridCol w:w="720"/>
        <w:gridCol w:w="705"/>
      </w:tblGrid>
      <w:tr w14:paraId="23F24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10095" w:type="dxa"/>
            <w:gridSpan w:val="5"/>
            <w:tcBorders>
              <w:top w:val="single" w:color="000000" w:sz="4" w:space="0"/>
              <w:left w:val="single" w:color="000000" w:sz="4" w:space="0"/>
              <w:bottom w:val="single" w:color="000000" w:sz="4" w:space="0"/>
              <w:right w:val="single" w:color="000000" w:sz="4" w:space="0"/>
            </w:tcBorders>
            <w:noWrap/>
            <w:vAlign w:val="center"/>
          </w:tcPr>
          <w:p w14:paraId="7F62B7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心理咨询室</w:t>
            </w:r>
          </w:p>
        </w:tc>
      </w:tr>
      <w:tr w14:paraId="26F48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2067D1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230" w:type="dxa"/>
            <w:tcBorders>
              <w:top w:val="single" w:color="000000" w:sz="4" w:space="0"/>
              <w:left w:val="single" w:color="000000" w:sz="4" w:space="0"/>
              <w:bottom w:val="single" w:color="000000" w:sz="4" w:space="0"/>
              <w:right w:val="single" w:color="000000" w:sz="4" w:space="0"/>
            </w:tcBorders>
            <w:noWrap/>
            <w:vAlign w:val="center"/>
          </w:tcPr>
          <w:p w14:paraId="6ED214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570" w:type="dxa"/>
            <w:tcBorders>
              <w:top w:val="single" w:color="000000" w:sz="4" w:space="0"/>
              <w:left w:val="single" w:color="000000" w:sz="4" w:space="0"/>
              <w:bottom w:val="single" w:color="000000" w:sz="4" w:space="0"/>
              <w:right w:val="single" w:color="000000" w:sz="4" w:space="0"/>
            </w:tcBorders>
            <w:noWrap/>
            <w:vAlign w:val="center"/>
          </w:tcPr>
          <w:p w14:paraId="6DA3D6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137B4E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1A4F4C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3C81A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3D48E8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13-1</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5A2A37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办公桌椅</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2000A596">
            <w:pPr>
              <w:keepNext w:val="0"/>
              <w:keepLines w:val="0"/>
              <w:widowControl/>
              <w:numPr>
                <w:ilvl w:val="0"/>
                <w:numId w:val="5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办公桌椅为简约现代风格，材质采用厚度为25mm环保板材，面板具有树脂保护膜，耐摩擦不褪色</w:t>
            </w:r>
            <w:r>
              <w:rPr>
                <w:rFonts w:hint="eastAsia" w:ascii="宋体" w:hAnsi="宋体" w:cs="宋体"/>
                <w:i w:val="0"/>
                <w:iCs w:val="0"/>
                <w:color w:val="auto"/>
                <w:kern w:val="0"/>
                <w:sz w:val="22"/>
                <w:szCs w:val="22"/>
                <w:highlight w:val="none"/>
                <w:u w:val="none"/>
                <w:lang w:val="en-US" w:eastAsia="zh-CN" w:bidi="ar"/>
              </w:rPr>
              <w:t>。</w:t>
            </w:r>
          </w:p>
          <w:p w14:paraId="611F5642">
            <w:pPr>
              <w:keepNext w:val="0"/>
              <w:keepLines w:val="0"/>
              <w:widowControl/>
              <w:numPr>
                <w:ilvl w:val="0"/>
                <w:numId w:val="5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办公桌规格：≥1400mm*600mm*750mm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配套人体工学网面办公椅1把，舒适柔软，回弹性好。</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4D43CA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0427A6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7041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39D782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13-2</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4B92E9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心理文化墙装饰画系列一</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402F3A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心理文化墙装饰画系列一：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1、心理格言7幅，用于营造心理辅导室氛围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2、材质：结皮PVC板，厚度约5mm，形态：圆形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3、规格尺寸：小图直径320mm，中图直径430mm，大图直径460mm。</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2ACD6F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4EC52D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8470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5EAA28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13-3</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2F1F01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无声挂钟</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7CC96B28">
            <w:pPr>
              <w:keepNext w:val="0"/>
              <w:keepLines w:val="0"/>
              <w:widowControl/>
              <w:numPr>
                <w:ilvl w:val="0"/>
                <w:numId w:val="5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控制咨询时间，尺寸：≥12英寸；机芯：静音机芯</w:t>
            </w:r>
            <w:r>
              <w:rPr>
                <w:rFonts w:hint="eastAsia" w:ascii="宋体" w:hAnsi="宋体" w:cs="宋体"/>
                <w:i w:val="0"/>
                <w:iCs w:val="0"/>
                <w:color w:val="auto"/>
                <w:kern w:val="0"/>
                <w:sz w:val="22"/>
                <w:szCs w:val="22"/>
                <w:highlight w:val="none"/>
                <w:u w:val="none"/>
                <w:lang w:val="en-US" w:eastAsia="zh-CN" w:bidi="ar"/>
              </w:rPr>
              <w:t>。</w:t>
            </w:r>
          </w:p>
          <w:p w14:paraId="4C6363CB">
            <w:pPr>
              <w:keepNext w:val="0"/>
              <w:keepLines w:val="0"/>
              <w:widowControl/>
              <w:numPr>
                <w:ilvl w:val="0"/>
                <w:numId w:val="5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材质：金属、玻璃。</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0EC41C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636405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EC46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1CA8FB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13-4</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043F32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录音笔</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7E21CA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记录用，内存不少于32G。</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33375D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7CC69D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F4FD7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4B4E47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13-5</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3D4DC1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心理文化墙装饰画系列二</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75C400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心理文化墙装饰画系列二：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1、心理知识5幅，用于营造心理辅导室氛围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2、材质：结皮PVC板，厚度约5mm，形态：不规则图形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3、每幅规格尺寸：不小于480*480mm。</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73413B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55CCF8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F863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3F39BA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13-6</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3D2406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沙发+茶几</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44C9AF20">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2个单人位,实木框架</w:t>
            </w:r>
            <w:r>
              <w:rPr>
                <w:rFonts w:hint="eastAsia" w:ascii="宋体" w:hAnsi="宋体" w:cs="宋体"/>
                <w:i w:val="0"/>
                <w:iCs w:val="0"/>
                <w:color w:val="auto"/>
                <w:kern w:val="0"/>
                <w:sz w:val="22"/>
                <w:szCs w:val="22"/>
                <w:highlight w:val="none"/>
                <w:u w:val="none"/>
                <w:lang w:val="en-US" w:eastAsia="zh-CN" w:bidi="ar"/>
              </w:rPr>
              <w:t>。</w:t>
            </w:r>
          </w:p>
          <w:p w14:paraId="7080709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布艺沙发，实木框架，采用海绵填充。</w:t>
            </w:r>
          </w:p>
          <w:p w14:paraId="3BE20E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茶几：圆形玻璃茶几或者木质茶几。</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6AAB70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329387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2B9A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1AE237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13-7</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7788C5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标准型音乐放松椅</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316455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一、硬件参数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1、放松椅尺寸：≥780mm（长）*880mm（宽）*1000mm(高）(椅背收起)；≥1580mm（长）*880mm（宽）*830mm(高）（椅背展开）；产品净重：45KG  最大承载量：100KG；电源：220V（50Hz）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2、独立电动控制系统：音乐椅靠背、腿部电动控制设计，靠背约100度-170度，腿部约90度-170度任意调节。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3、使用终端外形尺寸：≥L240mm*W150mm；设备自身集成摄录像、蓝牙、扩展口、互联网等功能。运行速度流畅，多点式触摸，使用方便，携带方便，视觉体验出众。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二、软件功能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1、系统主要分为心理影音、心理训练、放松助手、个人中心等不少于四大模块</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2、心理影音包括：风景放松图、光学错觉图、几何错觉图，视觉动态图，心理错觉图等；心理电影及讲座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心理百科内含心理放松图片，通过卡通漫画配以文字介绍，让用户了解日常释压食物及放松方法，从而达到快速排解心理压力，图片包括体育运动类、心理放松疗法、心理减压组合餐推荐，释压的水果、花草及茶点，多种肢体放松行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4、10大心理音乐，包括：</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（1）改善失眠、促进睡眠 ：脑波音乐、深度睡眠音乐，放松音乐等；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（2）消除寂寞、减少失落感 ：心灵音乐馆之-谣風、池清凉、唱遍山月、春芽等；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（3）消除悲伤、抚慰心灵：α脑波音乐；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（4）消除愤怒、消除心灵淤塞:纯音乐之-你的笑颜、夕阳箫鼓、小霓裳等；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（5）消除浮躁、促进内心平静：大自然背景声（小桥流水、鸟语花香、荷塘月色、寂静山林等）；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（6）消除紧张、焦虑：自信训练。（减压音乐等）；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（7）消除自卑、提升自信：冥想合放松音乐；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（8）缓解身心疲劳：天韵五行音乐等；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（9）接触忧郁、情绪：嘎达梅林、假日海滩、云水禅心等；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（10）陶冶心情、醒脑提神：旺盛的自愈力、自律与决心、释放压力、内在调和等；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心理训练包括三大真人放松训练、专注度训练、社交投射训练（共分为爱心、鼓励、问候、笑脸、谢谢5大类别，由不少于20个学生运用语言、行为传递积极向上的正能量，从而潜移默化达到提升用户社交能力、增强自我自信品质效果）；趣味测试内含不少于10个趣味量表测试，通过趣味诙谐的语言和正面肯定的模式让用户增进用户自我自信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放松助手包括呼吸助手与睡眠训练助手，呼吸助手按舒缓、稍快两种训练模式，通过动画将语音提示形象展现，用户根据语音提示的节奏进行模仿训练，可有效地缓解压力；睡眠训练助手内置36种场景音乐，8种不同播放时长选择，用户可根据需求选择相应的场景音乐及播放时长进行想象放松，缓解躯体紧张，帮助大脑放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7、个人中心：管理员可查看用户信息、用户记录可查看用户的报告时间及报告类型。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三、配置组成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1、音乐放松椅1台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2、音乐放松管理系统1套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3、支架1套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4、遮光眼罩2个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5、音乐导论1本</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43D267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484F92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1896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0B53A4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13-8</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3F2130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标准版实木心理沙盘</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53DFC1D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1、2个个体实木心理沙盘，使用尺寸：≥长 720mm×宽 570mm×深70mm，边框厚度≥15mm，沙盘含架子整体高度≥750mm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专用三底两面环保漆；内侧底与边框、底部为蓝色，外部为实木色，表面光滑不伤手、防水、耐磨不掉色。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2、2个实木沙具柜，沙具柜规格：≥1500mm×300mm×980mm，柜体采用5层8阶设计，既美观又便于分类摆放选取沙具。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3、1000个沙具种类：18 大类（宗教类、风车、灯塔等标志类、公共标识类、交通工具类、公共建筑类、桥栅栏类、日月等自然物类、贝壳山石类、现实中人物类、空想人物类虚拟人物、恐龙怪兽类、家具、日用品类、水生动物、野生动物类、家禽家畜类、草坪类、植物类、军队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4、沙盘游戏书籍1本。</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5、精选原色水洗砂20公斤，颗粒光滑、大小均匀、高温消毒 。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6、沙具选取框1套 （沙具选取框2个，清理刷2个）。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、AI心理沙盘解析系统1套</w:t>
            </w:r>
          </w:p>
          <w:p w14:paraId="42D5F538">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一、产品简介</w:t>
            </w:r>
          </w:p>
          <w:p w14:paraId="2E96BA0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 xml:space="preserve">   本系统是一款深度融合了传统箱庭疗法与现代人工智能技术的心理评估与干预平台。，利用计算机视觉、自然语言处理及大语言模型技术，实现对来访者沙盘创作全过程的数字化采集与智能化解析。系统旨在通过多维度数据分析，为心理咨询师提供客观、量化的辅助诊断依据及个性化的干预方案。</w:t>
            </w:r>
          </w:p>
          <w:p w14:paraId="6F0ECDB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二、</w:t>
            </w:r>
            <w:r>
              <w:rPr>
                <w:rFonts w:hint="eastAsia" w:ascii="宋体" w:hAnsi="宋体" w:eastAsia="宋体" w:cs="宋体"/>
                <w:i w:val="0"/>
                <w:iCs w:val="0"/>
                <w:color w:val="auto"/>
                <w:kern w:val="0"/>
                <w:sz w:val="22"/>
                <w:szCs w:val="22"/>
                <w:highlight w:val="none"/>
                <w:u w:val="none"/>
                <w:lang w:val="en-US" w:eastAsia="zh-CN" w:bidi="ar"/>
              </w:rPr>
              <w:t>心理沙盘解析功能</w:t>
            </w:r>
          </w:p>
          <w:p w14:paraId="572C274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 xml:space="preserve">1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技术支持</w:t>
            </w:r>
          </w:p>
          <w:p w14:paraId="5FA2823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1.1、空间布局分析：系统支持对沙盘空间进行九宫格（3x3）精细化分区扫描，能够自动识别并记录沙具在左上角、中上、右上角、左中、中心、右中、左下、中下、右下等9个核心区域的分布密度与能量聚集度。</w:t>
            </w:r>
            <w:r>
              <w:rPr>
                <w:rFonts w:hint="eastAsia" w:ascii="宋体" w:hAnsi="宋体" w:cs="宋体"/>
                <w:i w:val="0"/>
                <w:iCs w:val="0"/>
                <w:color w:val="auto"/>
                <w:kern w:val="0"/>
                <w:sz w:val="22"/>
                <w:szCs w:val="22"/>
                <w:highlight w:val="none"/>
                <w:u w:val="none"/>
                <w:lang w:val="en-US" w:eastAsia="zh-CN" w:bidi="ar"/>
              </w:rPr>
              <w:t>（提供功能界面截图佐证或提供第三方检验报告复印件，证明材料需体现该功能内容）。</w:t>
            </w:r>
          </w:p>
          <w:p w14:paraId="6FB2727D">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1.2、沙具元素识别：内置包含不少于10大类（军事武器类、人物类、建筑类、交通工具类、自然景物类、神话宗教类、日常用品类、抽象符号类、动物类、其他类）</w:t>
            </w:r>
          </w:p>
          <w:p w14:paraId="78D9D61D">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1.3、多媒体辅助解析：系统支持来访者或咨询师上传图片、视频资料作为辅助素材，AI可对上传的多媒体内容进行视觉识别与语义分析与沙盘作品进行关联解读，提供更全面的心理评估依据。</w:t>
            </w:r>
          </w:p>
          <w:p w14:paraId="4F6D168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1.4、自定义扩展：支持来访者或咨询师手动描述沙具意义和沙盘作品描述名称。</w:t>
            </w:r>
          </w:p>
          <w:p w14:paraId="2507D9B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 xml:space="preserve">2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解析内容</w:t>
            </w:r>
          </w:p>
          <w:p w14:paraId="7E264F8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2.1、沙具象征含义识别：精准识别每个沙具在心理象征体系中的意义，系统将结合沙具的摆放位置、数量、组合关系进行综合解读。</w:t>
            </w:r>
          </w:p>
          <w:p w14:paraId="3F50EE8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2.2、四大维度心理状态评估：</w:t>
            </w:r>
          </w:p>
          <w:p w14:paraId="03D1CD83">
            <w:pPr>
              <w:keepNext w:val="0"/>
              <w:keepLines w:val="0"/>
              <w:widowControl/>
              <w:numPr>
                <w:ilvl w:val="0"/>
                <w:numId w:val="53"/>
              </w:numPr>
              <w:suppressLineNumbers w:val="0"/>
              <w:ind w:left="0" w:leftChars="0" w:firstLine="440" w:firstLineChars="20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内心状态与情感表达：评估来访者的情绪稳定性、情感表达方式；</w:t>
            </w:r>
          </w:p>
          <w:p w14:paraId="6D25BFE0">
            <w:pPr>
              <w:keepNext w:val="0"/>
              <w:keepLines w:val="0"/>
              <w:widowControl/>
              <w:numPr>
                <w:ilvl w:val="0"/>
                <w:numId w:val="53"/>
              </w:numPr>
              <w:suppressLineNumbers w:val="0"/>
              <w:ind w:left="0" w:leftChars="0" w:firstLine="440" w:firstLineChars="20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心理冲突和防御机制：识别主要的心理冲突类型与常用的心理防御方式；</w:t>
            </w:r>
          </w:p>
          <w:p w14:paraId="417E059A">
            <w:pPr>
              <w:keepNext w:val="0"/>
              <w:keepLines w:val="0"/>
              <w:widowControl/>
              <w:numPr>
                <w:ilvl w:val="0"/>
                <w:numId w:val="53"/>
              </w:numPr>
              <w:suppressLineNumbers w:val="0"/>
              <w:ind w:left="0" w:leftChars="0" w:firstLine="440" w:firstLineChars="20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人际关系模式：评估来访者对他人形象的呈现方式、人际互动倾向、社交需求表达；</w:t>
            </w:r>
          </w:p>
          <w:p w14:paraId="3E9FE4AE">
            <w:pPr>
              <w:keepNext w:val="0"/>
              <w:keepLines w:val="0"/>
              <w:widowControl/>
              <w:numPr>
                <w:ilvl w:val="0"/>
                <w:numId w:val="53"/>
              </w:numPr>
              <w:suppressLineNumbers w:val="0"/>
              <w:ind w:left="0" w:leftChars="0" w:firstLine="440" w:firstLineChars="20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自我认知与发展潜力：评估自我形象清晰度、自我接纳程度、成长动力与发展方向</w:t>
            </w:r>
          </w:p>
          <w:p w14:paraId="101F1654">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、数字化档案管理系统</w:t>
            </w:r>
          </w:p>
          <w:p w14:paraId="03FDEB7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3.1、</w:t>
            </w:r>
            <w:r>
              <w:rPr>
                <w:rFonts w:hint="eastAsia" w:ascii="宋体" w:hAnsi="宋体" w:eastAsia="宋体" w:cs="宋体"/>
                <w:i w:val="0"/>
                <w:iCs w:val="0"/>
                <w:color w:val="auto"/>
                <w:kern w:val="0"/>
                <w:sz w:val="22"/>
                <w:szCs w:val="22"/>
                <w:highlight w:val="none"/>
                <w:u w:val="none"/>
                <w:lang w:val="en-US" w:eastAsia="zh-CN" w:bidi="ar"/>
              </w:rPr>
              <w:t xml:space="preserve"> 分类归档</w:t>
            </w:r>
          </w:p>
          <w:p w14:paraId="20287E1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·智能归档机制：系统采用非关系型数据库存储技术，自动依据来访者姓名、性别、年龄建立索引。支持“一人一档”管理模式，自动关联该来访者历次沙盘作品，形成纵向的时间序列数据。</w:t>
            </w:r>
          </w:p>
          <w:p w14:paraId="004A3061">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3.2</w:t>
            </w:r>
            <w:r>
              <w:rPr>
                <w:rFonts w:hint="eastAsia" w:ascii="宋体" w:hAnsi="宋体" w:eastAsia="宋体" w:cs="宋体"/>
                <w:i w:val="0"/>
                <w:iCs w:val="0"/>
                <w:color w:val="auto"/>
                <w:kern w:val="0"/>
                <w:sz w:val="22"/>
                <w:szCs w:val="22"/>
                <w:highlight w:val="none"/>
                <w:u w:val="none"/>
                <w:lang w:val="en-US" w:eastAsia="zh-CN" w:bidi="ar"/>
              </w:rPr>
              <w:t xml:space="preserve"> 搜索功能</w:t>
            </w:r>
          </w:p>
          <w:p w14:paraId="46C2531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·基础检索：支持模糊搜索来访者姓名、性别、年龄。</w:t>
            </w:r>
          </w:p>
          <w:p w14:paraId="2531883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·内容检索：支持基于文字的关键词搜索，系统可瞬间调取所有包含相关沙具或评估描述的档案。</w:t>
            </w:r>
          </w:p>
          <w:p w14:paraId="520917F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、AI求助对话功能</w:t>
            </w:r>
          </w:p>
          <w:p w14:paraId="0BC439A1">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cs="宋体"/>
                <w:i w:val="0"/>
                <w:iCs w:val="0"/>
                <w:color w:val="auto"/>
                <w:kern w:val="0"/>
                <w:sz w:val="22"/>
                <w:szCs w:val="22"/>
                <w:highlight w:val="none"/>
                <w:u w:val="none"/>
                <w:lang w:val="en-US" w:eastAsia="zh-CN" w:bidi="ar"/>
              </w:rPr>
              <w:t>4.1、</w:t>
            </w:r>
            <w:r>
              <w:rPr>
                <w:rFonts w:hint="eastAsia" w:ascii="宋体" w:hAnsi="宋体" w:eastAsia="宋体" w:cs="宋体"/>
                <w:i w:val="0"/>
                <w:iCs w:val="0"/>
                <w:color w:val="auto"/>
                <w:kern w:val="0"/>
                <w:sz w:val="22"/>
                <w:szCs w:val="22"/>
                <w:highlight w:val="none"/>
                <w:u w:val="none"/>
                <w:lang w:val="en-US" w:eastAsia="zh-CN" w:bidi="ar"/>
              </w:rPr>
              <w:t>交互模式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本系统采用自然语言处理技术，支持来访者通过实时文字对话进行互动。来访者可随时输入问题或描述自身困惑，系统将即时提供解答与引导。同时在沙盘创作过程中系统可围绕沙盘内容展开针对性对话，辅助来访者深入探索内心世界。</w:t>
            </w:r>
            <w:r>
              <w:rPr>
                <w:rFonts w:hint="eastAsia" w:ascii="宋体" w:hAnsi="宋体" w:cs="宋体"/>
                <w:i w:val="0"/>
                <w:iCs w:val="0"/>
                <w:color w:val="auto"/>
                <w:kern w:val="0"/>
                <w:sz w:val="22"/>
                <w:szCs w:val="22"/>
                <w:highlight w:val="none"/>
                <w:u w:val="none"/>
                <w:lang w:val="en-US" w:eastAsia="zh-CN" w:bidi="ar"/>
              </w:rPr>
              <w:t>（提供功能界面截图佐证或提供第三方检验报告复印件，证明材料需体现该功能内容）。</w:t>
            </w:r>
          </w:p>
          <w:p w14:paraId="7DF2BA2D">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、预警管理功能</w:t>
            </w:r>
          </w:p>
          <w:p w14:paraId="6F3B964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5.1、</w:t>
            </w:r>
            <w:r>
              <w:rPr>
                <w:rFonts w:hint="eastAsia" w:ascii="宋体" w:hAnsi="宋体" w:eastAsia="宋体" w:cs="宋体"/>
                <w:i w:val="0"/>
                <w:iCs w:val="0"/>
                <w:color w:val="auto"/>
                <w:kern w:val="0"/>
                <w:sz w:val="22"/>
                <w:szCs w:val="22"/>
                <w:highlight w:val="none"/>
                <w:u w:val="none"/>
                <w:lang w:val="en-US" w:eastAsia="zh-CN" w:bidi="ar"/>
              </w:rPr>
              <w:t xml:space="preserve"> 预警方式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当系统识别到来访者心理状态出现异常波动；系统给出潜在风险指标以及建议评估。</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61474E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5F7C16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4ACF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10769D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13-9</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3277DC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智能体感互动仪</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43BC95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1、使用终端（43）。</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2、内置红外热感应人体骨架扫描仪，通过肢体动作控制互动游戏。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系统内置心理游戏包含肢体协调、反应力训练、虚拟释压、智力训练等多维训练方式等；系统采用微软最新的体感音乐控制技术，无须任何外接控制器，摄像头扫描全身。应用心理学原理、人体工学设计、红外传感器技术、力学感应技术、3D影像还原等科学原理与技术构建。集成了智能健康释压设计、自主平衡训练、力学智能感应、智能体能测评分析、互动式释压等关键因素，为用户提供全新的、健康的释压体验，达到良好的心理引导疏通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主要游戏类型包括：a、身心平衡训练，注意力集中训练，综合反应能力训练，记忆广度训练，心理素质训练，利用游戏的方式，依靠传感器捕捉三维空间中玩家的运动，不需要任何的辅助器材，控制游戏角色进行游戏训练，达到身心平衡训练的效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5、儿童自闭症辅助训练、感觉统合训练、特殊康复训练、左右脑协调、注意力矫正、虚拟情绪释压等通过游戏的方式来训练和转移不良情绪。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6、系统可实现多人互动释压，两个使用者分别扮演不同的角色，在游戏中实现合作,对打等等训练，有助于提高小孩的沟通配合能力；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产品配置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1、智能体感互动仪1台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2、电源线1根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3、手柄1个</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1BE7B3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58BF19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FE61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4DE30D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13-10</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702ECD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团体活动桌椅</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22124A5B">
            <w:pPr>
              <w:keepNext w:val="0"/>
              <w:keepLines w:val="0"/>
              <w:widowControl/>
              <w:numPr>
                <w:ilvl w:val="0"/>
                <w:numId w:val="5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桌子：木制材质，面板高密板材材质，高温喷漆桌腿</w:t>
            </w:r>
            <w:r>
              <w:rPr>
                <w:rFonts w:hint="eastAsia" w:ascii="宋体" w:hAnsi="宋体" w:cs="宋体"/>
                <w:i w:val="0"/>
                <w:iCs w:val="0"/>
                <w:color w:val="auto"/>
                <w:kern w:val="0"/>
                <w:sz w:val="22"/>
                <w:szCs w:val="22"/>
                <w:highlight w:val="none"/>
                <w:u w:val="none"/>
                <w:lang w:val="en-US" w:eastAsia="zh-CN" w:bidi="ar"/>
              </w:rPr>
              <w:t>。</w:t>
            </w:r>
          </w:p>
          <w:p w14:paraId="1E59C4BF">
            <w:pPr>
              <w:keepNext w:val="0"/>
              <w:keepLines w:val="0"/>
              <w:widowControl/>
              <w:numPr>
                <w:ilvl w:val="0"/>
                <w:numId w:val="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包含6张扇形桌，150cm直径</w:t>
            </w:r>
            <w:r>
              <w:rPr>
                <w:rFonts w:hint="eastAsia" w:ascii="宋体" w:hAnsi="宋体" w:cs="宋体"/>
                <w:i w:val="0"/>
                <w:iCs w:val="0"/>
                <w:color w:val="auto"/>
                <w:kern w:val="0"/>
                <w:sz w:val="22"/>
                <w:szCs w:val="22"/>
                <w:highlight w:val="none"/>
                <w:u w:val="none"/>
                <w:lang w:val="en-US" w:eastAsia="zh-CN" w:bidi="ar"/>
              </w:rPr>
              <w:t>。</w:t>
            </w:r>
          </w:p>
          <w:p w14:paraId="0E351D12">
            <w:pPr>
              <w:keepNext w:val="0"/>
              <w:keepLines w:val="0"/>
              <w:widowControl/>
              <w:numPr>
                <w:ilvl w:val="0"/>
                <w:numId w:val="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桌子高 70cm ，可以拼成圆形，也可以拼成圆形桌，可拼接成S型，烤漆桌面，钢管喷塑支持架</w:t>
            </w:r>
            <w:r>
              <w:rPr>
                <w:rFonts w:hint="eastAsia" w:ascii="宋体" w:hAnsi="宋体" w:cs="宋体"/>
                <w:i w:val="0"/>
                <w:iCs w:val="0"/>
                <w:color w:val="auto"/>
                <w:kern w:val="0"/>
                <w:sz w:val="22"/>
                <w:szCs w:val="22"/>
                <w:highlight w:val="none"/>
                <w:u w:val="none"/>
                <w:lang w:val="en-US" w:eastAsia="zh-CN" w:bidi="ar"/>
              </w:rPr>
              <w:t>。</w:t>
            </w:r>
          </w:p>
          <w:p w14:paraId="428EC42A">
            <w:pPr>
              <w:keepNext w:val="0"/>
              <w:keepLines w:val="0"/>
              <w:widowControl/>
              <w:numPr>
                <w:ilvl w:val="0"/>
                <w:numId w:val="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粉色、浅蓝、浅绿等多种颜色搭配采用钢木结构</w:t>
            </w:r>
            <w:r>
              <w:rPr>
                <w:rFonts w:hint="eastAsia" w:ascii="宋体" w:hAnsi="宋体" w:cs="宋体"/>
                <w:i w:val="0"/>
                <w:iCs w:val="0"/>
                <w:color w:val="auto"/>
                <w:kern w:val="0"/>
                <w:sz w:val="22"/>
                <w:szCs w:val="22"/>
                <w:highlight w:val="none"/>
                <w:u w:val="none"/>
                <w:lang w:val="en-US" w:eastAsia="zh-CN" w:bidi="ar"/>
              </w:rPr>
              <w:t>。</w:t>
            </w:r>
          </w:p>
          <w:p w14:paraId="0DD61E05">
            <w:pPr>
              <w:keepNext w:val="0"/>
              <w:keepLines w:val="0"/>
              <w:widowControl/>
              <w:numPr>
                <w:ilvl w:val="0"/>
                <w:numId w:val="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椅子：规格为：不小于长350×宽350×高430mm</w:t>
            </w:r>
            <w:r>
              <w:rPr>
                <w:rFonts w:hint="eastAsia" w:ascii="宋体" w:hAnsi="宋体" w:cs="宋体"/>
                <w:i w:val="0"/>
                <w:iCs w:val="0"/>
                <w:color w:val="auto"/>
                <w:kern w:val="0"/>
                <w:sz w:val="22"/>
                <w:szCs w:val="22"/>
                <w:highlight w:val="none"/>
                <w:u w:val="none"/>
                <w:lang w:val="en-US" w:eastAsia="zh-CN" w:bidi="ar"/>
              </w:rPr>
              <w:t>。</w:t>
            </w:r>
          </w:p>
          <w:p w14:paraId="46A305D2">
            <w:pPr>
              <w:keepNext w:val="0"/>
              <w:keepLines w:val="0"/>
              <w:widowControl/>
              <w:numPr>
                <w:ilvl w:val="0"/>
                <w:numId w:val="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钢架采用冷轧25×25mm，优质无缝钢管，钢管表面喷涂前必须经酸洗、磷化、除油、脱水、热固化喷塑</w:t>
            </w:r>
            <w:r>
              <w:rPr>
                <w:rFonts w:hint="eastAsia" w:ascii="宋体" w:hAnsi="宋体" w:cs="宋体"/>
                <w:i w:val="0"/>
                <w:iCs w:val="0"/>
                <w:color w:val="auto"/>
                <w:kern w:val="0"/>
                <w:sz w:val="22"/>
                <w:szCs w:val="22"/>
                <w:highlight w:val="none"/>
                <w:u w:val="none"/>
                <w:lang w:val="en-US" w:eastAsia="zh-CN" w:bidi="ar"/>
              </w:rPr>
              <w:t>。</w:t>
            </w:r>
          </w:p>
          <w:p w14:paraId="5E2D673F">
            <w:pPr>
              <w:keepNext w:val="0"/>
              <w:keepLines w:val="0"/>
              <w:widowControl/>
              <w:numPr>
                <w:ilvl w:val="0"/>
                <w:numId w:val="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椅座面及靠背面主体采用高密板材材质面板。</w:t>
            </w:r>
          </w:p>
          <w:p w14:paraId="387E15CA">
            <w:pPr>
              <w:keepNext w:val="0"/>
              <w:keepLines w:val="0"/>
              <w:widowControl/>
              <w:numPr>
                <w:ilvl w:val="0"/>
                <w:numId w:val="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椅脚的脚套为内嵌式黑色脚套，采用超高分子量PE材料制作，脚套与椅脚应结合紧密，牢靠，不脱落</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51FD2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4E00CD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168E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3AF927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13-11</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1EDD22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心理课课例设计与实践课程道具箱</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71CF377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本课程是针对青少年心理健康教育领域精心打造的系列科普微课，聚焦当下青少年群体中常见的心理困扰与发展性问题。课程以青少年心理发展规律为科学基础，深入剖析情绪障碍、学业压力、人际冲突、网络沉迷、自我认同等核心议题，通过形象生动的案例解析与实用干预技巧的讲解，帮助家长、教师及心理工作者准确识别青少年心理问题的预警信号，掌握有效的沟通与支持策略。课程旨在构建科学认知、提升应对能力，为青少年的心理健康成长提供专业、可靠的知识支持，形成“早发现、懂应对、会引导”的全方位守护体系。</w:t>
            </w:r>
          </w:p>
          <w:p w14:paraId="585E14D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课程具体内容：</w:t>
            </w:r>
          </w:p>
          <w:p w14:paraId="16344E7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1.解锁青少年心理密码</w:t>
            </w:r>
          </w:p>
          <w:p w14:paraId="40F4E4C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2.学习困境的心理学洞察</w:t>
            </w:r>
          </w:p>
          <w:p w14:paraId="36F6303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3.家庭关系中的心灵纽带</w:t>
            </w:r>
          </w:p>
          <w:p w14:paraId="46554163">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4.人际交往的心理智慧</w:t>
            </w:r>
          </w:p>
          <w:p w14:paraId="5D89E280">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5.情绪管理的心理策略</w:t>
            </w:r>
          </w:p>
          <w:p w14:paraId="5B51CC4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6.自我认知的心理探索</w:t>
            </w:r>
          </w:p>
          <w:p w14:paraId="65B92A68">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7.网络世界的心理把控</w:t>
            </w:r>
          </w:p>
          <w:p w14:paraId="44000CD8">
            <w:pPr>
              <w:keepNext w:val="0"/>
              <w:keepLines w:val="0"/>
              <w:widowControl/>
              <w:suppressLineNumbers w:val="0"/>
              <w:jc w:val="left"/>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8.学习动力的心理激发</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56EA6B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62E324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300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06A470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13-12</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0FB6F7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宣泄地板</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4EECA93C">
            <w:pPr>
              <w:keepNext w:val="0"/>
              <w:keepLines w:val="0"/>
              <w:widowControl/>
              <w:numPr>
                <w:ilvl w:val="0"/>
                <w:numId w:val="55"/>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无毒、环保产品，尺寸100*100*3cm（长宽厚）安装简便，直接拼在地面即可</w:t>
            </w:r>
            <w:r>
              <w:rPr>
                <w:rFonts w:hint="eastAsia" w:ascii="宋体" w:hAnsi="宋体" w:cs="宋体"/>
                <w:i w:val="0"/>
                <w:iCs w:val="0"/>
                <w:color w:val="auto"/>
                <w:kern w:val="0"/>
                <w:sz w:val="22"/>
                <w:szCs w:val="22"/>
                <w:highlight w:val="none"/>
                <w:u w:val="none"/>
                <w:lang w:val="en-US" w:eastAsia="zh-CN" w:bidi="ar"/>
              </w:rPr>
              <w:t>。</w:t>
            </w:r>
          </w:p>
          <w:p w14:paraId="55DBAC8A">
            <w:pPr>
              <w:keepNext w:val="0"/>
              <w:keepLines w:val="0"/>
              <w:widowControl/>
              <w:numPr>
                <w:ilvl w:val="0"/>
                <w:numId w:val="5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EVA发泡材料，表面有物理压花，无毒，环保，防滑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超强回弹，防水易清理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可以有效缓冲释压时的回弹，保持宣泄室清洁</w:t>
            </w:r>
            <w:r>
              <w:rPr>
                <w:rFonts w:hint="eastAsia" w:ascii="宋体" w:hAnsi="宋体" w:cs="宋体"/>
                <w:i w:val="0"/>
                <w:iCs w:val="0"/>
                <w:color w:val="auto"/>
                <w:kern w:val="0"/>
                <w:sz w:val="22"/>
                <w:szCs w:val="22"/>
                <w:highlight w:val="none"/>
                <w:u w:val="none"/>
                <w:lang w:val="en-US" w:eastAsia="zh-CN" w:bidi="ar"/>
              </w:rPr>
              <w:t>。</w:t>
            </w:r>
          </w:p>
          <w:p w14:paraId="61A7824B">
            <w:pPr>
              <w:keepNext w:val="0"/>
              <w:keepLines w:val="0"/>
              <w:widowControl/>
              <w:numPr>
                <w:ilvl w:val="0"/>
                <w:numId w:val="5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释压时脱鞋进入，可较好维护宣泄室卫生，延长释压器材使用寿命。</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6B6D7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平米</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673AAD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r>
      <w:tr w14:paraId="0B945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37BB57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13-13</w:t>
            </w:r>
          </w:p>
        </w:tc>
        <w:tc>
          <w:tcPr>
            <w:tcW w:w="1230" w:type="dxa"/>
            <w:tcBorders>
              <w:top w:val="single" w:color="000000" w:sz="4" w:space="0"/>
              <w:left w:val="single" w:color="000000" w:sz="4" w:space="0"/>
              <w:bottom w:val="single" w:color="000000" w:sz="4" w:space="0"/>
              <w:right w:val="single" w:color="000000" w:sz="4" w:space="0"/>
            </w:tcBorders>
            <w:noWrap w:val="0"/>
            <w:vAlign w:val="center"/>
          </w:tcPr>
          <w:p w14:paraId="147C3B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宣泄软包</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0921D209">
            <w:pPr>
              <w:keepNext w:val="0"/>
              <w:keepLines w:val="0"/>
              <w:widowControl/>
              <w:numPr>
                <w:ilvl w:val="0"/>
                <w:numId w:val="56"/>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新型环保EVA材质表面为PU皮面料,EVA无毒，具有良好的缓冲、抗震、隔音、防潮、保护等作用</w:t>
            </w:r>
            <w:r>
              <w:rPr>
                <w:rFonts w:hint="eastAsia" w:ascii="宋体" w:hAnsi="宋体" w:cs="宋体"/>
                <w:i w:val="0"/>
                <w:iCs w:val="0"/>
                <w:color w:val="auto"/>
                <w:kern w:val="0"/>
                <w:sz w:val="22"/>
                <w:szCs w:val="22"/>
                <w:highlight w:val="none"/>
                <w:u w:val="none"/>
                <w:lang w:val="en-US" w:eastAsia="zh-CN" w:bidi="ar"/>
              </w:rPr>
              <w:t>。</w:t>
            </w:r>
          </w:p>
          <w:p w14:paraId="1FC3C4F7">
            <w:pPr>
              <w:keepNext w:val="0"/>
              <w:keepLines w:val="0"/>
              <w:widowControl/>
              <w:numPr>
                <w:ilvl w:val="0"/>
                <w:numId w:val="5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规格：30*60*3（长*宽*厚cm）可以有效的保护来访者，隔绝噪音，释压等作用</w:t>
            </w:r>
            <w:r>
              <w:rPr>
                <w:rFonts w:hint="eastAsia" w:ascii="宋体" w:hAnsi="宋体" w:cs="宋体"/>
                <w:i w:val="0"/>
                <w:iCs w:val="0"/>
                <w:color w:val="auto"/>
                <w:kern w:val="0"/>
                <w:sz w:val="22"/>
                <w:szCs w:val="22"/>
                <w:highlight w:val="none"/>
                <w:u w:val="none"/>
                <w:lang w:val="en-US" w:eastAsia="zh-CN" w:bidi="ar"/>
              </w:rPr>
              <w:t>。</w:t>
            </w:r>
          </w:p>
          <w:p w14:paraId="7AFB62B3">
            <w:pPr>
              <w:keepNext w:val="0"/>
              <w:keepLines w:val="0"/>
              <w:widowControl/>
              <w:numPr>
                <w:ilvl w:val="0"/>
                <w:numId w:val="5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高度1.8米</w:t>
            </w:r>
            <w:r>
              <w:rPr>
                <w:rFonts w:hint="eastAsia" w:ascii="宋体" w:hAnsi="宋体" w:cs="宋体"/>
                <w:i w:val="0"/>
                <w:iCs w:val="0"/>
                <w:color w:val="auto"/>
                <w:kern w:val="0"/>
                <w:sz w:val="22"/>
                <w:szCs w:val="22"/>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27BDB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平米</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5C8A77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r>
      <w:tr w14:paraId="02334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870" w:type="dxa"/>
            <w:tcBorders>
              <w:top w:val="single" w:color="000000" w:sz="4" w:space="0"/>
              <w:left w:val="single" w:color="000000" w:sz="4" w:space="0"/>
              <w:bottom w:val="single" w:color="000000" w:sz="4" w:space="0"/>
              <w:right w:val="single" w:color="000000" w:sz="4" w:space="0"/>
            </w:tcBorders>
            <w:noWrap/>
            <w:vAlign w:val="center"/>
          </w:tcPr>
          <w:p w14:paraId="3B50E8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13-14</w:t>
            </w:r>
          </w:p>
        </w:tc>
        <w:tc>
          <w:tcPr>
            <w:tcW w:w="1230" w:type="dxa"/>
            <w:tcBorders>
              <w:top w:val="single" w:color="000000" w:sz="4" w:space="0"/>
              <w:left w:val="single" w:color="000000" w:sz="4" w:space="0"/>
              <w:bottom w:val="single" w:color="000000" w:sz="4" w:space="0"/>
              <w:right w:val="single" w:color="000000" w:sz="4" w:space="0"/>
            </w:tcBorders>
            <w:noWrap/>
            <w:vAlign w:val="center"/>
          </w:tcPr>
          <w:p w14:paraId="3D325C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心理书架</w:t>
            </w:r>
          </w:p>
        </w:tc>
        <w:tc>
          <w:tcPr>
            <w:tcW w:w="6570" w:type="dxa"/>
            <w:tcBorders>
              <w:top w:val="single" w:color="000000" w:sz="4" w:space="0"/>
              <w:left w:val="single" w:color="000000" w:sz="4" w:space="0"/>
              <w:bottom w:val="single" w:color="000000" w:sz="4" w:space="0"/>
              <w:right w:val="single" w:color="000000" w:sz="4" w:space="0"/>
            </w:tcBorders>
            <w:noWrap w:val="0"/>
            <w:vAlign w:val="center"/>
          </w:tcPr>
          <w:p w14:paraId="2D8F9F30">
            <w:pPr>
              <w:keepNext w:val="0"/>
              <w:keepLines w:val="0"/>
              <w:widowControl/>
              <w:numPr>
                <w:ilvl w:val="0"/>
                <w:numId w:val="5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1800*800*240mm木质落地多层书柜，放置心理书籍</w:t>
            </w:r>
            <w:r>
              <w:rPr>
                <w:rFonts w:hint="eastAsia" w:ascii="宋体" w:hAnsi="宋体" w:cs="宋体"/>
                <w:i w:val="0"/>
                <w:iCs w:val="0"/>
                <w:color w:val="auto"/>
                <w:kern w:val="0"/>
                <w:sz w:val="22"/>
                <w:szCs w:val="22"/>
                <w:highlight w:val="none"/>
                <w:u w:val="none"/>
                <w:lang w:val="en-US" w:eastAsia="zh-CN" w:bidi="ar"/>
              </w:rPr>
              <w:t>。</w:t>
            </w:r>
          </w:p>
          <w:p w14:paraId="1852AAAF">
            <w:pPr>
              <w:keepNext w:val="0"/>
              <w:keepLines w:val="0"/>
              <w:widowControl/>
              <w:numPr>
                <w:ilvl w:val="0"/>
                <w:numId w:val="5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实木打造，承重力强</w:t>
            </w:r>
            <w:r>
              <w:rPr>
                <w:rFonts w:hint="eastAsia" w:ascii="宋体" w:hAnsi="宋体" w:cs="宋体"/>
                <w:i w:val="0"/>
                <w:iCs w:val="0"/>
                <w:color w:val="auto"/>
                <w:kern w:val="0"/>
                <w:sz w:val="22"/>
                <w:szCs w:val="22"/>
                <w:highlight w:val="none"/>
                <w:u w:val="none"/>
                <w:lang w:val="en-US" w:eastAsia="zh-CN" w:bidi="ar"/>
              </w:rPr>
              <w:t>。</w:t>
            </w:r>
          </w:p>
          <w:p w14:paraId="5052DC90">
            <w:pPr>
              <w:keepNext w:val="0"/>
              <w:keepLines w:val="0"/>
              <w:widowControl/>
              <w:numPr>
                <w:ilvl w:val="0"/>
                <w:numId w:val="5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加厚隔板，安全稳重</w:t>
            </w:r>
            <w:r>
              <w:rPr>
                <w:rFonts w:hint="eastAsia" w:ascii="宋体" w:hAnsi="宋体" w:cs="宋体"/>
                <w:i w:val="0"/>
                <w:iCs w:val="0"/>
                <w:color w:val="auto"/>
                <w:kern w:val="0"/>
                <w:sz w:val="22"/>
                <w:szCs w:val="22"/>
                <w:highlight w:val="none"/>
                <w:u w:val="none"/>
                <w:lang w:val="en-US" w:eastAsia="zh-CN" w:bidi="ar"/>
              </w:rPr>
              <w:t>。</w:t>
            </w:r>
          </w:p>
          <w:p w14:paraId="60AB27B2">
            <w:pPr>
              <w:keepNext w:val="0"/>
              <w:keepLines w:val="0"/>
              <w:widowControl/>
              <w:numPr>
                <w:ilvl w:val="0"/>
                <w:numId w:val="5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柜门采用内嵌式拉手，不占空间，美观耐用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选用优质门铰链，耐用耐锈。</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38E407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705" w:type="dxa"/>
            <w:tcBorders>
              <w:top w:val="single" w:color="000000" w:sz="4" w:space="0"/>
              <w:left w:val="single" w:color="000000" w:sz="4" w:space="0"/>
              <w:bottom w:val="single" w:color="000000" w:sz="4" w:space="0"/>
              <w:right w:val="single" w:color="000000" w:sz="4" w:space="0"/>
            </w:tcBorders>
            <w:noWrap/>
            <w:vAlign w:val="center"/>
          </w:tcPr>
          <w:p w14:paraId="345DCA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bl>
    <w:p w14:paraId="058855D6">
      <w:pPr>
        <w:pStyle w:val="33"/>
        <w:rPr>
          <w:rFonts w:hint="eastAsia"/>
          <w:color w:val="auto"/>
          <w:highlight w:val="none"/>
        </w:rPr>
      </w:pPr>
    </w:p>
    <w:tbl>
      <w:tblPr>
        <w:tblStyle w:val="43"/>
        <w:tblW w:w="10095" w:type="dxa"/>
        <w:tblInd w:w="-79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55"/>
        <w:gridCol w:w="1200"/>
        <w:gridCol w:w="6600"/>
        <w:gridCol w:w="720"/>
        <w:gridCol w:w="720"/>
      </w:tblGrid>
      <w:tr w14:paraId="034DF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0095" w:type="dxa"/>
            <w:gridSpan w:val="5"/>
            <w:tcBorders>
              <w:top w:val="single" w:color="000000" w:sz="4" w:space="0"/>
              <w:left w:val="single" w:color="000000" w:sz="4" w:space="0"/>
              <w:bottom w:val="single" w:color="000000" w:sz="4" w:space="0"/>
              <w:right w:val="single" w:color="000000" w:sz="4" w:space="0"/>
            </w:tcBorders>
            <w:noWrap/>
            <w:vAlign w:val="center"/>
          </w:tcPr>
          <w:p w14:paraId="4437A43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卫生保健室</w:t>
            </w:r>
          </w:p>
        </w:tc>
      </w:tr>
      <w:tr w14:paraId="33BA2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ign w:val="center"/>
          </w:tcPr>
          <w:p w14:paraId="011D93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200" w:type="dxa"/>
            <w:tcBorders>
              <w:top w:val="single" w:color="000000" w:sz="4" w:space="0"/>
              <w:left w:val="single" w:color="000000" w:sz="4" w:space="0"/>
              <w:bottom w:val="single" w:color="000000" w:sz="4" w:space="0"/>
              <w:right w:val="single" w:color="000000" w:sz="4" w:space="0"/>
            </w:tcBorders>
            <w:noWrap/>
            <w:vAlign w:val="center"/>
          </w:tcPr>
          <w:p w14:paraId="0F2504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600" w:type="dxa"/>
            <w:tcBorders>
              <w:top w:val="single" w:color="000000" w:sz="4" w:space="0"/>
              <w:left w:val="single" w:color="000000" w:sz="4" w:space="0"/>
              <w:bottom w:val="single" w:color="000000" w:sz="4" w:space="0"/>
              <w:right w:val="single" w:color="000000" w:sz="4" w:space="0"/>
            </w:tcBorders>
            <w:noWrap/>
            <w:vAlign w:val="center"/>
          </w:tcPr>
          <w:p w14:paraId="226EA2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2E0351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0E40E8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7D2D51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0673E1D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7B84D20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体重秤</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35AC2251">
            <w:pPr>
              <w:keepNext w:val="0"/>
              <w:keepLines w:val="0"/>
              <w:widowControl/>
              <w:numPr>
                <w:ilvl w:val="0"/>
                <w:numId w:val="58"/>
              </w:numPr>
              <w:suppressLineNumbers w:val="0"/>
              <w:jc w:val="left"/>
              <w:textAlignment w:val="center"/>
              <w:rPr>
                <w:rFonts w:hint="eastAsia" w:ascii="宋体" w:hAnsi="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指针式</w:t>
            </w:r>
            <w:r>
              <w:rPr>
                <w:rFonts w:hint="eastAsia" w:ascii="宋体" w:hAnsi="宋体" w:cs="宋体"/>
                <w:i w:val="0"/>
                <w:iCs w:val="0"/>
                <w:color w:val="auto"/>
                <w:kern w:val="0"/>
                <w:sz w:val="21"/>
                <w:szCs w:val="21"/>
                <w:highlight w:val="none"/>
                <w:u w:val="none"/>
                <w:lang w:val="en-US" w:eastAsia="zh-CN" w:bidi="ar"/>
              </w:rPr>
              <w:t>。</w:t>
            </w:r>
          </w:p>
          <w:p w14:paraId="17138BDE">
            <w:pPr>
              <w:keepNext w:val="0"/>
              <w:keepLines w:val="0"/>
              <w:widowControl/>
              <w:numPr>
                <w:ilvl w:val="0"/>
                <w:numId w:val="58"/>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最大称量120千克，最小分度值0.5千克</w:t>
            </w:r>
            <w:r>
              <w:rPr>
                <w:rFonts w:hint="eastAsia" w:ascii="宋体" w:hAnsi="宋体" w:cs="宋体"/>
                <w:i w:val="0"/>
                <w:iCs w:val="0"/>
                <w:color w:val="auto"/>
                <w:kern w:val="0"/>
                <w:sz w:val="21"/>
                <w:szCs w:val="21"/>
                <w:highlight w:val="none"/>
                <w:u w:val="none"/>
                <w:lang w:val="en-US" w:eastAsia="zh-CN" w:bidi="ar"/>
              </w:rPr>
              <w:t>。</w:t>
            </w:r>
          </w:p>
          <w:p w14:paraId="01B21146">
            <w:pPr>
              <w:keepNext w:val="0"/>
              <w:keepLines w:val="0"/>
              <w:widowControl/>
              <w:numPr>
                <w:ilvl w:val="0"/>
                <w:numId w:val="58"/>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度范围700mm-1900mm</w:t>
            </w:r>
            <w:r>
              <w:rPr>
                <w:rFonts w:hint="eastAsia" w:ascii="宋体" w:hAnsi="宋体" w:cs="宋体"/>
                <w:i w:val="0"/>
                <w:iCs w:val="0"/>
                <w:color w:val="auto"/>
                <w:kern w:val="0"/>
                <w:sz w:val="21"/>
                <w:szCs w:val="21"/>
                <w:highlight w:val="none"/>
                <w:u w:val="none"/>
                <w:lang w:val="en-US" w:eastAsia="zh-CN" w:bidi="ar"/>
              </w:rPr>
              <w:t>。</w:t>
            </w:r>
          </w:p>
          <w:p w14:paraId="30A03B5E">
            <w:pPr>
              <w:keepNext w:val="0"/>
              <w:keepLines w:val="0"/>
              <w:widowControl/>
              <w:numPr>
                <w:ilvl w:val="0"/>
                <w:numId w:val="58"/>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最小分度值5mm误差±5mm，身高尺安装稳固，使用灵活。</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564076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9482EE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04D88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4F60F7B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162FAE0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身高计</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214DB16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1.机械式，电镀支架</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2.量程：2000mm；分度值：1mm，误差1mm。座高计：1200mm。</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286AD2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F18A4C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70FAB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357D81A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14-3</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4FC4EB2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胸围尺</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32D8620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双面厘米软皮尺</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E3B7DA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根</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B3DFEF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34442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688BD6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14-4</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7041A92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秒表</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5219F97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机械式，0.1S</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24BAA8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3DC2AC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5604A8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6F7398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14-5</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17DDE08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指示棒</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2589BC9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塑料制品</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D7789A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73349E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2262F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6CF5B3F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14-6</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08972A8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污物桶</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3F7EAFF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8L不锈钢</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ED3564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336CA0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013B3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4B76502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14-7</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73C2072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敷料缸</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1778F2C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8cm不锈钢</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77AA58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8E9D09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24474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5A5610B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14-8</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3A6F9FC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棉球缸</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55D1147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9cm不锈钢</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286BD5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275A1F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11B88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6B604EB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14-9</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F70DC7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器械缸</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49AD6EC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10cm不锈钢</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7D677F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C9FC46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3A0D6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3672C1B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14-10</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44DB70C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贮槽</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5F484F9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20cm不锈钢</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D6257B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D8F322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46E5B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226624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14-11</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A00E0A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弯盘</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58D9665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不锈钢制</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870134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95E81F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3A8EE8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4861DD8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14-12</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3D1784D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方盘</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3CC2C58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31*24不锈钢</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416026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E06962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5995F9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68F2A9F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14-13</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28BEB1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带盖方盘</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6F93D61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9寸不锈钢带盖</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179212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5958C0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7710A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57213C4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14-14</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1FC9135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酒精灯</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1CEB46F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玻璃</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B9A27C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10D18C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25DBE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060159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14-15</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05F57EF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课桌椅测量尺</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4C99AEB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优质木材制作，刻度清晰。本品误差不大于1mm。</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989DD1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把</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1C4323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31C8D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24EBA66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14-16</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A4A091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放大镜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13757E3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手持式</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387960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32F274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1C1571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54C2AA3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14-17</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0BD0669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额镜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2EFE485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教学用，直径80mm,反光器具</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2AF70E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付</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B8AC7E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1807E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3BCE79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14-18</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779C280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手电简</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507B86D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LED手电筒，双档可调光</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B24307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B6B268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70589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33453BB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14-19</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54D1F2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落地蛇形灯</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16E0433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1、不锈钢。升降杆调整范围：1380㎜—1730㎜</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2、电源电压：220V±22V50Hz±1Hz</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3、输入功率：≤200VA</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4、环境温度：5℃--40℃;湿度：≤80%;大气压力：86Kpa--106Kpa</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5、使用灯泡功率：≤200W;电源线长度：1650mm</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1AA0D3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25C874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1BB1B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3D20309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14-20</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468802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紫外线灯</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44883903">
            <w:pPr>
              <w:keepNext w:val="0"/>
              <w:keepLines w:val="0"/>
              <w:widowControl/>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教学用</w:t>
            </w:r>
          </w:p>
          <w:p w14:paraId="48AEFA3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1、紫外线波长为253.7A，电源电压220V50Hz</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2、功率为2*30W，灯臂可以调节，调节角度0-180度。</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采用双灯管结构，也可单独使用，不用时可垂放，关上保护门，以免灯管破坏，又能保持灯管清洁。定时器可以在120分钟内定时控制消毒时间，定时器工作完毕会自行断路而灯管熄灭，带自动遥控功能，遥控距离可达20米，穿透力强，隔着墙壁也能控制开关，人性化设计，一体化底座，安装方便，解决用户安装不便的难题，使用方便。</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E046B5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55157BD">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5EB414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1A09BE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14-21</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05A6DF1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诊察桌</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471237E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1、主台1400*600*750mm±5mm，副台1200*450*645mm±5mm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2、柜体0.7mm冷轧钢板，钢架为1.5矩形管，25*50*1.2方管，主台含一块钢吊板，副台带一个侧三抽柜，中间一个打印机托盘和一个抽屉，侧面带一个主机箱。</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1CA6C5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套</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CDDD5EC">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415C3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6E3B90D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14-22</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3A6B7A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洗手盆</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0FDE498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1、规格：800W*600D*800H±5mm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2、柜体为0.8mm冷轧钢板，含人造石台面，柜体可以调节高低，门板带缓冲铰链，含1个304#不锈钢水盆，一个感应水笼头。</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1656C0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14959D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17CB9D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7FD48C3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14-23</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28057F0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置物柜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63DFEAA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1、尺寸：1200*400*800mm±5mm；</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2、材质：实木多层板；</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3、工艺：采用国家标准E1级板，厚度18mm,基材采用优质实木多层板，面贴优质优质三聚氰胺纸，PVC直封边制作。</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4、功能：使用套色内外门框，即美观又便于存储收纳。</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44B883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组</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DB9E553">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4F4F0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44A6373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14-24</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3B9ADBA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低背椅</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3399B08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1.尺寸：W440*D440*H550mmm±2mm。</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2.结构：工字形钢架，科学支撑，钢架前端有踏脚垫，磨砂界面；</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座面规格：采用PP塑料一体注塑成型，长389*宽352*高149mm，椅背提手设计（提手规格：182*36mm），提拉方便。人性化圆角设计（坐垫、钢架），有效防止磕碰撞伤。座椅底部可悬挂功能设计，不用时，可悬挂桌面之上，方便打扫，节省空间。</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4.材质：座椅面采用双色双质，有内弧造型，表面防滑不发光，座椅面镶嵌TPR灰色软性材料，并采用包胶工艺与凳面组合，且表面平整、无凹凸，整体协调、美观，注塑包胶成型。</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5.工艺：钢管直径22mm，壁厚1.8mm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6.脚垫：有效防滑，防刮伤，前防滑脚垫尺寸：40*19(mm)，后防滑脚垫尺寸：73*22(mm)，脚垫材质为PP塑料材质。</w:t>
            </w:r>
          </w:p>
        </w:tc>
        <w:tc>
          <w:tcPr>
            <w:tcW w:w="720" w:type="dxa"/>
            <w:tcBorders>
              <w:top w:val="single" w:color="000000" w:sz="4" w:space="0"/>
              <w:left w:val="single" w:color="000000" w:sz="4" w:space="0"/>
              <w:bottom w:val="single" w:color="000000" w:sz="4" w:space="0"/>
              <w:right w:val="single" w:color="000000" w:sz="4" w:space="0"/>
            </w:tcBorders>
            <w:noWrap/>
            <w:vAlign w:val="center"/>
          </w:tcPr>
          <w:p w14:paraId="5D31FD3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条</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81525C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1CB2D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4CE0C8C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14-25</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3DB21FE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资料柜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14786B7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1、规格：</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1000*500*2000mm。</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2、结构：全木结构，现代工艺，结构牢固</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柜身分上下两部分，上部玻璃板材拉门，放置两层活动层板，下部板材拉门，放置一层活动层板。</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3、材质：柜身材料采用16mm厚双贴面三聚氰胺板</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板材所有截面均经全自动封边机封边处理，所用封边条为厚PVC封边条,热熔胶一次成型</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4、配件：采用优质五金配件，结构牢固，经久耐用。</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5、性能：绿色环保、安全实用、操作方便</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F41FDC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15582E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0EA03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EDE887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14-26</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767318A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药品柜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2BDBC41C">
            <w:pPr>
              <w:keepNext w:val="0"/>
              <w:keepLines w:val="0"/>
              <w:widowControl/>
              <w:numPr>
                <w:ilvl w:val="0"/>
                <w:numId w:val="59"/>
              </w:numPr>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规格：450*900*1800mm±5mm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2、材质：PP材质</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3、柜体：侧板，顶板及底板采用增强型PP材质，一次注塑成型</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表面做磨砂处理，结构紧密，耐腐蚀性强。</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4、上柜门：采用增强型PP材质一次注塑成型，外嵌5mm钢化烤漆玻璃,中间玻璃做镂空处理，透明可视。</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5、下柜门：采用增强型PP材质一次注塑成型，外嵌5mm钢化烤漆玻璃。</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6、层板：配三块活动层板，每块层板尺寸为943*455mm，厚度约为28mm，为增强型PP材质一次注塑成型，层板底部安装两根1.2mm厚方管，承重20公斤。美观耐用。层板可以抽取，自由组合各层空间。</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7、门把手：采用增强型PP材质一次注塑成型，美观耐用。</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8、门铰链：用增强型PP材质一次注塑成型，内嵌隐藏安装方便，耐腐蚀。</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9、药品柜内部无可视金属材料；</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10、柜体预留通风系统，可以与通风管路连接。</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11、阶梯的甲醛：≤0.1mg/l</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1B2F58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个</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63F0E0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7BE6C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38316B3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14-27</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7C38C81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照度计</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495BD7C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最大测量：100000Lux，准确度高反应速度快，读值锁定功能，可锁定测量值，符号及单位显示，读取方便，自动归零，测量范围：1Lux-100000Lux，分辨率：1Lux，显示：31/2位液晶显示器，显示量大读数1999，量程档位：2000Lux档、20000Lux、100000Lux，Lux档显示之读数需要×10才为正确的照度值，100000Lux档显示之读数需要×100才为正确的照度值，</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2、准确度：±（4%rdg+2d）0-19999Lux，±（5%rdg+2d）20000-100000Lux，(以色温2856K标准面灯校正)，</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3、重复测试：±2%，温度特性：±0.1d/℃,取样率：2.0次/秒，感光体：光二极管附滤光镜片，守载显示：2000Lux，20000Lux档过载显示“1”。</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613FA2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597F327">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5D49D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B94CFD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14-28</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57565C4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常用防治矫正仪器</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662446A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1、防治近视、弱视、钭视视标模拟移动范围：8CM</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2、视标移动周期：20秒/次；主光源亮度：100LNX，额定功率：5W；工作电压：200V</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7373C7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E6B95D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6AF99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7EC4A5C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14-29</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23E16B35">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反光灯</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4BA12FF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1、功能：供学校医务室诊察照明用。</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2、主要参数：</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（1）反光灯的使用电源</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（2）电压：交流220V</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（3）频率：50Hz；</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（4）功率：60W。</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3、反光灯的蛇皮管转动灵活，在无外力作用下不应改变原来的位置。</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4、反光灯的灯罩采用不锈钢材料冲压而成。</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5、反光灯的支杆升降自如，调节范围为0~500mm。</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07F125F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49A12A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505EA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6851BE4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14-30</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1AB8DF4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饮水机</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0DEAAD6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立式双门，制冷制热。</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1B8979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5F6C9E6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46F7A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41EEAA8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14-31</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214F32D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小型消毒柜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2593BAB6">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1、消毒方式：臭氧/高温</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2、安装方式：立式</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3、外型尺寸：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t>419*338*790</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4、外形设计：太晶灰钢玻璃结实耐用</w:t>
            </w:r>
            <w:r>
              <w:rPr>
                <w:rFonts w:hint="eastAsia" w:ascii="宋体" w:hAnsi="宋体" w:cs="宋体"/>
                <w:i w:val="0"/>
                <w:iCs w:val="0"/>
                <w:color w:val="auto"/>
                <w:kern w:val="0"/>
                <w:sz w:val="21"/>
                <w:szCs w:val="21"/>
                <w:highlight w:val="none"/>
                <w:u w:val="none"/>
                <w:lang w:val="en-US" w:eastAsia="zh-CN" w:bidi="ar"/>
              </w:rPr>
              <w:t>。</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5、电源类型：220V~50Hz</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7、其他特点：食品级不锈钢内胆，易清洁，经久耐用；超厚不锈钢外壳；采用冰箱整体发泡技术，高能效更省电；特设门控开关；采用冰箱整体发泡技术，高能效更省电。</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CBF549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36E2F0B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09D82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00BC658">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14-32</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0D456260">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医用白大褂</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20FA227E">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涤棉</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4E2B314">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件</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04CF5B9">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r w14:paraId="531B7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7DA3FDC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14-33</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4BAA615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电冰箱</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0B0F1A4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196升两门家用,一级能效</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7AC92B3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台</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42FCAF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w:t>
            </w:r>
          </w:p>
        </w:tc>
      </w:tr>
      <w:tr w14:paraId="083494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55" w:type="dxa"/>
            <w:tcBorders>
              <w:top w:val="single" w:color="000000" w:sz="4" w:space="0"/>
              <w:left w:val="single" w:color="000000" w:sz="4" w:space="0"/>
              <w:bottom w:val="single" w:color="000000" w:sz="4" w:space="0"/>
              <w:right w:val="single" w:color="000000" w:sz="4" w:space="0"/>
            </w:tcBorders>
            <w:noWrap w:val="0"/>
            <w:vAlign w:val="center"/>
          </w:tcPr>
          <w:p w14:paraId="14E680D1">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14-34</w:t>
            </w:r>
          </w:p>
        </w:tc>
        <w:tc>
          <w:tcPr>
            <w:tcW w:w="1200" w:type="dxa"/>
            <w:tcBorders>
              <w:top w:val="single" w:color="000000" w:sz="4" w:space="0"/>
              <w:left w:val="single" w:color="000000" w:sz="4" w:space="0"/>
              <w:bottom w:val="single" w:color="000000" w:sz="4" w:space="0"/>
              <w:right w:val="single" w:color="000000" w:sz="4" w:space="0"/>
            </w:tcBorders>
            <w:noWrap w:val="0"/>
            <w:vAlign w:val="center"/>
          </w:tcPr>
          <w:p w14:paraId="6F69430A">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卫生室管理制度</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12FA286B">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50×70cm</w:t>
            </w:r>
            <w:r>
              <w:rPr>
                <w:rFonts w:hint="eastAsia" w:ascii="宋体" w:hAnsi="宋体" w:cs="宋体"/>
                <w:i w:val="0"/>
                <w:iCs w:val="0"/>
                <w:color w:val="auto"/>
                <w:kern w:val="0"/>
                <w:sz w:val="21"/>
                <w:szCs w:val="21"/>
                <w:highlight w:val="none"/>
                <w:u w:val="none"/>
                <w:lang w:val="en-US" w:eastAsia="zh-CN" w:bidi="ar"/>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1924F39F">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块</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2A3FA92">
            <w:pPr>
              <w:keepNext w:val="0"/>
              <w:keepLines w:val="0"/>
              <w:widowControl/>
              <w:suppressLineNumbers w:val="0"/>
              <w:jc w:val="left"/>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w:t>
            </w:r>
          </w:p>
        </w:tc>
      </w:tr>
    </w:tbl>
    <w:p w14:paraId="5DA606E8">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p w14:paraId="111A9DC4">
      <w:pPr>
        <w:pStyle w:val="33"/>
        <w:rPr>
          <w:rFonts w:hint="eastAsia"/>
          <w:color w:val="auto"/>
          <w:highlight w:val="none"/>
        </w:rPr>
      </w:pPr>
    </w:p>
    <w:tbl>
      <w:tblPr>
        <w:tblStyle w:val="43"/>
        <w:tblW w:w="5938" w:type="pct"/>
        <w:tblInd w:w="-8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87"/>
        <w:gridCol w:w="1214"/>
        <w:gridCol w:w="6784"/>
        <w:gridCol w:w="750"/>
        <w:gridCol w:w="780"/>
      </w:tblGrid>
      <w:tr w14:paraId="09C26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478962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录播室</w:t>
            </w:r>
          </w:p>
        </w:tc>
      </w:tr>
      <w:tr w14:paraId="6E897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193A89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83" w:type="pct"/>
            <w:tcBorders>
              <w:top w:val="single" w:color="000000" w:sz="4" w:space="0"/>
              <w:left w:val="single" w:color="000000" w:sz="4" w:space="0"/>
              <w:bottom w:val="single" w:color="000000" w:sz="4" w:space="0"/>
              <w:right w:val="single" w:color="000000" w:sz="4" w:space="0"/>
            </w:tcBorders>
            <w:noWrap/>
            <w:vAlign w:val="center"/>
          </w:tcPr>
          <w:p w14:paraId="7D1101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57" w:type="pct"/>
            <w:tcBorders>
              <w:top w:val="single" w:color="000000" w:sz="4" w:space="0"/>
              <w:left w:val="single" w:color="000000" w:sz="4" w:space="0"/>
              <w:bottom w:val="single" w:color="000000" w:sz="4" w:space="0"/>
              <w:right w:val="single" w:color="000000" w:sz="4" w:space="0"/>
            </w:tcBorders>
            <w:noWrap/>
            <w:vAlign w:val="center"/>
          </w:tcPr>
          <w:p w14:paraId="5A275F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55951F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12E184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63A1C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6244F8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7CFB61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AI循证录播主机</w:t>
            </w:r>
          </w:p>
        </w:tc>
        <w:tc>
          <w:tcPr>
            <w:tcW w:w="3257" w:type="pct"/>
            <w:tcBorders>
              <w:top w:val="single" w:color="000000" w:sz="4" w:space="0"/>
              <w:left w:val="single" w:color="000000" w:sz="4" w:space="0"/>
              <w:bottom w:val="single" w:color="000000" w:sz="4" w:space="0"/>
              <w:right w:val="single" w:color="000000" w:sz="4" w:space="0"/>
            </w:tcBorders>
            <w:noWrap w:val="0"/>
            <w:vAlign w:val="top"/>
          </w:tcPr>
          <w:p w14:paraId="4F905FB7">
            <w:pPr>
              <w:keepNext w:val="0"/>
              <w:keepLines w:val="0"/>
              <w:widowControl/>
              <w:numPr>
                <w:ilvl w:val="0"/>
                <w:numId w:val="60"/>
              </w:numPr>
              <w:suppressLineNumbers w:val="0"/>
              <w:jc w:val="left"/>
              <w:textAlignment w:val="top"/>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整体设计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1.主机架构：整体采用嵌入式设计、非PC与服务器工作站等架构，以保障系统运行稳定、安全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且为方便设备部署，避免屏幕动态变化影响学生课堂专注力的情况，主机需为标准1U机架式设计，机身非壁挂且不存在大面积显示屏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2.高度集成：主机需同时具备录制、直播、导播、自动跟踪、音频编码、视频编码、音频处理、视频处理、存储、点播、互动多功能于一体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3.优质性能：主机采用ARM架构处理器同时内置GPU与NPU协处理器，CPU核心数≥8，核心主频≥2.4GHz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4.工作噪声：主机在正常工作状态下的生产噪声不高于20dB(A)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5.工作功率：要求整机正常工作状态下功耗不超过50W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6.视频接口：数字视频接口D-Video（RJ45）≥5，HDMI 输入≥2，HDMI 输出≥2路，分辨率均支持1080P@30fps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7.音频接口：要求主机支持线性音频输入与数字音频输入，要求Line in接口≥2，Line out接口≥2，数字音频接口D-Mic（RJ45）≥6</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8.网络接口：RJ45≥1，支持100/1000M网络自适应及IPv4、IPv6双协议栈</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9.控制接口：RJ45≥2，支持RS232串行通信协议进行外接控制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10.外设接口：USB2.0≥2，可用于连接U盘等外设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11.系统存储≥2T，保障设备的正常运行与录制视频文件的本地存储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12.视频一线通：支持摄像机与主机之间仅通过一根双绞线即可同时实现供电、控制和视频信号的同步传输，不接受使用转接器的方式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13.音频一线通：支持麦克风与主机之间仅通过一根双绞线即可同时实现供电和音频信号的采集，实现音频信号的高品质、抗干扰稳定传输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14.视频录制：兼容标准H.264视频编解码能力，要求支持1080P@30fps、720P@30fps，以及AAC音频编解码协议标准且内置音频处理功能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仿宋" w:hAnsi="仿宋" w:eastAsia="仿宋" w:cs="仿宋"/>
                <w:color w:val="auto"/>
                <w:sz w:val="21"/>
                <w:szCs w:val="21"/>
                <w:highlight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15.视频传输技术：支持对同品牌高清摄像机实现基于RJ45双绞线的视频裸数据传输技术，支持摄像机到录播主机端的视频采集和传输过程无需编解码、无画质损耗并实现≤100ms的声画同步，保障录制视频效果；（提供第三方检验报告复印件，报告中需体现该功能内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二、功能设计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16.便捷导播：软件需采用B/S架构设计，支持通过浏览器即可进行管理配置与操作，而无需额外安装客户端或APP</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17.AI全场景跟踪：录播内置跟踪算法且跟踪功能基于AI人工智能技术无需额外增加图像定位主机或摄像机即可实现多机位的全自动跟踪切换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18.画面同步：要求录播主机配套同品牌摄像机支持在多机位接入的情况下所有画面高度同步。在多画面布局以及多流录制、多流直播的使用场景下不同画面保持高度同步，满足最佳的使用体验</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19.中英双语：需支持中英双语版本切换，适合不同用户的应用需求。要求通过网络导播界面即可便捷切换，无需进行更改授权、系统升级等复杂操作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20.上电模式：需支持通电模式选择，实现主机通电后自动进入相应模式，包含但不限于自动开机、开机且休眠、不开机等模式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21.版本管理：支持查看系统软件版本，提供离线文件升级、网络在线升级和定时自动升级三种升级方式，且支持导出和导入系统配置文件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22.安装信息：支持填写设备的安装信息，包括位置、所在学校、安装地点、联系人等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23.休眠唤醒：需支持定时休眠唤醒功能，提供精确到秒的自定义时间设置，可以单独设置是否定时休眠或者定时唤醒</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24.权限管理：需支持对主机后台设置管理员用户与普通用户两种使用权限，普通用户无法进行相关参数与配置修改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25.系统状态：支持在导播界面实时查看主机当前CPU温度、磁盘空间占用情况、视频录制的参数配置和正在录制的视频时长与大小等信息</w:t>
            </w:r>
            <w:r>
              <w:rPr>
                <w:rFonts w:hint="eastAsia" w:ascii="宋体" w:hAnsi="宋体" w:cs="宋体"/>
                <w:i w:val="0"/>
                <w:iCs w:val="0"/>
                <w:color w:val="auto"/>
                <w:kern w:val="0"/>
                <w:sz w:val="22"/>
                <w:szCs w:val="22"/>
                <w:highlight w:val="none"/>
                <w:u w:val="none"/>
                <w:lang w:val="en-US" w:eastAsia="zh-CN" w:bidi="ar"/>
              </w:rPr>
              <w:t>。</w:t>
            </w:r>
          </w:p>
          <w:p w14:paraId="0C985FC7">
            <w:pPr>
              <w:keepNext w:val="0"/>
              <w:keepLines w:val="0"/>
              <w:widowControl/>
              <w:numPr>
                <w:ilvl w:val="0"/>
                <w:numId w:val="0"/>
              </w:numPr>
              <w:suppressLineNumbers w:val="0"/>
              <w:jc w:val="left"/>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26.UVC/UAC功能：要求主机具备通过USB口直接输出音视频信号的能力，实现便捷的视频会议软件接入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27.智能音频处理：支持音频采样率的设置，且支持AGC自动增益、ANS噪声抑制、EQ均衡、AEC回声抑制等音频处理功能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28.录制码流：支持主码流和子码流的高低双码流录制，且支持自定义清晰度、帧率、码率和I帧间隔，支持动态比特率或静态比特率两种模式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29.存储管理：需支持录像文件循环覆盖功能，开启循环覆盖功能后，录播硬盘在已存储90%的空间时，再次启动录制将删除录播内现存时间最早的录像文件以应对录制频率比较高的情况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30.标签设置：需支持视频信号源标签设置，对摄像机实时拍摄信号、HDMI高清输入信号均可自定义名称标签，为导播控制与编辑灵活性提供便利</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31.多场景音频：需支持录制模式和互动模式的独立音频场景设置，针对无线MIC和多媒体等不同设备类型，进行场景化的音频参数设置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32.跟踪自定义：要求支持根据实际喜好，自定义AI跟踪逻辑下所切换的画面信号，且支持双分屏、画中画等布局</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仿宋" w:hAnsi="仿宋" w:eastAsia="仿宋" w:cs="仿宋"/>
                <w:color w:val="auto"/>
                <w:sz w:val="21"/>
                <w:szCs w:val="21"/>
                <w:highlight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3</w:t>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.智能色彩增强：要求实现基于AI技术的板书笔迹智能色彩增强处理，满足白色、黄色、蓝色、红色、绿色等不同颜色的彩色笔迹色彩还原与笔迹增强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（提供第三方检验报告复印件，报告中需体现该功能内容）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三、其他要求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37．支持提供标准服务接口对接教育局现有视频资源平台，实现资源自动上传。</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6346A7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7E8AE3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0C4D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0AC8B4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77B3CD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录播流媒体处理软件</w:t>
            </w:r>
          </w:p>
        </w:tc>
        <w:tc>
          <w:tcPr>
            <w:tcW w:w="3257" w:type="pct"/>
            <w:tcBorders>
              <w:top w:val="single" w:color="000000" w:sz="4" w:space="0"/>
              <w:left w:val="single" w:color="000000" w:sz="4" w:space="0"/>
              <w:bottom w:val="single" w:color="000000" w:sz="4" w:space="0"/>
              <w:right w:val="single" w:color="000000" w:sz="4" w:space="0"/>
            </w:tcBorders>
            <w:noWrap w:val="0"/>
            <w:vAlign w:val="top"/>
          </w:tcPr>
          <w:p w14:paraId="6DB88C88">
            <w:pPr>
              <w:keepNext w:val="0"/>
              <w:keepLines w:val="0"/>
              <w:widowControl/>
              <w:suppressLineNumbers w:val="0"/>
              <w:jc w:val="left"/>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1.要求软件在出厂时内嵌于录播主机中，且应具备自主知识产权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2.录制模式：支持电影模式和资源模式两种录制模式。电影模式下支持将多路视频信号的复合成一路画面进行录制；资源模式下支持将接入的摄像机画面和电脑画面进行独立录制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3.分段录制：支持30分钟分段、60分钟分段两种分段录制方式，系统可在不结束录制的条件下根据分段时长自动将视频录制为多个分段文件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4.录制存储：采用H.264/H.265的视频编码格式和MP4的视频封装格式，支持在断网情况下也可以进行视频录制并存储于录播主机中，也支持在联网情况下通过FTP自动上传视频文件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5.同步录制：支持外接存储设备（如U盘），实现在视频录制的过程中，自动同步录制多一份并存储至U盘中</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6.录制关联：支持在录制启动时自动关联开启直播和全自动跟踪模式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7.视频管理：支持查看已录制的视频文件，并可按录制时间进行排序和按关键字检索查看，也支持对视频文件进行在线播放、下载、删除和FTP上传</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8.网络导播：支持通过浏览器即可访问并使用导播功能，而无需额外安装客户端或APP</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9.导播模式：支持全自动、半自动、手动三种导播模式，且支持在录制、直播和互动过程中任意切换导播模式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10.导播预览：支持对接入的所有画面进行导播预览，包括教师特写、教师全景、学生全景、学生特写、电脑画面等，电脑画面包括两路HDMI画面可切换，并支持点击预览画面即可切换为导播输出画面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11.视频布局：支持二分屏、三分屏、画中画等布局，也支持自定义布局方式，且支持对布局内的每个画面窗口进行拖动、叠加、缩放和指定视频源的操作，实现灵活调整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12.台标字幕：需支持在导播预览界面添加Logo台标与字幕，可自主上传Logo图标、设置logo位置、编辑字幕内容、选择字幕字体颜色与是否滚动显示，且后台管理设置可预设字幕作为备选，方便灵活调整与切换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13.片头片尾：需支持片头片尾设置，可上传JPG格式图片作为录制默认的片头片尾画面，并可自定义片头片尾显示时长，支持片头片尾显示视频信息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摄像机控制：支持对接入摄像机特写画面进行电子云台控制，包括画面上下左右移动、放大缩小变焦等操作。云台控制功能应具有鼠标快速定位功能，通过鼠标点击快速居中画面区域。也支持设置和调用摄像机预置位，支持不少于8个预置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15.音量控制：支持在导播过程中进行音量控制，可调整相关输入输出的音量大小，且支持一键静音功能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16.直播码流：需支持主码流和子码流高低双码流，且支持自定义清晰度、帧率和码流，主码流清晰度不小于1080P</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17.直播推流：支持不少于4路RTMP同步推流直播，并可自定义选择主码流或子码流进行推流直播</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18.直播模式：需支持RTMP直播、TS直播、集控推流直播等不少于3种不同直播模式，以适应不同场景直播需求</w:t>
            </w:r>
            <w:r>
              <w:rPr>
                <w:rFonts w:hint="eastAsia" w:ascii="宋体" w:hAnsi="宋体" w:cs="宋体"/>
                <w:i w:val="0"/>
                <w:iCs w:val="0"/>
                <w:color w:val="auto"/>
                <w:kern w:val="0"/>
                <w:sz w:val="22"/>
                <w:szCs w:val="22"/>
                <w:highlight w:val="none"/>
                <w:u w:val="none"/>
                <w:lang w:val="en-US" w:eastAsia="zh-CN" w:bidi="ar"/>
              </w:rPr>
              <w:t>。</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50E38F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71E188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66BD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2FF8C3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15-3</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4973AF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智能课堂行为分析软件</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3CC562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一.整体要求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1.兼容对接：配套高清录播主机，实现视频数据分析；同时支持与视频资源管理平台无缝对接，可将数据通过平台进行分析结果数据展示。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2.多维分析：支持对课堂数据进行综合多维度的分析，包括“课堂三率”、“课堂语言分析”、“教学行为分析”、“教师活动轨迹”、“课堂时间分配”、“学生课堂动作表情分析”等维度数据。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3.实时分析：支持对师生出勤率、S-T教学行为、教师活动轨迹、学生课堂动作表情分析等维度数据进行实时统计分析。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二.课堂教情分析要求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1.教学行为分析：支持“教师讲授”、“指导学生”、“学生汇报”、“师生互动”、“生生互动”、“教师巡视”多种维度的教学行为识别。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2.教师轨迹分析：支持统计整个课节时间内授课教师的授课行动轨迹，直观呈现教师授课过程中的授课位置数据。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3.教师巡视分析：要求支持教师巡视情况统计并形成教师巡视数据，分析数据应包括教师课堂巡视次数、时长等数据。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三.课堂学生分析要求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1.班级出勤率统计：以班级维度进行班级出勤人数统计，包括应出席人数、实际出席人数、出勤率、迟到人数、缺席人数等。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2.学生听课率分析：支持以课堂时间为轴线，对各个时刻学生的听课率进行分析统计，同时统计峰值和平均值数据。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3.支持学生课堂动作分析，包括趴桌子、举手、站立、抬头等肢体语言，可对各类动作进行实时检测。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4.支持对学生动作的实时统计分析，统计当前每种学生动作的峰值次数和占比。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5.支持学生课堂表情分析，包括积极、平淡、消极等表情。并支持对各类表情进行实时检测，统计课堂中各类表情的学生人数。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6.支持对整节课堂实现学生动作和表情的统计分析，统计每种学生动作和表情的峰值时刻、峰值占比和峰值人数。</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4A77AA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683D20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96DA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0338DC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15-4</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4344F5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智能语音分析软件</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42B8D0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1.教师提问情况分析：支持基于课堂语音识别能力进行教师课堂提问行为分析，从提问次数与高频时间段两个核心维度进行数据统计，实现课堂提问情况的清晰回顾。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2.教师语速分析：支持通过语音识别能力进行教师课堂授课语速分析，呈现数据需包括教师课堂说话词数以及平均语速。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3.课堂语音转写：要求基于语音语义识别完成课堂音频的文字转换，实现课堂教学过程语音全纪录，要求平台上可输出整节课的文字字幕。实现字幕与视频进度关联，通过点击字幕同步播放对应进度的视频。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4.课堂关键词分析：支持通过AI语音识别能力，抓取统计提前设置好的课堂知识点关键词，统计各关键词出现的次数频率，并标注出现的时间点和显示所在的语句内容。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5.课堂高频词分析：支持通过AI语音识别能力，抓取授课过程中出现的高频词汇，并统计出现频次，判断课堂教学重点；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6.课堂语气词分析：支持通过进行课堂语音识别，判断老师教学过程中出现的常规语气词出现频次，如“呐”，“嘛”，等语气词，辅助老师调整教学过程中的不良习惯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7.要求软件在出厂时内嵌于录播主机中，且应具备自主知识产权；</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394A73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16D1D2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DFE7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50389C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15-5</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6ACF01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AI智能跟踪处理软件</w:t>
            </w:r>
          </w:p>
        </w:tc>
        <w:tc>
          <w:tcPr>
            <w:tcW w:w="3257" w:type="pct"/>
            <w:tcBorders>
              <w:top w:val="single" w:color="000000" w:sz="4" w:space="0"/>
              <w:left w:val="single" w:color="000000" w:sz="4" w:space="0"/>
              <w:bottom w:val="single" w:color="000000" w:sz="4" w:space="0"/>
              <w:right w:val="single" w:color="000000" w:sz="4" w:space="0"/>
            </w:tcBorders>
            <w:noWrap w:val="0"/>
            <w:vAlign w:val="top"/>
          </w:tcPr>
          <w:p w14:paraId="4DF80AA5">
            <w:pPr>
              <w:keepNext w:val="0"/>
              <w:keepLines w:val="0"/>
              <w:widowControl/>
              <w:suppressLineNumbers w:val="0"/>
              <w:jc w:val="left"/>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1.跟踪逻辑：支持智能识别接入摄像机的使用定位，并联动摄像机选用对应的跟踪逻辑，如教师跟踪、学生跟踪等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2.检测区域：支持对接入摄像机的AI跟踪检测区域设置，可基于实景拍摄画面框选跟踪区域，框选后只在区域中方能触发跟踪，所见所得方便操作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3.跟踪切换：支持根据设定的跟踪策略形成跟踪指令，实现多路接入摄像机的全自动AI跟踪画面切换；且支持自定义跟踪切换逻辑的画面布局，包含但不限于双分屏、画中画与自定义布局等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4.跟踪策略：支持对接入摄像机自定义设置AI跟踪目标更新周期时间，摄像机依据配置实现相应跟踪策略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5.智能构图：支持设置摄像机拍摄画面的智能构图模式，包含但不限于五分像、七分像、全身像等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6.全场景跟拍：要求支持基于计算机视觉CV技术的AI人工智能跟踪算法，实现教师识别、教师移动跟拍、教师轨迹识别以及学生上台识别、板书行为识别、单人与多人起立识别等教学焦点进行自动捕捉与切换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7.要求软件在出厂时内嵌于录播主机中，且应具备自主知识产权。</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427E78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1E7A89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0499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080694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15-6</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483448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高清全景摄像机</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76EC08F3">
            <w:pPr>
              <w:numPr>
                <w:ilvl w:val="0"/>
                <w:numId w:val="61"/>
              </w:numP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传感器：要求采用CMOS类型图像传感器，尺寸≥1/2.5英寸</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2.像素：有效像素≥800万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3.变焦：要求支持自动和手动变焦，光学变焦倍数≥22倍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4.云台转动：要求具备机械云台可进行转动跟踪。水平转动速度范围不少于1.0°~ 94.2°/s，垂直转动速度范围不少于1.0°~ 74.8°/s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5.视频编码：要求支持H.265、H.264高清视频编码协议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6.视频输出：要求具备数字视频输出口（RJ45）≥1，HDMI视频输出口≥1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7.通讯接口：要求具备RS232/RS422≥1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8.网络接入：RJ45网络接口≥1，并支持100M/1000M自适应以太网接入与RTSP协议网络视频输出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9.音频接口：Line in输入口≥1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10.USB接口：要求具备USB Type-A≥1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11.协议支持：要求支持VISCA/ONVIF协议满足多种场景控制要求；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12.背光补偿：要求具备背光补偿功能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13.数字降噪：支持2D/3D数字降噪，信噪比≥55dB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14.一线通：要求与搭配的录播主机实现基于RJ45双绞线的一线通连接，完成摄像机供电、控制以及视频信号传输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15.高效数据传输：支持对同品牌录播主机实现基于数据链路层的数字视频数据传输技术，能实现≤100ms的声画同步，在拍摄运动画面和复杂画面时不存在镜头呼吸效应带来的周期性画面焦距抖动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.跟踪逻辑自选：要求支持根据AI智能算法，同一摄像机可根据部署使用场景智能应用为教师、学生跟踪模式，无需手动</w:t>
            </w:r>
            <w:r>
              <w:rPr>
                <w:rFonts w:hint="eastAsia" w:ascii="宋体" w:hAnsi="宋体" w:cs="宋体"/>
                <w:i w:val="0"/>
                <w:iCs w:val="0"/>
                <w:color w:val="auto"/>
                <w:kern w:val="0"/>
                <w:sz w:val="22"/>
                <w:szCs w:val="22"/>
                <w:highlight w:val="none"/>
                <w:u w:val="none"/>
                <w:lang w:val="en-US" w:eastAsia="zh-CN" w:bidi="ar"/>
              </w:rPr>
              <w:t>。</w:t>
            </w:r>
          </w:p>
          <w:p w14:paraId="056D579A">
            <w:pPr>
              <w:numPr>
                <w:ilvl w:val="0"/>
                <w:numId w:val="0"/>
              </w:numP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.交叉识别：需支持对锁定跟拍对象进行人脸特征与肢体双重认证识别，在多人同时进入拍摄画面的情况下，持续锁定跟踪对象，不出现跟丢和误跟的情况。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8</w:t>
            </w:r>
            <w:r>
              <w:rPr>
                <w:rFonts w:hint="eastAsia" w:ascii="宋体" w:hAnsi="宋体" w:eastAsia="宋体" w:cs="宋体"/>
                <w:i w:val="0"/>
                <w:iCs w:val="0"/>
                <w:color w:val="auto"/>
                <w:kern w:val="0"/>
                <w:sz w:val="22"/>
                <w:szCs w:val="22"/>
                <w:highlight w:val="none"/>
                <w:u w:val="none"/>
                <w:lang w:val="en-US" w:eastAsia="zh-CN" w:bidi="ar"/>
              </w:rPr>
              <w:t>.AI抗干扰：支持在拍摄画面有显示设备或其他动态视频播放的情况下，自动启用AI抗干扰能力，保障画面始终锁定被跟踪对象，且跟踪效果不受影响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（提供第三方检验报告复印件，报告中需体现该功能内容）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cs="宋体"/>
                <w:i w:val="0"/>
                <w:iCs w:val="0"/>
                <w:color w:val="auto"/>
                <w:kern w:val="0"/>
                <w:sz w:val="22"/>
                <w:szCs w:val="22"/>
                <w:highlight w:val="none"/>
                <w:u w:val="none"/>
                <w:lang w:val="en-US" w:eastAsia="zh-CN" w:bidi="ar"/>
              </w:rPr>
              <w:t>19</w:t>
            </w:r>
            <w:r>
              <w:rPr>
                <w:rFonts w:hint="eastAsia" w:ascii="宋体" w:hAnsi="宋体" w:eastAsia="宋体" w:cs="宋体"/>
                <w:i w:val="0"/>
                <w:iCs w:val="0"/>
                <w:color w:val="auto"/>
                <w:kern w:val="0"/>
                <w:sz w:val="22"/>
                <w:szCs w:val="22"/>
                <w:highlight w:val="none"/>
                <w:u w:val="none"/>
                <w:lang w:val="en-US" w:eastAsia="zh-CN" w:bidi="ar"/>
              </w:rPr>
              <w:t>.PTZ自适应：需支持PTZ实时跟焦，AI跟踪的状态下能实现摄像机水平旋转、垂直旋转、变焦的实时同步变化，无需等待拍摄对象稳定后再变焦调整画面，移动过程不虚焦，实现拍摄画面的自适应稳定调整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20.电源支持：支持录播主机供电和DC12V电源适配器等供电方式。</w:t>
            </w:r>
          </w:p>
          <w:p w14:paraId="6156ABDE">
            <w:pPr>
              <w:numPr>
                <w:ilvl w:val="0"/>
                <w:numId w:val="0"/>
              </w:numP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▲21.内置AI分析模型，支持识别教师授课轨迹及姿态表情能力、学生课堂行为动作能力、识别板书文本并分析板书规范度的能力。（提供第三方检验报告复印件，报告中需体现该功能内容）。</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632FED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4026BA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719F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3EC357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15-7</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739B09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高清特写摄像机</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3A1F7A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1.传感器：要求采用CMOS类型图像传感器，尺寸≥1/2.5英寸</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2.像素：有效像素≥800万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3.变焦：要求支持自动和手动变焦，光学变焦倍数≥30倍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4.云台转动：要求具备机械云台可进行转动跟踪。水平转动速度范围不少于1.0°~ 94.2°/s，垂直转动速度范围不少于1.0°~ 74.8°/s</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5.视频编码：要求支持H.265、H.264高清视频编码协议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6.视频输出：要求具备数字视频输出口（RJ45）≥1，HDMI视频输出口≥1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7.通讯接口：要求具备RS232/RS422≥1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8.网络接入：RJ45网络接口≥1，并支持100M/1000M自适应以太网接入与RTSP协议网络视频输出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9.音频接口：Line in输入口≥1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10.USB接口：要求具备USB Type-A≥1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11.协议支持：要求支持VISCA/ONVIF协议满足多种场景控制要求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12.背光补偿：要求具备背光补偿功能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13.数字降噪：支持2D/3D数字降噪，信噪比≥55dB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14.一线通：要求与搭配的录播主机实现基于RJ45双绞线的一线通连接，完成摄像机供电、控制以及视频信号传输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▲15.高效数据传输：支持对同品牌录播主机实现基于数据链路层的数字视频数据传输技术，能实现≤100ms的声画同步，在拍摄运动画面和复杂画面时不存在镜头呼吸效应带来的周期性画面焦距抖动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（提供第三方检验报告复印件，报告中需体现该功能内容）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16.AI跟踪：要求内置跟踪算法，摄像机内无额外辅助摄像头也无需增加任何设备即可实现人像自动跟踪，包括水平运动、俯仰运动、变焦、聚焦四维实时跟踪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17.跟踪逻辑自选：要求支持根据AI智能算法，同一摄像机可根据部署使用场景智能应用为教师、学生跟踪模式，无需手动设置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18.交叉识别：需支持对锁定跟拍对象进行人脸特征与肢体双重认证识别，在多人同时进入拍摄画面的情况下，持续锁定跟踪对象，不出现跟丢和误跟的情况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19.AI抗干扰：支持在拍摄画面有显示设备或其他动态视频播放的情况下，自动启用AI抗干扰能力，保障画面始终锁定被跟踪对象，且跟踪效果不受影响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20.PTZ自适应：需支持PTZ实时跟焦，AI跟踪的状态下能实现摄像机水平旋转、垂直旋转、变焦的实时同步变化，无需等待拍摄对象稳定后再变焦调整画面，移动过程不虚焦，实现拍摄画面的自适应稳定调整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21.电源支持：支持录播主机供电和DC12V电源适配器等供电方式。</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565F18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60FC81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0CB97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70FEA1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15-8</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28B5F9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摄像机跟踪拍摄软件</w:t>
            </w:r>
          </w:p>
        </w:tc>
        <w:tc>
          <w:tcPr>
            <w:tcW w:w="3257" w:type="pct"/>
            <w:tcBorders>
              <w:top w:val="single" w:color="000000" w:sz="4" w:space="0"/>
              <w:left w:val="single" w:color="000000" w:sz="4" w:space="0"/>
              <w:bottom w:val="single" w:color="000000" w:sz="4" w:space="0"/>
              <w:right w:val="single" w:color="000000" w:sz="4" w:space="0"/>
            </w:tcBorders>
            <w:noWrap w:val="0"/>
            <w:vAlign w:val="top"/>
          </w:tcPr>
          <w:p w14:paraId="730457CF">
            <w:pPr>
              <w:keepNext w:val="0"/>
              <w:keepLines w:val="0"/>
              <w:widowControl/>
              <w:suppressLineNumbers w:val="0"/>
              <w:jc w:val="left"/>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1.摄像机传输处理软件需采用B/S架构，支持通用浏览器直接访问进行管理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2.需支持曝光模式设置功能，包括自动、手动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3.需支持抗闪烁频率、动态范围、光圈、快门参数设置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4.需支持自动白平衡设置功能，红、蓝增益可调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5.需支持噪声抑制设置功能，支持2D、3D降噪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6.需支持摄像机图像质量调节功能，包括亮度、对比度、色调、饱和度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7.需支持图像水平、垂直翻转，适应摄像机不同的安装方式要求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8.需支持摄像机控制功能，包括云台控制、预置位设置与调用、焦距调节等，预置位数≥255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仿宋" w:hAnsi="仿宋" w:eastAsia="仿宋" w:cs="仿宋"/>
                <w:color w:val="auto"/>
                <w:sz w:val="21"/>
                <w:szCs w:val="21"/>
                <w:highlight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9.支持配合录播主机设置五分像、七分像、全身像等多种教师图像跟踪画面模式，根据实际需要设置选用教师跟踪画面的大小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（提供</w:t>
            </w:r>
            <w:r>
              <w:rPr>
                <w:rFonts w:hint="eastAsia" w:ascii="宋体" w:hAnsi="宋体" w:cs="宋体"/>
                <w:i w:val="0"/>
                <w:iCs w:val="0"/>
                <w:color w:val="auto"/>
                <w:kern w:val="0"/>
                <w:sz w:val="22"/>
                <w:szCs w:val="22"/>
                <w:highlight w:val="none"/>
                <w:u w:val="none"/>
                <w:lang w:val="en-US" w:eastAsia="zh-CN" w:bidi="ar"/>
              </w:rPr>
              <w:t>功能界面截图佐证或</w:t>
            </w:r>
            <w:r>
              <w:rPr>
                <w:rFonts w:hint="eastAsia" w:ascii="宋体" w:hAnsi="宋体" w:eastAsia="宋体" w:cs="宋体"/>
                <w:i w:val="0"/>
                <w:iCs w:val="0"/>
                <w:color w:val="auto"/>
                <w:kern w:val="0"/>
                <w:sz w:val="22"/>
                <w:szCs w:val="22"/>
                <w:highlight w:val="none"/>
                <w:u w:val="none"/>
                <w:lang w:val="en-US" w:eastAsia="zh-CN" w:bidi="ar"/>
              </w:rPr>
              <w:t>第三方检验报告复印件，报告中需体现该功能内容）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10.支持配合录播主机划分的自动跟踪区域，当锁定跟踪人物走出自动跟踪区域时即停止跟踪，直到重新回到区域出现在画面中为止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11.需支持依据录播主机设置的跟踪目标更新周期时间，被跟拍人员脱离跟踪拍摄区域后开始计时，到达更新周期时间后自动解除目标跟拍锁定，回归默认状态，待下一位人员进入画面中开始重新锁定跟踪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12.要求软件在出厂时内嵌于摄像机中，且应具备自主知识产权。</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6C23CD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62E2CF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AA5E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4411C9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15-9</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211603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音频处理器</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722310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1.48K采样率，高速DSP处理芯片。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2.内置功放功能，支持直接对接无源扬声器进行扩音，无需额外另配功放设备。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3.至少支持4路模拟输入+1路立体声输入+2路无线输入；支持4路模拟输出+2路功放输出的音频信号处理。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4.频率响应：20-20KHz。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5.THD+N：≤0.003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6.动态范围：≥100dB。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7.幻象供电：支持每路独立48V幻象供电。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8.音频处理：支持DSP音频处理功能，包含反馈消除、回声消除、噪声消除等。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9.支持全功能矩阵混音功能。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10.支持场景预设功能，可通过场景预设切换相应配置。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11.USB背景音乐播放与录制功能，支持通过USB接口自动读取并选择播放U盘中的MP3、WAV等格式的音频文件。</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76FB50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088D56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A108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59785B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15-10</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224504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音频处理与功放管理软件</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176AC3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1.采用C/S或B/S软件架构设计，支持对音频处理矩阵进行管理。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2.直观、图形化软件控制界面。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3.信道管理：提供输入输出信道的快捷控制方式，每个通道的处理器都可以快速直通和启用，选中不同的信道，会自动切换信道信息；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4.扩展器管理：支持通过扩展器调整输入的动态范围；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5.自动增益：支持通过改变输入输出压缩比例来自动控制增益的幅度，自动提升和压缩话筒音量，使之以恒定的电平输出；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6.压缩器管理：支持通过压缩器减少信号高于用户确定的阈值的动态范围，信号电平低于阈值保持不变；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7.均衡器管理：31段频点可单独调节增益，从而达到加强、削弱某些频点的目的，实现不同效果。</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53F80E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5EBEAD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DC58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24BA2F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15-11</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1BCCF8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采访话筒（指向性）</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16A5EA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 单体：背极式驻极体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 指向性：超心型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 频率响应：40Hz—16kHz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 低频衰减：内置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 灵敏度≥-29dB±3dB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 输出阻抗≥500Ω±20%</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 最大声压级≥130dB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 信噪比≥70dB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 动态范围≥106dB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 使用电源：48V 幻象电源（48V DC）</w:t>
            </w:r>
            <w:r>
              <w:rPr>
                <w:rFonts w:hint="eastAsia" w:ascii="宋体" w:hAnsi="宋体" w:cs="宋体"/>
                <w:i w:val="0"/>
                <w:iCs w:val="0"/>
                <w:color w:val="auto"/>
                <w:kern w:val="0"/>
                <w:sz w:val="22"/>
                <w:szCs w:val="22"/>
                <w:highlight w:val="none"/>
                <w:u w:val="none"/>
                <w:lang w:val="en-US" w:eastAsia="zh-CN" w:bidi="ar"/>
              </w:rPr>
              <w:t>。</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5F83FA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744CD4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3C743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76BC5C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15-12</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38EE28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互动音箱</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0384DA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1.HF线性标准，释放纯粹而清透的声音，确保较高的保真度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独有的箱体单元组合技术，消除了低频信号的谐波失真，使音箱的低音更加纯正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2.超高性能的驱动器单元，可以实现高效率、高功率输入带来高声压级极低失真的内在表现，长期使用表现出良好的耐用性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3.采用对称斜面屏障设计，配置的扬声器排成阵列，喇叭单元上下方向排列的指向性可使声音在水平方向均匀地扩散，获得很好的声场均匀度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4.扬声器箱体采用特殊乙烯树脂一次注塑成型，箱体轻巧坚固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5.高音单元：1＂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6.低音单元：6.5＂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7.频率响应：60Hz-20KHz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8.阻抗： 6Ω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9.功率：60W(RMS)    120W(PEAK)</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10.灵敏度：91dB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11.最大声压级：105dB</w:t>
            </w:r>
            <w:r>
              <w:rPr>
                <w:rFonts w:hint="eastAsia" w:ascii="宋体" w:hAnsi="宋体" w:cs="宋体"/>
                <w:i w:val="0"/>
                <w:iCs w:val="0"/>
                <w:color w:val="auto"/>
                <w:kern w:val="0"/>
                <w:sz w:val="22"/>
                <w:szCs w:val="22"/>
                <w:highlight w:val="none"/>
                <w:u w:val="none"/>
                <w:lang w:val="en-US" w:eastAsia="zh-CN" w:bidi="ar"/>
              </w:rPr>
              <w:t>。</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6784C8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4835AE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67A2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126FE7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15-13</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520130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无线话筒</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39B28D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一.系统参数：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1.采用UHF超高频段，提供多通道（32/64/99通道）选择，避免干扰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2.频率范围：不小于500MHz-980MHz区间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3.调制方式：FM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4.音频响应：不小于50Hz-15KHz区间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5.综合信噪比S/N：≥105dB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6.综合失真：≤ 0.5%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二.接收机要求：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1.采用微电脑CPU控制，具备PLL锁相环频率合成技术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2.支持杂讯锁定静噪控制+音码导航锁定静噪控制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3.具备音频动态扩展及自动电平控制电路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4.频率响应：不小于40Hz-18KHz区间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3.发射机要求：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.发射功率：高功率不小于10dBm，低功率不小于5dBm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.调制方式：FM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.最大调制度：不小于±45KHz</w:t>
            </w:r>
            <w:r>
              <w:rPr>
                <w:rFonts w:hint="eastAsia" w:ascii="宋体" w:hAnsi="宋体" w:cs="宋体"/>
                <w:i w:val="0"/>
                <w:iCs w:val="0"/>
                <w:color w:val="auto"/>
                <w:kern w:val="0"/>
                <w:sz w:val="22"/>
                <w:szCs w:val="22"/>
                <w:highlight w:val="none"/>
                <w:u w:val="none"/>
                <w:lang w:val="en-US" w:eastAsia="zh-CN" w:bidi="ar"/>
              </w:rPr>
              <w:t>。</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7B18C6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3310B9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2135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3EE8F4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15-14</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313B41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电源管理器</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0ACFA8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1.向录播视频系统、音频系统、显示系统提供统一的、至少八路电源管理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2.支持对录播系统控制功能，实现通过录制面板一键启动录播系统相关设备的电源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3.支持时序电源控制功能，每路延迟一秒，可编程控制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4.具备内置光电隔离模块，保障负载运行安全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5.支持提供1路最大电流不低于10A的电源输出接口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6.支持RS-485/RS-422/RS-232 等控制协议。</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798DA5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33F26E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E35E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760AC0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15-15</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72F756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录制面板</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48829A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 安装方式：要求镶嵌式安装在讲台。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 控制接口：要求支持RS232控制接口用以连接录播主机。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 信号指示灯：要求具备信号指示灯。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 支持一键式系统电源开关控制。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 一键式录制、停止、锁定电脑信号。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 支持本地录播全自动的开启、关闭控制。该功能同时支持录播模式和互动模式。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 支持通过面板一键发起与远端设备互动连接。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 支持通过交互控制面板切换互动画面的信号源，并传输到听课室，包括本地老师信号、学生信号、电脑信号、远端课室画面。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 支持对各画面的自由布局控制，包括单画面全屏、双分屏、三分屏、四分屏、画中画，并传输到听课室。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10.支持远程“一键静音”功能，主讲端可一键关闭远端互动教室发言，进入主讲授课模式。</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534508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578806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E1B66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69ECF9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15-16</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78A2F0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观摩电视机（强制采购节能产品）</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08C619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55寸电视机，满足观摩需求</w:t>
            </w:r>
            <w:r>
              <w:rPr>
                <w:rFonts w:hint="eastAsia" w:ascii="宋体" w:hAnsi="宋体" w:cs="宋体"/>
                <w:i w:val="0"/>
                <w:iCs w:val="0"/>
                <w:color w:val="auto"/>
                <w:kern w:val="0"/>
                <w:sz w:val="22"/>
                <w:szCs w:val="22"/>
                <w:highlight w:val="none"/>
                <w:u w:val="none"/>
                <w:lang w:val="en-US" w:eastAsia="zh-CN" w:bidi="ar"/>
              </w:rPr>
              <w:t>。</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58046B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1E0F77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29C63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155932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15-17</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1F3867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录播教室吸音吊顶</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6F11E5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顶棚使用矿棉吸音板吊顶。使用标准600*600规格的矿棉吸音板。成品安装，打水平线，挂线，膨胀螺丝固定国标8厘米杆吊。其特点为：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不燃性：防止火灾发生是现代公共建筑、高层建筑设计中的一个首要问题，矿棉吸音板是最理想的防火吊顶材料。隔热性：矿棉吸音板具有比其它吊顶材料优越的保温隔热性。吸音性：矿棉吸音板可以改善音质，创造寂静而舒适的环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采用天然矿石和炼铁矿渣为原料生产，不燃、隔热。轻钢龙骨吊顶，钢制T型暗装龙骨厚</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度不小于0.6mm，可拆卸，符合规范要求承载指标，；矿棉板推荐600*600mm，厚度18mm。密度不大于500kg/m³，A级阻燃性。抗折强度不小于1MPA。满足GB11981-89《建筑用轻钢龙骨》GB50354-2005《建筑内部装修防火施工及验收规范》  GB18580-2001《室内装饰装修材料人造板及其制品中甲醛释放限量》等标准 ；环保等级 E1级≤1.5mg/L。</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面积：84平方米</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110282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间</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088565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CA8A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249BDD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15-18</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7AFC90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录播教室墙面吸音</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42C380F4">
            <w:pPr>
              <w:keepNext w:val="0"/>
              <w:keepLines w:val="0"/>
              <w:widowControl/>
              <w:numPr>
                <w:ilvl w:val="0"/>
                <w:numId w:val="62"/>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四周墙壁使用高性能聚酯纤维吸音棉</w:t>
            </w:r>
            <w:r>
              <w:rPr>
                <w:rFonts w:hint="eastAsia" w:ascii="宋体" w:hAnsi="宋体" w:cs="宋体"/>
                <w:i w:val="0"/>
                <w:iCs w:val="0"/>
                <w:color w:val="auto"/>
                <w:kern w:val="0"/>
                <w:sz w:val="22"/>
                <w:szCs w:val="22"/>
                <w:highlight w:val="none"/>
                <w:u w:val="none"/>
                <w:lang w:val="en-US" w:eastAsia="zh-CN" w:bidi="ar"/>
              </w:rPr>
              <w:t>。</w:t>
            </w:r>
          </w:p>
          <w:p w14:paraId="1B3B6057">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其特点为：100%环保，100%可回收利用；吸音率高，使用浅色，浅灰及米黄色两种吸音棉颜色，地面到墙面1.1的位置使用米黄色吸音棉，1.1米以上使用浅色吸音棉，两种吸音棉连接处用拉丝不锈钢做腰线。墙接地处有踢脚线</w:t>
            </w:r>
            <w:r>
              <w:rPr>
                <w:rFonts w:hint="eastAsia" w:ascii="宋体" w:hAnsi="宋体" w:cs="宋体"/>
                <w:i w:val="0"/>
                <w:iCs w:val="0"/>
                <w:color w:val="auto"/>
                <w:kern w:val="0"/>
                <w:sz w:val="22"/>
                <w:szCs w:val="22"/>
                <w:highlight w:val="none"/>
                <w:u w:val="none"/>
                <w:lang w:val="en-US" w:eastAsia="zh-CN" w:bidi="ar"/>
              </w:rPr>
              <w:t>。</w:t>
            </w:r>
          </w:p>
          <w:p w14:paraId="29C1C875">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隔音性能好，聚酯纤维吸音棉是一种多孔材料，它可以通过纤维的特殊高密度组织使声音在其空腔内形成回流,有效地实现吸音隔音功能</w:t>
            </w:r>
            <w:r>
              <w:rPr>
                <w:rFonts w:hint="eastAsia" w:ascii="宋体" w:hAnsi="宋体" w:cs="宋体"/>
                <w:i w:val="0"/>
                <w:iCs w:val="0"/>
                <w:color w:val="auto"/>
                <w:kern w:val="0"/>
                <w:sz w:val="22"/>
                <w:szCs w:val="22"/>
                <w:highlight w:val="none"/>
                <w:u w:val="none"/>
                <w:lang w:val="en-US" w:eastAsia="zh-CN" w:bidi="ar"/>
              </w:rPr>
              <w:t>。</w:t>
            </w:r>
          </w:p>
          <w:p w14:paraId="39B34AAC">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有保温隔热性能，可为消费者节省能源</w:t>
            </w:r>
            <w:r>
              <w:rPr>
                <w:rFonts w:hint="eastAsia" w:ascii="宋体" w:hAnsi="宋体" w:cs="宋体"/>
                <w:i w:val="0"/>
                <w:iCs w:val="0"/>
                <w:color w:val="auto"/>
                <w:kern w:val="0"/>
                <w:sz w:val="22"/>
                <w:szCs w:val="22"/>
                <w:highlight w:val="none"/>
                <w:u w:val="none"/>
                <w:lang w:val="en-US" w:eastAsia="zh-CN" w:bidi="ar"/>
              </w:rPr>
              <w:t>。</w:t>
            </w:r>
          </w:p>
          <w:p w14:paraId="10EA7419">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易加工，可用美工刀或剪刀切割成需要的形状；使用寿命长</w:t>
            </w:r>
            <w:r>
              <w:rPr>
                <w:rFonts w:hint="eastAsia" w:ascii="宋体" w:hAnsi="宋体" w:cs="宋体"/>
                <w:i w:val="0"/>
                <w:iCs w:val="0"/>
                <w:color w:val="auto"/>
                <w:kern w:val="0"/>
                <w:sz w:val="22"/>
                <w:szCs w:val="22"/>
                <w:highlight w:val="none"/>
                <w:u w:val="none"/>
                <w:lang w:val="en-US" w:eastAsia="zh-CN" w:bidi="ar"/>
              </w:rPr>
              <w:t>。</w:t>
            </w:r>
          </w:p>
          <w:p w14:paraId="1FB929C2">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不发霉，能抵御各种微生物、真菌、酸、盐和碳氢化合物的腐蚀</w:t>
            </w:r>
            <w:r>
              <w:rPr>
                <w:rFonts w:hint="eastAsia" w:ascii="宋体" w:hAnsi="宋体" w:cs="宋体"/>
                <w:i w:val="0"/>
                <w:iCs w:val="0"/>
                <w:color w:val="auto"/>
                <w:kern w:val="0"/>
                <w:sz w:val="22"/>
                <w:szCs w:val="22"/>
                <w:highlight w:val="none"/>
                <w:u w:val="none"/>
                <w:lang w:val="en-US" w:eastAsia="zh-CN" w:bidi="ar"/>
              </w:rPr>
              <w:t>。</w:t>
            </w:r>
          </w:p>
          <w:p w14:paraId="5605B95D">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无味，不含甲醛,对人体无害,经过多次实验证明,皮肤直接接触无任何过敏现象，对环境无污染</w:t>
            </w:r>
            <w:r>
              <w:rPr>
                <w:rFonts w:hint="eastAsia" w:ascii="宋体" w:hAnsi="宋体" w:cs="宋体"/>
                <w:i w:val="0"/>
                <w:iCs w:val="0"/>
                <w:color w:val="auto"/>
                <w:kern w:val="0"/>
                <w:sz w:val="22"/>
                <w:szCs w:val="22"/>
                <w:highlight w:val="none"/>
                <w:u w:val="none"/>
                <w:lang w:val="en-US" w:eastAsia="zh-CN" w:bidi="ar"/>
              </w:rPr>
              <w:t>。</w:t>
            </w:r>
          </w:p>
          <w:p w14:paraId="09C9C256">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防水，水浸后排水性强，吸音性能不下降，形态不变；质轻，施工安全方便</w:t>
            </w:r>
            <w:r>
              <w:rPr>
                <w:rFonts w:hint="eastAsia" w:ascii="宋体" w:hAnsi="宋体" w:cs="宋体"/>
                <w:i w:val="0"/>
                <w:iCs w:val="0"/>
                <w:color w:val="auto"/>
                <w:kern w:val="0"/>
                <w:sz w:val="22"/>
                <w:szCs w:val="22"/>
                <w:highlight w:val="none"/>
                <w:u w:val="none"/>
                <w:lang w:val="en-US" w:eastAsia="zh-CN" w:bidi="ar"/>
              </w:rPr>
              <w:t>。</w:t>
            </w:r>
          </w:p>
          <w:p w14:paraId="3D7B43BF">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教室侧墙基层敷设木质龙骨、12mm厚的高密度板（环保等级 E1级≤1.5mg/L）,墙面铺装10mm厚聚酯纤维吸音板（环保等级 E1级≤1.5mg/L），环保标准达到国家标准。符合声学设计标准。聚酯纤维吸音板防火性能符合国家标准GB8624B1级要求；符合国家标准GB18580-2001E1级要求</w:t>
            </w:r>
            <w:r>
              <w:rPr>
                <w:rFonts w:hint="eastAsia" w:ascii="宋体" w:hAnsi="宋体" w:cs="宋体"/>
                <w:i w:val="0"/>
                <w:iCs w:val="0"/>
                <w:color w:val="auto"/>
                <w:kern w:val="0"/>
                <w:sz w:val="22"/>
                <w:szCs w:val="22"/>
                <w:highlight w:val="none"/>
                <w:u w:val="none"/>
                <w:lang w:val="en-US" w:eastAsia="zh-CN" w:bidi="ar"/>
              </w:rPr>
              <w:t>。</w:t>
            </w:r>
          </w:p>
          <w:p w14:paraId="27E6097A">
            <w:pPr>
              <w:keepNext w:val="0"/>
              <w:keepLines w:val="0"/>
              <w:widowControl/>
              <w:numPr>
                <w:ilvl w:val="0"/>
                <w:numId w:val="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地面面积：84平方米。</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06337B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间</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4B6FA8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6FB3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41B2C8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15-19</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53E2E8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录播教室灯光</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4D72B0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1、LED面板灯功率为36W±2W，整灯通过国家强制性CCC认证，且为保证灯具光通维持率和使用寿命，光源功率冗余量须高于灯具额定功率，即灯具LED模组光源颗数乘以光源额定功率之积是灯具额定功率的两倍以上。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2、LED面板灯须采用微晶珠面光学防眩透光板；产品整灯尺寸长600±20mm、宽600±20mm、厚10±5mm。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3、LED面板灯驱动电源采用外置方案，不可采用弹片式载流部件，不可徒手插拔拆装，确保用电安全。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4、LED面板灯色温在5000±280K，同时显色指数≥90，功率因数≥0.90。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5、为使桌面达到最佳的照度均匀度与防眩效果，LED面板灯在C0-C180面的光束角必须满足100°±3°。</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6、LED面板灯须满足人眼视觉舒适度VICO＜2。</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789758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41B994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E84F9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763C85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15-20</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74FFA0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录播室地面</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58D35F22">
            <w:pPr>
              <w:keepNext w:val="0"/>
              <w:keepLines w:val="0"/>
              <w:widowControl/>
              <w:numPr>
                <w:ilvl w:val="0"/>
                <w:numId w:val="63"/>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PVC地胶，材料选择考虑吸音、耐磨、防潮，环保，无味；环保等级 E1级≤1.5mg/L</w:t>
            </w:r>
            <w:r>
              <w:rPr>
                <w:rFonts w:hint="eastAsia" w:ascii="宋体" w:hAnsi="宋体" w:cs="宋体"/>
                <w:i w:val="0"/>
                <w:iCs w:val="0"/>
                <w:color w:val="auto"/>
                <w:kern w:val="0"/>
                <w:sz w:val="22"/>
                <w:szCs w:val="22"/>
                <w:highlight w:val="none"/>
                <w:u w:val="none"/>
                <w:lang w:val="en-US" w:eastAsia="zh-CN" w:bidi="ar"/>
              </w:rPr>
              <w:t>。</w:t>
            </w:r>
          </w:p>
          <w:p w14:paraId="6EB13DEC">
            <w:pPr>
              <w:keepNext w:val="0"/>
              <w:keepLines w:val="0"/>
              <w:widowControl/>
              <w:numPr>
                <w:ilvl w:val="0"/>
                <w:numId w:val="6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面铺设不低于3mm塑胶浅色地板，耐磨层不小于1mm，耐磨性强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地板性能参数应符合“GB/T4085-2005《半硬质聚氯乙烯块状地板》”要求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地板燃烧性能应达到“GB8624-2006《建筑材料及制品燃烧性能分级》”中Bf1级标准</w:t>
            </w:r>
            <w:r>
              <w:rPr>
                <w:rFonts w:hint="eastAsia" w:ascii="宋体" w:hAnsi="宋体" w:cs="宋体"/>
                <w:i w:val="0"/>
                <w:iCs w:val="0"/>
                <w:color w:val="auto"/>
                <w:kern w:val="0"/>
                <w:sz w:val="22"/>
                <w:szCs w:val="22"/>
                <w:highlight w:val="none"/>
                <w:u w:val="none"/>
                <w:lang w:val="en-US" w:eastAsia="zh-CN" w:bidi="ar"/>
              </w:rPr>
              <w:t>。</w:t>
            </w:r>
          </w:p>
          <w:p w14:paraId="287B5446">
            <w:pPr>
              <w:keepNext w:val="0"/>
              <w:keepLines w:val="0"/>
              <w:widowControl/>
              <w:numPr>
                <w:ilvl w:val="0"/>
                <w:numId w:val="6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其中产烟附加等级达到S1级标准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产烟毒性附加等级达到t0级标准</w:t>
            </w:r>
            <w:r>
              <w:rPr>
                <w:rFonts w:hint="eastAsia" w:ascii="宋体" w:hAnsi="宋体" w:cs="宋体"/>
                <w:i w:val="0"/>
                <w:iCs w:val="0"/>
                <w:color w:val="auto"/>
                <w:kern w:val="0"/>
                <w:sz w:val="22"/>
                <w:szCs w:val="22"/>
                <w:highlight w:val="none"/>
                <w:u w:val="none"/>
                <w:lang w:val="en-US" w:eastAsia="zh-CN" w:bidi="ar"/>
              </w:rPr>
              <w:t>。</w:t>
            </w:r>
          </w:p>
          <w:p w14:paraId="7469AD53">
            <w:pPr>
              <w:keepNext w:val="0"/>
              <w:keepLines w:val="0"/>
              <w:widowControl/>
              <w:numPr>
                <w:ilvl w:val="0"/>
                <w:numId w:val="6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符合GB18586-2001《室内装饰装修材料、聚氯乙烯卷材地板中有害物质限量》规定的限量指标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阻燃性不低于BI级或M3级。</w:t>
            </w:r>
          </w:p>
          <w:p w14:paraId="0E487A99">
            <w:pPr>
              <w:keepNext w:val="0"/>
              <w:keepLines w:val="0"/>
              <w:widowControl/>
              <w:numPr>
                <w:ilvl w:val="0"/>
                <w:numId w:val="6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地面面积：84平方米。</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0209CF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间</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557C13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ADCA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7915F1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15-21</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1973C0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定制窗帘</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75733BE5">
            <w:pPr>
              <w:keepNext w:val="0"/>
              <w:keepLines w:val="0"/>
              <w:widowControl/>
              <w:numPr>
                <w:ilvl w:val="0"/>
                <w:numId w:val="64"/>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窗帘为两层，一层防多频光，一层普通窗帘吸音</w:t>
            </w:r>
            <w:r>
              <w:rPr>
                <w:rFonts w:hint="eastAsia" w:ascii="宋体" w:hAnsi="宋体" w:cs="宋体"/>
                <w:i w:val="0"/>
                <w:iCs w:val="0"/>
                <w:color w:val="auto"/>
                <w:kern w:val="0"/>
                <w:sz w:val="22"/>
                <w:szCs w:val="22"/>
                <w:highlight w:val="none"/>
                <w:u w:val="none"/>
                <w:lang w:val="en-US" w:eastAsia="zh-CN" w:bidi="ar"/>
              </w:rPr>
              <w:t>。</w:t>
            </w:r>
          </w:p>
          <w:p w14:paraId="5C1F9CFE">
            <w:pPr>
              <w:keepNext w:val="0"/>
              <w:keepLines w:val="0"/>
              <w:widowControl/>
              <w:numPr>
                <w:ilvl w:val="0"/>
                <w:numId w:val="6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定制窗套，定制窗帘盒</w:t>
            </w:r>
            <w:r>
              <w:rPr>
                <w:rFonts w:hint="eastAsia" w:ascii="宋体" w:hAnsi="宋体" w:cs="宋体"/>
                <w:i w:val="0"/>
                <w:iCs w:val="0"/>
                <w:color w:val="auto"/>
                <w:kern w:val="0"/>
                <w:sz w:val="22"/>
                <w:szCs w:val="22"/>
                <w:highlight w:val="none"/>
                <w:u w:val="none"/>
                <w:lang w:val="en-US" w:eastAsia="zh-CN" w:bidi="ar"/>
              </w:rPr>
              <w:t>。</w:t>
            </w:r>
          </w:p>
          <w:p w14:paraId="28CE1E80">
            <w:pPr>
              <w:keepNext w:val="0"/>
              <w:keepLines w:val="0"/>
              <w:widowControl/>
              <w:numPr>
                <w:ilvl w:val="0"/>
                <w:numId w:val="6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材料选择考虑吸音、耐磨、防潮，环保，无味；环保等级 E1级≤1.5mg/L。</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479617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660218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78EA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2F7385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15-22</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1E3A44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电路设计</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470A162D">
            <w:pPr>
              <w:keepNext w:val="0"/>
              <w:keepLines w:val="0"/>
              <w:widowControl/>
              <w:numPr>
                <w:ilvl w:val="0"/>
                <w:numId w:val="65"/>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要求建立教室独立电源控制系统，从主配电箱拉专线，电源稳定，接地良好</w:t>
            </w:r>
            <w:r>
              <w:rPr>
                <w:rFonts w:hint="eastAsia" w:ascii="宋体" w:hAnsi="宋体" w:cs="宋体"/>
                <w:i w:val="0"/>
                <w:iCs w:val="0"/>
                <w:color w:val="auto"/>
                <w:kern w:val="0"/>
                <w:sz w:val="22"/>
                <w:szCs w:val="22"/>
                <w:highlight w:val="none"/>
                <w:u w:val="none"/>
                <w:lang w:val="en-US" w:eastAsia="zh-CN" w:bidi="ar"/>
              </w:rPr>
              <w:t>。</w:t>
            </w:r>
          </w:p>
          <w:p w14:paraId="3DCF1787">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电源系统按三相五线制设计，即系统的交流电源的零线与交流电源的保护地线不共用且应严格分开</w:t>
            </w:r>
            <w:r>
              <w:rPr>
                <w:rFonts w:hint="eastAsia" w:ascii="宋体" w:hAnsi="宋体" w:cs="宋体"/>
                <w:i w:val="0"/>
                <w:iCs w:val="0"/>
                <w:color w:val="auto"/>
                <w:kern w:val="0"/>
                <w:sz w:val="22"/>
                <w:szCs w:val="22"/>
                <w:highlight w:val="none"/>
                <w:u w:val="none"/>
                <w:lang w:val="en-US" w:eastAsia="zh-CN" w:bidi="ar"/>
              </w:rPr>
              <w:t>。</w:t>
            </w:r>
          </w:p>
          <w:p w14:paraId="7FBE771A">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供电系统线缆截面积应符合用电容量要求。选用主线线径为4平方</w:t>
            </w:r>
            <w:r>
              <w:rPr>
                <w:rFonts w:hint="eastAsia" w:ascii="宋体" w:hAnsi="宋体" w:cs="宋体"/>
                <w:i w:val="0"/>
                <w:iCs w:val="0"/>
                <w:color w:val="auto"/>
                <w:kern w:val="0"/>
                <w:sz w:val="22"/>
                <w:szCs w:val="22"/>
                <w:highlight w:val="none"/>
                <w:u w:val="none"/>
                <w:lang w:val="en-US" w:eastAsia="zh-CN" w:bidi="ar"/>
              </w:rPr>
              <w:t>。</w:t>
            </w:r>
          </w:p>
          <w:p w14:paraId="6DFB99AD">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辅线线径为1.5平方；供电系统总容量应大于实际容量的1至1.5倍</w:t>
            </w:r>
            <w:r>
              <w:rPr>
                <w:rFonts w:hint="eastAsia" w:ascii="宋体" w:hAnsi="宋体" w:cs="宋体"/>
                <w:i w:val="0"/>
                <w:iCs w:val="0"/>
                <w:color w:val="auto"/>
                <w:kern w:val="0"/>
                <w:sz w:val="22"/>
                <w:szCs w:val="22"/>
                <w:highlight w:val="none"/>
                <w:u w:val="none"/>
                <w:lang w:val="en-US" w:eastAsia="zh-CN" w:bidi="ar"/>
              </w:rPr>
              <w:t>。</w:t>
            </w:r>
          </w:p>
          <w:p w14:paraId="1528AE59">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教室前后墙上装两个220V的三芯电源插座，每个插座容量不低于2KW，地线接触可靠</w:t>
            </w:r>
            <w:r>
              <w:rPr>
                <w:rFonts w:hint="eastAsia" w:ascii="宋体" w:hAnsi="宋体" w:cs="宋体"/>
                <w:i w:val="0"/>
                <w:iCs w:val="0"/>
                <w:color w:val="auto"/>
                <w:kern w:val="0"/>
                <w:sz w:val="22"/>
                <w:szCs w:val="22"/>
                <w:highlight w:val="none"/>
                <w:u w:val="none"/>
                <w:lang w:val="en-US" w:eastAsia="zh-CN" w:bidi="ar"/>
              </w:rPr>
              <w:t>。</w:t>
            </w:r>
          </w:p>
          <w:p w14:paraId="0ACCEF5F">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录播系统音视频设备所需的地线单独设置，接地电阻不应大于4欧姆</w:t>
            </w:r>
            <w:r>
              <w:rPr>
                <w:rFonts w:hint="eastAsia" w:ascii="宋体" w:hAnsi="宋体" w:cs="宋体"/>
                <w:i w:val="0"/>
                <w:iCs w:val="0"/>
                <w:color w:val="auto"/>
                <w:kern w:val="0"/>
                <w:sz w:val="22"/>
                <w:szCs w:val="22"/>
                <w:highlight w:val="none"/>
                <w:u w:val="none"/>
                <w:lang w:val="en-US" w:eastAsia="zh-CN" w:bidi="ar"/>
              </w:rPr>
              <w:t>。</w:t>
            </w:r>
          </w:p>
          <w:p w14:paraId="74C4D99E">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录播教室内的线缆应尽量采用暗敷方式布放，教室讲台距控制机柜应预先埋设地槽或PVC管，布设时，在不影响美观的情况下尽可能走最短路线</w:t>
            </w:r>
            <w:r>
              <w:rPr>
                <w:rFonts w:hint="eastAsia" w:ascii="宋体" w:hAnsi="宋体" w:cs="宋体"/>
                <w:i w:val="0"/>
                <w:iCs w:val="0"/>
                <w:color w:val="auto"/>
                <w:kern w:val="0"/>
                <w:sz w:val="22"/>
                <w:szCs w:val="22"/>
                <w:highlight w:val="none"/>
                <w:u w:val="none"/>
                <w:lang w:val="en-US" w:eastAsia="zh-CN" w:bidi="ar"/>
              </w:rPr>
              <w:t>。</w:t>
            </w:r>
          </w:p>
          <w:p w14:paraId="1F7C82B5">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为保证教室供电系统的安全可靠减少通过电源的接触而带来的串扰，教室内音视频设备及计算机控制系统的设备供电应与照明、空调及其它相关设施供电电缆应分别进行铺设，并尽量采用专用的配电箱，用以对相应的设备分别进行开关控制</w:t>
            </w:r>
            <w:r>
              <w:rPr>
                <w:rFonts w:hint="eastAsia" w:ascii="宋体" w:hAnsi="宋体" w:cs="宋体"/>
                <w:i w:val="0"/>
                <w:iCs w:val="0"/>
                <w:color w:val="auto"/>
                <w:kern w:val="0"/>
                <w:sz w:val="22"/>
                <w:szCs w:val="22"/>
                <w:highlight w:val="none"/>
                <w:u w:val="none"/>
                <w:lang w:val="en-US" w:eastAsia="zh-CN" w:bidi="ar"/>
              </w:rPr>
              <w:t>。</w:t>
            </w:r>
          </w:p>
          <w:p w14:paraId="04887655">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教室供电系统所需线缆均应走金属电线管，如改造工程不具备铺设金属管时应走金属线槽，或金属环绕管（蛇皮管）</w:t>
            </w:r>
            <w:r>
              <w:rPr>
                <w:rFonts w:hint="eastAsia" w:ascii="宋体" w:hAnsi="宋体" w:cs="宋体"/>
                <w:i w:val="0"/>
                <w:iCs w:val="0"/>
                <w:color w:val="auto"/>
                <w:kern w:val="0"/>
                <w:sz w:val="22"/>
                <w:szCs w:val="22"/>
                <w:highlight w:val="none"/>
                <w:u w:val="none"/>
                <w:lang w:val="en-US" w:eastAsia="zh-CN" w:bidi="ar"/>
              </w:rPr>
              <w:t>。</w:t>
            </w:r>
          </w:p>
          <w:p w14:paraId="30A00BBE">
            <w:pPr>
              <w:keepNext w:val="0"/>
              <w:keepLines w:val="0"/>
              <w:widowControl/>
              <w:numPr>
                <w:ilvl w:val="0"/>
                <w:numId w:val="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其他线缆应采用PVC线管或PVC线槽进行敷设。</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1AE2E3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0CF4DC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E39E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7563D7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15-23</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103199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观摩窗</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1AAD1864">
            <w:pPr>
              <w:keepNext w:val="0"/>
              <w:keepLines w:val="0"/>
              <w:widowControl/>
              <w:numPr>
                <w:ilvl w:val="0"/>
                <w:numId w:val="66"/>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采用双层夹胶隔音防爆单向可视玻璃（面积约4*1㎡±1㎡），单层玻璃厚度不小于5mm，钢化度=2~4N/cm，表面应力α≥95Mpa，满足GB 17841-1999《幕墙用钢化玻璃与半钢化玻璃》标准</w:t>
            </w:r>
            <w:r>
              <w:rPr>
                <w:rFonts w:hint="eastAsia" w:ascii="宋体" w:hAnsi="宋体" w:cs="宋体"/>
                <w:i w:val="0"/>
                <w:iCs w:val="0"/>
                <w:color w:val="auto"/>
                <w:kern w:val="0"/>
                <w:sz w:val="22"/>
                <w:szCs w:val="22"/>
                <w:highlight w:val="none"/>
                <w:u w:val="none"/>
                <w:lang w:val="en-US" w:eastAsia="zh-CN" w:bidi="ar"/>
              </w:rPr>
              <w:t>。</w:t>
            </w:r>
          </w:p>
          <w:p w14:paraId="2FB776FB">
            <w:pPr>
              <w:keepNext w:val="0"/>
              <w:keepLines w:val="0"/>
              <w:widowControl/>
              <w:numPr>
                <w:ilvl w:val="0"/>
                <w:numId w:val="6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玻璃安装时要有一定的下倾角度，防止声音的反射混响，并注意隔音设计</w:t>
            </w:r>
            <w:r>
              <w:rPr>
                <w:rFonts w:hint="eastAsia" w:ascii="宋体" w:hAnsi="宋体" w:cs="宋体"/>
                <w:i w:val="0"/>
                <w:iCs w:val="0"/>
                <w:color w:val="auto"/>
                <w:kern w:val="0"/>
                <w:sz w:val="22"/>
                <w:szCs w:val="22"/>
                <w:highlight w:val="none"/>
                <w:u w:val="none"/>
                <w:lang w:val="en-US" w:eastAsia="zh-CN" w:bidi="ar"/>
              </w:rPr>
              <w:t>。</w:t>
            </w:r>
          </w:p>
          <w:p w14:paraId="48BFE3A9">
            <w:pPr>
              <w:keepNext w:val="0"/>
              <w:keepLines w:val="0"/>
              <w:widowControl/>
              <w:numPr>
                <w:ilvl w:val="0"/>
                <w:numId w:val="6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钢化玻璃专业防透膜贴膜处理，贴膜后不影响观摩室内看录播教室的效果，用拉丝不锈钢包边。</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361B4F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5C77CD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D7B8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4CC3D9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15-24</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382C04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观摩室</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43E2F09C">
            <w:pPr>
              <w:keepNext w:val="0"/>
              <w:keepLines w:val="0"/>
              <w:widowControl/>
              <w:numPr>
                <w:ilvl w:val="0"/>
                <w:numId w:val="6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观摩室隔墙制作及地面处理：观摩室与录播教室作隔断处理，地面地板砖拆除、找平及垃圾清理搬运</w:t>
            </w:r>
            <w:r>
              <w:rPr>
                <w:rFonts w:hint="eastAsia" w:ascii="宋体" w:hAnsi="宋体" w:cs="宋体"/>
                <w:i w:val="0"/>
                <w:iCs w:val="0"/>
                <w:color w:val="auto"/>
                <w:kern w:val="0"/>
                <w:sz w:val="22"/>
                <w:szCs w:val="22"/>
                <w:highlight w:val="none"/>
                <w:u w:val="none"/>
                <w:lang w:val="en-US" w:eastAsia="zh-CN" w:bidi="ar"/>
              </w:rPr>
              <w:t>。</w:t>
            </w:r>
          </w:p>
          <w:p w14:paraId="2071517A">
            <w:pPr>
              <w:keepNext w:val="0"/>
              <w:keepLines w:val="0"/>
              <w:widowControl/>
              <w:numPr>
                <w:ilvl w:val="0"/>
                <w:numId w:val="6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知名品牌PVC地胶，材料选择考虑吸音、耐磨、防潮，环保，无味；环保等级 E1级≤1.5mg/L</w:t>
            </w:r>
            <w:r>
              <w:rPr>
                <w:rFonts w:hint="eastAsia" w:ascii="宋体" w:hAnsi="宋体" w:cs="宋体"/>
                <w:i w:val="0"/>
                <w:iCs w:val="0"/>
                <w:color w:val="auto"/>
                <w:kern w:val="0"/>
                <w:sz w:val="22"/>
                <w:szCs w:val="22"/>
                <w:highlight w:val="none"/>
                <w:u w:val="none"/>
                <w:lang w:val="en-US" w:eastAsia="zh-CN" w:bidi="ar"/>
              </w:rPr>
              <w:t>。</w:t>
            </w:r>
          </w:p>
          <w:p w14:paraId="51910B0F">
            <w:pPr>
              <w:keepNext w:val="0"/>
              <w:keepLines w:val="0"/>
              <w:widowControl/>
              <w:numPr>
                <w:ilvl w:val="0"/>
                <w:numId w:val="6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观摩室墙面粉刷：专业粉刷，环保材料。</w:t>
            </w:r>
          </w:p>
          <w:p w14:paraId="24611BF2">
            <w:pPr>
              <w:keepNext w:val="0"/>
              <w:keepLines w:val="0"/>
              <w:widowControl/>
              <w:numPr>
                <w:ilvl w:val="0"/>
                <w:numId w:val="6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观摩室吊顶：加厚轻钢龙骨，600*600微孔吸音铝扣板天花板，扣板天花吊顶系统由装饰面板、主副龙骨以及相关配件共同构成。装饰面板为方形块状，采用铝合金制造</w:t>
            </w:r>
            <w:r>
              <w:rPr>
                <w:rFonts w:hint="eastAsia" w:ascii="宋体" w:hAnsi="宋体" w:cs="宋体"/>
                <w:i w:val="0"/>
                <w:iCs w:val="0"/>
                <w:color w:val="auto"/>
                <w:kern w:val="0"/>
                <w:sz w:val="22"/>
                <w:szCs w:val="22"/>
                <w:highlight w:val="none"/>
                <w:u w:val="none"/>
                <w:lang w:val="en-US" w:eastAsia="zh-CN" w:bidi="ar"/>
              </w:rPr>
              <w:t>。</w:t>
            </w:r>
          </w:p>
          <w:p w14:paraId="20F7B23E">
            <w:pPr>
              <w:keepNext w:val="0"/>
              <w:keepLines w:val="0"/>
              <w:widowControl/>
              <w:numPr>
                <w:ilvl w:val="0"/>
                <w:numId w:val="6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观摩室灯光：LED 600*600平板灯或600*1200平板灯成品安装，详细要求见录播室灯光要求。</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62B429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间</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009131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D6257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04EBAA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15-25</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48069D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材料</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76491A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包含拆墙处理建筑垃圾，包含拆墙处理建筑垃圾，包窗户，踢脚线，讲台，地平，综合布线，开关、插座、网线等</w:t>
            </w:r>
            <w:r>
              <w:rPr>
                <w:rFonts w:hint="eastAsia" w:ascii="宋体" w:hAnsi="宋体" w:cs="宋体"/>
                <w:i w:val="0"/>
                <w:iCs w:val="0"/>
                <w:color w:val="auto"/>
                <w:kern w:val="0"/>
                <w:sz w:val="22"/>
                <w:szCs w:val="22"/>
                <w:highlight w:val="none"/>
                <w:u w:val="none"/>
                <w:lang w:val="en-US" w:eastAsia="zh-CN" w:bidi="ar"/>
              </w:rPr>
              <w:t>。</w:t>
            </w:r>
          </w:p>
        </w:tc>
        <w:tc>
          <w:tcPr>
            <w:tcW w:w="360" w:type="pct"/>
            <w:tcBorders>
              <w:top w:val="single" w:color="000000" w:sz="4" w:space="0"/>
              <w:left w:val="single" w:color="000000" w:sz="4" w:space="0"/>
              <w:bottom w:val="single" w:color="000000" w:sz="4" w:space="0"/>
              <w:right w:val="single" w:color="000000" w:sz="4" w:space="0"/>
            </w:tcBorders>
            <w:noWrap w:val="0"/>
            <w:vAlign w:val="center"/>
          </w:tcPr>
          <w:p w14:paraId="17388E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71" w:type="pct"/>
            <w:tcBorders>
              <w:top w:val="single" w:color="000000" w:sz="4" w:space="0"/>
              <w:left w:val="single" w:color="000000" w:sz="4" w:space="0"/>
              <w:bottom w:val="single" w:color="000000" w:sz="4" w:space="0"/>
              <w:right w:val="single" w:color="000000" w:sz="4" w:space="0"/>
            </w:tcBorders>
            <w:noWrap w:val="0"/>
            <w:vAlign w:val="center"/>
          </w:tcPr>
          <w:p w14:paraId="22A695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B08D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6" w:type="pct"/>
            <w:tcBorders>
              <w:top w:val="single" w:color="000000" w:sz="4" w:space="0"/>
              <w:left w:val="single" w:color="000000" w:sz="4" w:space="0"/>
              <w:bottom w:val="single" w:color="000000" w:sz="4" w:space="0"/>
              <w:right w:val="single" w:color="000000" w:sz="4" w:space="0"/>
            </w:tcBorders>
            <w:noWrap w:val="0"/>
            <w:vAlign w:val="center"/>
          </w:tcPr>
          <w:p w14:paraId="545AAD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15-26</w:t>
            </w:r>
          </w:p>
        </w:tc>
        <w:tc>
          <w:tcPr>
            <w:tcW w:w="583" w:type="pct"/>
            <w:tcBorders>
              <w:top w:val="single" w:color="000000" w:sz="4" w:space="0"/>
              <w:left w:val="single" w:color="000000" w:sz="4" w:space="0"/>
              <w:bottom w:val="single" w:color="000000" w:sz="4" w:space="0"/>
              <w:right w:val="single" w:color="000000" w:sz="4" w:space="0"/>
            </w:tcBorders>
            <w:noWrap w:val="0"/>
            <w:vAlign w:val="center"/>
          </w:tcPr>
          <w:p w14:paraId="1C0DCA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线材</w:t>
            </w:r>
          </w:p>
        </w:tc>
        <w:tc>
          <w:tcPr>
            <w:tcW w:w="3257" w:type="pct"/>
            <w:tcBorders>
              <w:top w:val="single" w:color="000000" w:sz="4" w:space="0"/>
              <w:left w:val="single" w:color="000000" w:sz="4" w:space="0"/>
              <w:bottom w:val="single" w:color="000000" w:sz="4" w:space="0"/>
              <w:right w:val="single" w:color="000000" w:sz="4" w:space="0"/>
            </w:tcBorders>
            <w:noWrap w:val="0"/>
            <w:vAlign w:val="center"/>
          </w:tcPr>
          <w:p w14:paraId="460397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满足系统布线需求</w:t>
            </w:r>
            <w:r>
              <w:rPr>
                <w:rFonts w:hint="eastAsia" w:ascii="宋体" w:hAnsi="宋体" w:cs="宋体"/>
                <w:i w:val="0"/>
                <w:iCs w:val="0"/>
                <w:color w:val="auto"/>
                <w:kern w:val="0"/>
                <w:sz w:val="22"/>
                <w:szCs w:val="22"/>
                <w:highlight w:val="none"/>
                <w:u w:val="none"/>
                <w:lang w:val="en-US" w:eastAsia="zh-CN" w:bidi="ar"/>
              </w:rPr>
              <w:t>。</w:t>
            </w:r>
          </w:p>
        </w:tc>
        <w:tc>
          <w:tcPr>
            <w:tcW w:w="360" w:type="pct"/>
            <w:tcBorders>
              <w:top w:val="single" w:color="000000" w:sz="4" w:space="0"/>
              <w:left w:val="single" w:color="000000" w:sz="4" w:space="0"/>
              <w:bottom w:val="single" w:color="000000" w:sz="4" w:space="0"/>
              <w:right w:val="single" w:color="000000" w:sz="4" w:space="0"/>
            </w:tcBorders>
            <w:noWrap/>
            <w:vAlign w:val="center"/>
          </w:tcPr>
          <w:p w14:paraId="733779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71" w:type="pct"/>
            <w:tcBorders>
              <w:top w:val="single" w:color="000000" w:sz="4" w:space="0"/>
              <w:left w:val="single" w:color="000000" w:sz="4" w:space="0"/>
              <w:bottom w:val="single" w:color="000000" w:sz="4" w:space="0"/>
              <w:right w:val="single" w:color="000000" w:sz="4" w:space="0"/>
            </w:tcBorders>
            <w:noWrap/>
            <w:vAlign w:val="center"/>
          </w:tcPr>
          <w:p w14:paraId="7F7237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2B7BAEE5">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10140" w:type="dxa"/>
        <w:tblInd w:w="-79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40"/>
        <w:gridCol w:w="1155"/>
        <w:gridCol w:w="6630"/>
        <w:gridCol w:w="735"/>
        <w:gridCol w:w="780"/>
      </w:tblGrid>
      <w:tr w14:paraId="3E685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0140" w:type="dxa"/>
            <w:gridSpan w:val="5"/>
            <w:tcBorders>
              <w:top w:val="single" w:color="000000" w:sz="4" w:space="0"/>
              <w:left w:val="single" w:color="000000" w:sz="4" w:space="0"/>
              <w:bottom w:val="single" w:color="000000" w:sz="4" w:space="0"/>
              <w:right w:val="single" w:color="000000" w:sz="4" w:space="0"/>
            </w:tcBorders>
            <w:noWrap/>
            <w:vAlign w:val="center"/>
          </w:tcPr>
          <w:p w14:paraId="4CFB6E3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阅览室</w:t>
            </w:r>
          </w:p>
        </w:tc>
      </w:tr>
      <w:tr w14:paraId="7694D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840" w:type="dxa"/>
            <w:tcBorders>
              <w:top w:val="single" w:color="000000" w:sz="4" w:space="0"/>
              <w:left w:val="single" w:color="000000" w:sz="4" w:space="0"/>
              <w:bottom w:val="single" w:color="000000" w:sz="4" w:space="0"/>
              <w:right w:val="single" w:color="000000" w:sz="4" w:space="0"/>
            </w:tcBorders>
            <w:noWrap/>
            <w:vAlign w:val="center"/>
          </w:tcPr>
          <w:p w14:paraId="148A67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55" w:type="dxa"/>
            <w:tcBorders>
              <w:top w:val="single" w:color="000000" w:sz="4" w:space="0"/>
              <w:left w:val="single" w:color="000000" w:sz="4" w:space="0"/>
              <w:bottom w:val="single" w:color="000000" w:sz="4" w:space="0"/>
              <w:right w:val="single" w:color="000000" w:sz="4" w:space="0"/>
            </w:tcBorders>
            <w:noWrap/>
            <w:vAlign w:val="center"/>
          </w:tcPr>
          <w:p w14:paraId="0C397F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630" w:type="dxa"/>
            <w:tcBorders>
              <w:top w:val="single" w:color="000000" w:sz="4" w:space="0"/>
              <w:left w:val="single" w:color="000000" w:sz="4" w:space="0"/>
              <w:bottom w:val="single" w:color="000000" w:sz="4" w:space="0"/>
              <w:right w:val="single" w:color="000000" w:sz="4" w:space="0"/>
            </w:tcBorders>
            <w:noWrap/>
            <w:vAlign w:val="center"/>
          </w:tcPr>
          <w:p w14:paraId="4525BF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71FDF3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4CEC2F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0B84A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840" w:type="dxa"/>
            <w:tcBorders>
              <w:top w:val="single" w:color="000000" w:sz="4" w:space="0"/>
              <w:left w:val="single" w:color="000000" w:sz="4" w:space="0"/>
              <w:bottom w:val="single" w:color="000000" w:sz="4" w:space="0"/>
              <w:right w:val="single" w:color="000000" w:sz="4" w:space="0"/>
            </w:tcBorders>
            <w:noWrap/>
            <w:vAlign w:val="center"/>
          </w:tcPr>
          <w:p w14:paraId="59C794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16-1</w:t>
            </w:r>
          </w:p>
        </w:tc>
        <w:tc>
          <w:tcPr>
            <w:tcW w:w="1155" w:type="dxa"/>
            <w:tcBorders>
              <w:top w:val="single" w:color="000000" w:sz="4" w:space="0"/>
              <w:left w:val="single" w:color="000000" w:sz="4" w:space="0"/>
              <w:bottom w:val="single" w:color="000000" w:sz="4" w:space="0"/>
              <w:right w:val="single" w:color="000000" w:sz="4" w:space="0"/>
            </w:tcBorders>
            <w:noWrap w:val="0"/>
            <w:vAlign w:val="center"/>
          </w:tcPr>
          <w:p w14:paraId="767FBD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阅览桌</w:t>
            </w:r>
          </w:p>
        </w:tc>
        <w:tc>
          <w:tcPr>
            <w:tcW w:w="6630" w:type="dxa"/>
            <w:tcBorders>
              <w:top w:val="single" w:color="000000" w:sz="4" w:space="0"/>
              <w:left w:val="single" w:color="000000" w:sz="4" w:space="0"/>
              <w:bottom w:val="single" w:color="000000" w:sz="4" w:space="0"/>
              <w:right w:val="single" w:color="000000" w:sz="4" w:space="0"/>
            </w:tcBorders>
            <w:noWrap w:val="0"/>
            <w:vAlign w:val="center"/>
          </w:tcPr>
          <w:p w14:paraId="0A3B89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1、基材：需采用优质环保橡木，木材经防虫、防潮、防腐及三次烘干蒸发处理，甲醛释放量≤0.05mg/L，木材含水率≤10%，符合GB/T3324-2017和GB18584-2001标准。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2、白乳胶：需采用优质环保水基型白乳胶，质量需符合GB 18583-2008《室内装饰装修材料 胶粘剂中有害物质限量》标准，游离甲醛≤0.05g/kg，苯含量≤0.01g/kg，甲苯+二甲苯含量≤0.05g/kg，总挥发性有机物≤80g/L</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3、油漆：需采用优质环保水性底漆和水性面漆，经五底三面工艺，硬度高，符合国家环保要求，挥发性有机化合物含量≤210g/L，苯系物含量≤50mg/kg，乙二醇醚及其酯类含量≤50mg/kg游离甲醛含量≤40mg/kg，需符合GB 24410-2009《室内装饰装修材料水性木器涂料中有害物质限量》(涂料)标准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4、五金件：需采用优质三合一等五金配件，100小时乙酸盐雾试验，耐蚀等级需达到10级，质量需符合QB/T3827-1999（2009）和QB/T3832-1999(2009)标准。</w:t>
            </w:r>
          </w:p>
        </w:tc>
        <w:tc>
          <w:tcPr>
            <w:tcW w:w="735" w:type="dxa"/>
            <w:tcBorders>
              <w:top w:val="single" w:color="000000" w:sz="4" w:space="0"/>
              <w:left w:val="single" w:color="000000" w:sz="4" w:space="0"/>
              <w:bottom w:val="single" w:color="000000" w:sz="4" w:space="0"/>
              <w:right w:val="single" w:color="000000" w:sz="4" w:space="0"/>
            </w:tcBorders>
            <w:noWrap w:val="0"/>
            <w:vAlign w:val="center"/>
          </w:tcPr>
          <w:p w14:paraId="57A635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2F4A35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4E618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840" w:type="dxa"/>
            <w:tcBorders>
              <w:top w:val="single" w:color="000000" w:sz="4" w:space="0"/>
              <w:left w:val="single" w:color="000000" w:sz="4" w:space="0"/>
              <w:bottom w:val="single" w:color="000000" w:sz="4" w:space="0"/>
              <w:right w:val="single" w:color="000000" w:sz="4" w:space="0"/>
            </w:tcBorders>
            <w:noWrap/>
            <w:vAlign w:val="center"/>
          </w:tcPr>
          <w:p w14:paraId="656323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16-2</w:t>
            </w:r>
          </w:p>
        </w:tc>
        <w:tc>
          <w:tcPr>
            <w:tcW w:w="1155" w:type="dxa"/>
            <w:tcBorders>
              <w:top w:val="single" w:color="000000" w:sz="4" w:space="0"/>
              <w:left w:val="single" w:color="000000" w:sz="4" w:space="0"/>
              <w:bottom w:val="single" w:color="000000" w:sz="4" w:space="0"/>
              <w:right w:val="single" w:color="000000" w:sz="4" w:space="0"/>
            </w:tcBorders>
            <w:noWrap w:val="0"/>
            <w:vAlign w:val="center"/>
          </w:tcPr>
          <w:p w14:paraId="28EA9F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阅览椅</w:t>
            </w:r>
          </w:p>
        </w:tc>
        <w:tc>
          <w:tcPr>
            <w:tcW w:w="6630" w:type="dxa"/>
            <w:tcBorders>
              <w:top w:val="single" w:color="000000" w:sz="4" w:space="0"/>
              <w:left w:val="single" w:color="000000" w:sz="4" w:space="0"/>
              <w:bottom w:val="single" w:color="000000" w:sz="4" w:space="0"/>
              <w:right w:val="single" w:color="000000" w:sz="4" w:space="0"/>
            </w:tcBorders>
            <w:noWrap w:val="0"/>
            <w:vAlign w:val="center"/>
          </w:tcPr>
          <w:p w14:paraId="23D15393">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 xml:space="preserve">1、基材：需采用优质环保橡木，木材经防虫、防潮、防腐及三次烘干蒸发处理，甲醛释放量≤0.05mg/L，木材含水率≤10%，符合GB/T3324-2017和GB18584-2001标准。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2、白乳胶：需采用优质环保水基型白乳胶，质量需符合GB 18583-2008《室内装饰装修材料 胶粘剂中有害物质限量》标准，游离甲醛≤0.05g/kg，苯含量≤0.01g/kg，甲苯+二甲苯含量≤0.05g/kg，总挥发性有机物≤80g/L；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3、油漆：需采用优质环保水性底漆和水性面漆，经五底三面工艺，硬度高，符合国家环保要求，挥发性有机化合物含量≤210g/L，苯系物含量≤50mg/kg，乙二醇醚及其酯类含量≤50mg/kg游离甲醛含量≤40mg/kg，需符合GB 24410-2009《室内装饰装修材料水性木器涂料中有害物质限量》(涂料)标准</w:t>
            </w:r>
            <w:r>
              <w:rPr>
                <w:rFonts w:hint="eastAsia" w:ascii="宋体" w:hAnsi="宋体" w:cs="宋体"/>
                <w:i w:val="0"/>
                <w:iCs w:val="0"/>
                <w:color w:val="auto"/>
                <w:kern w:val="0"/>
                <w:sz w:val="22"/>
                <w:szCs w:val="22"/>
                <w:highlight w:val="none"/>
                <w:u w:val="none"/>
                <w:lang w:val="en-US" w:eastAsia="zh-CN" w:bidi="ar"/>
              </w:rPr>
              <w:t>。</w:t>
            </w:r>
          </w:p>
          <w:p w14:paraId="0845A4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4、五金件：需采用优质三合一等五金配件，100小时乙酸盐雾试验，耐蚀等级需达到10级，质量需符合QB/T3827-1999（2009）和QB/T3832-1999(2009)标准。</w:t>
            </w:r>
          </w:p>
        </w:tc>
        <w:tc>
          <w:tcPr>
            <w:tcW w:w="735" w:type="dxa"/>
            <w:tcBorders>
              <w:top w:val="single" w:color="000000" w:sz="4" w:space="0"/>
              <w:left w:val="single" w:color="000000" w:sz="4" w:space="0"/>
              <w:bottom w:val="single" w:color="000000" w:sz="4" w:space="0"/>
              <w:right w:val="single" w:color="000000" w:sz="4" w:space="0"/>
            </w:tcBorders>
            <w:noWrap w:val="0"/>
            <w:vAlign w:val="center"/>
          </w:tcPr>
          <w:p w14:paraId="36351F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2C0D50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r w14:paraId="1DDF1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840" w:type="dxa"/>
            <w:tcBorders>
              <w:top w:val="single" w:color="000000" w:sz="4" w:space="0"/>
              <w:left w:val="single" w:color="000000" w:sz="4" w:space="0"/>
              <w:bottom w:val="single" w:color="000000" w:sz="4" w:space="0"/>
              <w:right w:val="single" w:color="000000" w:sz="4" w:space="0"/>
            </w:tcBorders>
            <w:noWrap/>
            <w:vAlign w:val="center"/>
          </w:tcPr>
          <w:p w14:paraId="417CA5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16-3</w:t>
            </w:r>
          </w:p>
        </w:tc>
        <w:tc>
          <w:tcPr>
            <w:tcW w:w="1155" w:type="dxa"/>
            <w:tcBorders>
              <w:top w:val="single" w:color="000000" w:sz="4" w:space="0"/>
              <w:left w:val="single" w:color="000000" w:sz="4" w:space="0"/>
              <w:bottom w:val="single" w:color="000000" w:sz="4" w:space="0"/>
              <w:right w:val="single" w:color="000000" w:sz="4" w:space="0"/>
            </w:tcBorders>
            <w:noWrap w:val="0"/>
            <w:vAlign w:val="center"/>
          </w:tcPr>
          <w:p w14:paraId="4F1E53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书架</w:t>
            </w:r>
          </w:p>
        </w:tc>
        <w:tc>
          <w:tcPr>
            <w:tcW w:w="6630" w:type="dxa"/>
            <w:tcBorders>
              <w:top w:val="single" w:color="000000" w:sz="4" w:space="0"/>
              <w:left w:val="single" w:color="000000" w:sz="4" w:space="0"/>
              <w:bottom w:val="single" w:color="000000" w:sz="4" w:space="0"/>
              <w:right w:val="single" w:color="000000" w:sz="4" w:space="0"/>
            </w:tcBorders>
            <w:noWrap w:val="0"/>
            <w:vAlign w:val="center"/>
          </w:tcPr>
          <w:p w14:paraId="1A7CF050">
            <w:pPr>
              <w:keepNext w:val="0"/>
              <w:keepLines w:val="0"/>
              <w:widowControl/>
              <w:numPr>
                <w:ilvl w:val="0"/>
                <w:numId w:val="6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产品名称：双柱双面图书架</w:t>
            </w:r>
            <w:r>
              <w:rPr>
                <w:rFonts w:hint="eastAsia" w:ascii="宋体" w:hAnsi="宋体" w:cs="宋体"/>
                <w:i w:val="0"/>
                <w:iCs w:val="0"/>
                <w:color w:val="auto"/>
                <w:kern w:val="0"/>
                <w:sz w:val="22"/>
                <w:szCs w:val="22"/>
                <w:highlight w:val="none"/>
                <w:u w:val="none"/>
                <w:lang w:val="en-US" w:eastAsia="zh-CN" w:bidi="ar"/>
              </w:rPr>
              <w:t>。</w:t>
            </w:r>
          </w:p>
          <w:p w14:paraId="09A37A4F">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　　格：</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2000*900*450 mm</w:t>
            </w:r>
            <w:r>
              <w:rPr>
                <w:rFonts w:hint="eastAsia" w:ascii="宋体" w:hAnsi="宋体" w:cs="宋体"/>
                <w:i w:val="0"/>
                <w:iCs w:val="0"/>
                <w:color w:val="auto"/>
                <w:kern w:val="0"/>
                <w:sz w:val="22"/>
                <w:szCs w:val="22"/>
                <w:highlight w:val="none"/>
                <w:u w:val="none"/>
                <w:lang w:val="en-US" w:eastAsia="zh-CN" w:bidi="ar"/>
              </w:rPr>
              <w:t>。</w:t>
            </w:r>
          </w:p>
          <w:p w14:paraId="0E50D650">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生产工艺：采用二氧化碳保护焊焊接，表面粉末静电喷塑，所有部件均经九工位处理，侧板等重要总要部件均进行磷化处理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可双面存放书刊，增加了储存量，又节约了室内空间。</w:t>
            </w:r>
          </w:p>
          <w:p w14:paraId="7DDE8271">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材质：立柱： 厚度</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1.1mm，冷轧钢板全自动滚压成形，成型尺寸为≥50*34，立柱为六刀六筋折弯结构，安装后可确保搁板、挂板沿立柱的垂直方向调整高度。立柱正面压两条凹型筋，凹槽宽度≥6mm，深度≥2mm，侧面压四条圆型筋增强钢板强度，增强承重力，立柱勾边做圆弧处理，防止挂手且美观牢固</w:t>
            </w:r>
            <w:r>
              <w:rPr>
                <w:rFonts w:hint="eastAsia" w:ascii="宋体" w:hAnsi="宋体" w:cs="宋体"/>
                <w:i w:val="0"/>
                <w:iCs w:val="0"/>
                <w:color w:val="auto"/>
                <w:kern w:val="0"/>
                <w:sz w:val="22"/>
                <w:szCs w:val="22"/>
                <w:highlight w:val="none"/>
                <w:u w:val="none"/>
                <w:lang w:val="en-US" w:eastAsia="zh-CN" w:bidi="ar"/>
              </w:rPr>
              <w:t>。</w:t>
            </w:r>
          </w:p>
          <w:p w14:paraId="2A054807">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搁板：厚度</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0.8mm，冷轧钢板全自动滚压成形，隔板正面有六条凹型筋，增强钢板强度，文件放置上面放置滑动，层均匀承重标准为</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80公斤，隔板侧面压花型处理，钢性好、平整、通用性、互换性好外形美观，隔板内勾边做圆弧处理，牢固防止且存取文件防止挂手。</w:t>
            </w:r>
          </w:p>
          <w:p w14:paraId="64C93008">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挂板：采用整体式结构，厚度</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0.8mm，冷轧钢板全自动滚压成形，表面光滑平整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正面有压型两个椭圆凹槽，增加强度，凹槽上下压型两条长条圆筋，结实坚固耐用，挂板下方压制一条向内的通型圆筋，起到加强牢固作用和隔板架上去以后防止隔板脱落的卡条。</w:t>
            </w:r>
          </w:p>
          <w:p w14:paraId="4FA2AC49">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档书条： 厚度</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0.7 mm，冷轧钢板一次辊压成型 四折三筋 </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正面和侧面各压一条凹型筋，增强钢板强度，层均匀承重，档条两头做小挂钩处理，挂在挂板上面防止堆放资料过多的时候变形而脱落，也起到拉制挂板使挂板增强的效果。</w:t>
            </w:r>
          </w:p>
          <w:p w14:paraId="0E7A51B8">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顶板：厚度</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0.6 mm，表面光滑平整，边缘三折弯，一次成型，门板采用三加强结构。</w:t>
            </w:r>
          </w:p>
          <w:p w14:paraId="591E0E62">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侧护板：厚度</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0.6mm，冷轧钢板冲压成形，中间采用压筋处理，边角采用圆角处理，不易磕碰，每块侧板上装有两个标签框，方便档案查询</w:t>
            </w:r>
            <w:r>
              <w:rPr>
                <w:rFonts w:hint="eastAsia" w:ascii="宋体" w:hAnsi="宋体" w:cs="宋体"/>
                <w:i w:val="0"/>
                <w:iCs w:val="0"/>
                <w:color w:val="auto"/>
                <w:kern w:val="0"/>
                <w:sz w:val="22"/>
                <w:szCs w:val="22"/>
                <w:highlight w:val="none"/>
                <w:u w:val="none"/>
                <w:lang w:val="en-US" w:eastAsia="zh-CN" w:bidi="ar"/>
              </w:rPr>
              <w:t>。</w:t>
            </w:r>
          </w:p>
          <w:p w14:paraId="796D5C40">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承重：搁板单面最大承重为</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80kg</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喷塑：表面光洁度达90%以上。 </w:t>
            </w:r>
          </w:p>
          <w:p w14:paraId="39AA65AD">
            <w:pPr>
              <w:keepNext w:val="0"/>
              <w:keepLines w:val="0"/>
              <w:widowControl/>
              <w:numPr>
                <w:ilvl w:val="0"/>
                <w:numId w:val="6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四点平均膜厚60um～70um，硬度达0.4，冲击力﹥４Ｎ／Ｍ。</w:t>
            </w:r>
          </w:p>
        </w:tc>
        <w:tc>
          <w:tcPr>
            <w:tcW w:w="735" w:type="dxa"/>
            <w:tcBorders>
              <w:top w:val="single" w:color="000000" w:sz="4" w:space="0"/>
              <w:left w:val="single" w:color="000000" w:sz="4" w:space="0"/>
              <w:bottom w:val="single" w:color="000000" w:sz="4" w:space="0"/>
              <w:right w:val="single" w:color="000000" w:sz="4" w:space="0"/>
            </w:tcBorders>
            <w:noWrap w:val="0"/>
            <w:vAlign w:val="center"/>
          </w:tcPr>
          <w:p w14:paraId="316E27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780" w:type="dxa"/>
            <w:tcBorders>
              <w:top w:val="single" w:color="000000" w:sz="4" w:space="0"/>
              <w:left w:val="single" w:color="000000" w:sz="4" w:space="0"/>
              <w:bottom w:val="single" w:color="000000" w:sz="4" w:space="0"/>
              <w:right w:val="single" w:color="000000" w:sz="4" w:space="0"/>
            </w:tcBorders>
            <w:noWrap/>
            <w:vAlign w:val="center"/>
          </w:tcPr>
          <w:p w14:paraId="1A83EA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bl>
    <w:p w14:paraId="6F8C950D">
      <w:pPr>
        <w:pStyle w:val="33"/>
        <w:rPr>
          <w:rFonts w:hint="eastAsia"/>
          <w:color w:val="auto"/>
          <w:highlight w:val="none"/>
        </w:rPr>
      </w:pPr>
    </w:p>
    <w:tbl>
      <w:tblPr>
        <w:tblStyle w:val="43"/>
        <w:tblW w:w="10170" w:type="dxa"/>
        <w:tblInd w:w="-80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55"/>
        <w:gridCol w:w="1155"/>
        <w:gridCol w:w="6630"/>
        <w:gridCol w:w="735"/>
        <w:gridCol w:w="795"/>
      </w:tblGrid>
      <w:tr w14:paraId="07F97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0170" w:type="dxa"/>
            <w:gridSpan w:val="5"/>
            <w:tcBorders>
              <w:top w:val="single" w:color="000000" w:sz="4" w:space="0"/>
              <w:left w:val="single" w:color="000000" w:sz="4" w:space="0"/>
              <w:bottom w:val="single" w:color="000000" w:sz="4" w:space="0"/>
              <w:right w:val="single" w:color="000000" w:sz="4" w:space="0"/>
            </w:tcBorders>
            <w:noWrap/>
            <w:vAlign w:val="center"/>
          </w:tcPr>
          <w:p w14:paraId="0ED3DB5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信息中心</w:t>
            </w:r>
            <w:r>
              <w:rPr>
                <w:rFonts w:hint="eastAsia" w:ascii="宋体" w:hAnsi="宋体" w:cs="宋体"/>
                <w:i w:val="0"/>
                <w:iCs w:val="0"/>
                <w:color w:val="auto"/>
                <w:kern w:val="0"/>
                <w:sz w:val="22"/>
                <w:szCs w:val="22"/>
                <w:highlight w:val="none"/>
                <w:u w:val="none"/>
                <w:lang w:val="en-US" w:eastAsia="zh-CN" w:bidi="ar"/>
              </w:rPr>
              <w:t>（地面面积28平方米左右）</w:t>
            </w:r>
          </w:p>
        </w:tc>
      </w:tr>
      <w:tr w14:paraId="31479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855" w:type="dxa"/>
            <w:tcBorders>
              <w:top w:val="single" w:color="000000" w:sz="4" w:space="0"/>
              <w:left w:val="single" w:color="000000" w:sz="4" w:space="0"/>
              <w:bottom w:val="single" w:color="000000" w:sz="4" w:space="0"/>
              <w:right w:val="single" w:color="000000" w:sz="4" w:space="0"/>
            </w:tcBorders>
            <w:noWrap/>
            <w:vAlign w:val="center"/>
          </w:tcPr>
          <w:p w14:paraId="68E3EB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55" w:type="dxa"/>
            <w:tcBorders>
              <w:top w:val="single" w:color="000000" w:sz="4" w:space="0"/>
              <w:left w:val="single" w:color="000000" w:sz="4" w:space="0"/>
              <w:bottom w:val="single" w:color="000000" w:sz="4" w:space="0"/>
              <w:right w:val="single" w:color="000000" w:sz="4" w:space="0"/>
            </w:tcBorders>
            <w:noWrap/>
            <w:vAlign w:val="center"/>
          </w:tcPr>
          <w:p w14:paraId="76F0C9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630" w:type="dxa"/>
            <w:tcBorders>
              <w:top w:val="single" w:color="000000" w:sz="4" w:space="0"/>
              <w:left w:val="single" w:color="000000" w:sz="4" w:space="0"/>
              <w:bottom w:val="single" w:color="000000" w:sz="4" w:space="0"/>
              <w:right w:val="single" w:color="000000" w:sz="4" w:space="0"/>
            </w:tcBorders>
            <w:noWrap/>
            <w:vAlign w:val="center"/>
          </w:tcPr>
          <w:p w14:paraId="3B7961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F3A80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795" w:type="dxa"/>
            <w:tcBorders>
              <w:top w:val="single" w:color="000000" w:sz="4" w:space="0"/>
              <w:left w:val="single" w:color="000000" w:sz="4" w:space="0"/>
              <w:bottom w:val="single" w:color="000000" w:sz="4" w:space="0"/>
              <w:right w:val="single" w:color="000000" w:sz="4" w:space="0"/>
            </w:tcBorders>
            <w:noWrap/>
            <w:vAlign w:val="center"/>
          </w:tcPr>
          <w:p w14:paraId="3DFBD1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1F3D5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855" w:type="dxa"/>
            <w:tcBorders>
              <w:top w:val="single" w:color="000000" w:sz="4" w:space="0"/>
              <w:left w:val="single" w:color="000000" w:sz="4" w:space="0"/>
              <w:bottom w:val="single" w:color="000000" w:sz="4" w:space="0"/>
              <w:right w:val="single" w:color="000000" w:sz="4" w:space="0"/>
            </w:tcBorders>
            <w:noWrap/>
            <w:vAlign w:val="center"/>
          </w:tcPr>
          <w:p w14:paraId="7698B6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17-1</w:t>
            </w:r>
          </w:p>
        </w:tc>
        <w:tc>
          <w:tcPr>
            <w:tcW w:w="1155" w:type="dxa"/>
            <w:tcBorders>
              <w:top w:val="single" w:color="000000" w:sz="4" w:space="0"/>
              <w:left w:val="single" w:color="000000" w:sz="4" w:space="0"/>
              <w:bottom w:val="single" w:color="000000" w:sz="4" w:space="0"/>
              <w:right w:val="single" w:color="000000" w:sz="4" w:space="0"/>
            </w:tcBorders>
            <w:noWrap w:val="0"/>
            <w:vAlign w:val="center"/>
          </w:tcPr>
          <w:p w14:paraId="1438D5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简易隔音</w:t>
            </w:r>
          </w:p>
        </w:tc>
        <w:tc>
          <w:tcPr>
            <w:tcW w:w="6630" w:type="dxa"/>
            <w:tcBorders>
              <w:top w:val="single" w:color="000000" w:sz="4" w:space="0"/>
              <w:left w:val="single" w:color="000000" w:sz="4" w:space="0"/>
              <w:bottom w:val="single" w:color="000000" w:sz="4" w:space="0"/>
              <w:right w:val="single" w:color="000000" w:sz="4" w:space="0"/>
            </w:tcBorders>
            <w:noWrap w:val="0"/>
            <w:vAlign w:val="center"/>
          </w:tcPr>
          <w:p w14:paraId="2AD7471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信息中心墙面、天花板、窗户做基础隔音</w:t>
            </w:r>
            <w:r>
              <w:rPr>
                <w:rFonts w:hint="eastAsia" w:ascii="宋体" w:hAnsi="宋体" w:cs="宋体"/>
                <w:i w:val="0"/>
                <w:iCs w:val="0"/>
                <w:color w:val="auto"/>
                <w:kern w:val="0"/>
                <w:sz w:val="22"/>
                <w:szCs w:val="22"/>
                <w:highlight w:val="none"/>
                <w:u w:val="none"/>
                <w:lang w:val="en-US" w:eastAsia="zh-CN" w:bidi="ar"/>
              </w:rPr>
              <w:t>。</w:t>
            </w:r>
          </w:p>
        </w:tc>
        <w:tc>
          <w:tcPr>
            <w:tcW w:w="735" w:type="dxa"/>
            <w:tcBorders>
              <w:top w:val="single" w:color="000000" w:sz="4" w:space="0"/>
              <w:left w:val="single" w:color="000000" w:sz="4" w:space="0"/>
              <w:bottom w:val="single" w:color="000000" w:sz="4" w:space="0"/>
              <w:right w:val="single" w:color="000000" w:sz="4" w:space="0"/>
            </w:tcBorders>
            <w:noWrap w:val="0"/>
            <w:vAlign w:val="center"/>
          </w:tcPr>
          <w:p w14:paraId="5AB74F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795" w:type="dxa"/>
            <w:tcBorders>
              <w:top w:val="single" w:color="000000" w:sz="4" w:space="0"/>
              <w:left w:val="single" w:color="000000" w:sz="4" w:space="0"/>
              <w:bottom w:val="single" w:color="000000" w:sz="4" w:space="0"/>
              <w:right w:val="single" w:color="000000" w:sz="4" w:space="0"/>
            </w:tcBorders>
            <w:noWrap/>
            <w:vAlign w:val="center"/>
          </w:tcPr>
          <w:p w14:paraId="762C0F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61E4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855" w:type="dxa"/>
            <w:tcBorders>
              <w:top w:val="single" w:color="000000" w:sz="4" w:space="0"/>
              <w:left w:val="single" w:color="000000" w:sz="4" w:space="0"/>
              <w:bottom w:val="single" w:color="000000" w:sz="4" w:space="0"/>
              <w:right w:val="single" w:color="000000" w:sz="4" w:space="0"/>
            </w:tcBorders>
            <w:noWrap/>
            <w:vAlign w:val="center"/>
          </w:tcPr>
          <w:p w14:paraId="7491BC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17-2</w:t>
            </w:r>
          </w:p>
        </w:tc>
        <w:tc>
          <w:tcPr>
            <w:tcW w:w="1155" w:type="dxa"/>
            <w:tcBorders>
              <w:top w:val="single" w:color="000000" w:sz="4" w:space="0"/>
              <w:left w:val="single" w:color="000000" w:sz="4" w:space="0"/>
              <w:bottom w:val="single" w:color="000000" w:sz="4" w:space="0"/>
              <w:right w:val="single" w:color="000000" w:sz="4" w:space="0"/>
            </w:tcBorders>
            <w:noWrap w:val="0"/>
            <w:vAlign w:val="center"/>
          </w:tcPr>
          <w:p w14:paraId="760845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灯光</w:t>
            </w:r>
          </w:p>
        </w:tc>
        <w:tc>
          <w:tcPr>
            <w:tcW w:w="6630" w:type="dxa"/>
            <w:tcBorders>
              <w:top w:val="single" w:color="000000" w:sz="4" w:space="0"/>
              <w:left w:val="single" w:color="000000" w:sz="4" w:space="0"/>
              <w:bottom w:val="single" w:color="000000" w:sz="4" w:space="0"/>
              <w:right w:val="single" w:color="000000" w:sz="4" w:space="0"/>
            </w:tcBorders>
            <w:noWrap w:val="0"/>
            <w:vAlign w:val="center"/>
          </w:tcPr>
          <w:p w14:paraId="5AAEF8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信息中心灯光布置</w:t>
            </w:r>
            <w:r>
              <w:rPr>
                <w:rFonts w:hint="eastAsia" w:ascii="宋体" w:hAnsi="宋体" w:cs="宋体"/>
                <w:i w:val="0"/>
                <w:iCs w:val="0"/>
                <w:color w:val="auto"/>
                <w:kern w:val="0"/>
                <w:sz w:val="22"/>
                <w:szCs w:val="22"/>
                <w:highlight w:val="none"/>
                <w:u w:val="none"/>
                <w:lang w:val="en-US" w:eastAsia="zh-CN" w:bidi="ar"/>
              </w:rPr>
              <w:t>。</w:t>
            </w:r>
          </w:p>
        </w:tc>
        <w:tc>
          <w:tcPr>
            <w:tcW w:w="735" w:type="dxa"/>
            <w:tcBorders>
              <w:top w:val="single" w:color="000000" w:sz="4" w:space="0"/>
              <w:left w:val="single" w:color="000000" w:sz="4" w:space="0"/>
              <w:bottom w:val="single" w:color="000000" w:sz="4" w:space="0"/>
              <w:right w:val="single" w:color="000000" w:sz="4" w:space="0"/>
            </w:tcBorders>
            <w:noWrap w:val="0"/>
            <w:vAlign w:val="center"/>
          </w:tcPr>
          <w:p w14:paraId="7A6E15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795" w:type="dxa"/>
            <w:tcBorders>
              <w:top w:val="single" w:color="000000" w:sz="4" w:space="0"/>
              <w:left w:val="single" w:color="000000" w:sz="4" w:space="0"/>
              <w:bottom w:val="single" w:color="000000" w:sz="4" w:space="0"/>
              <w:right w:val="single" w:color="000000" w:sz="4" w:space="0"/>
            </w:tcBorders>
            <w:noWrap/>
            <w:vAlign w:val="center"/>
          </w:tcPr>
          <w:p w14:paraId="71B9EC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FB58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855" w:type="dxa"/>
            <w:tcBorders>
              <w:top w:val="single" w:color="000000" w:sz="4" w:space="0"/>
              <w:left w:val="single" w:color="000000" w:sz="4" w:space="0"/>
              <w:bottom w:val="single" w:color="000000" w:sz="4" w:space="0"/>
              <w:right w:val="single" w:color="000000" w:sz="4" w:space="0"/>
            </w:tcBorders>
            <w:noWrap/>
            <w:vAlign w:val="center"/>
          </w:tcPr>
          <w:p w14:paraId="103411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17-3</w:t>
            </w:r>
          </w:p>
        </w:tc>
        <w:tc>
          <w:tcPr>
            <w:tcW w:w="1155" w:type="dxa"/>
            <w:tcBorders>
              <w:top w:val="single" w:color="000000" w:sz="4" w:space="0"/>
              <w:left w:val="single" w:color="000000" w:sz="4" w:space="0"/>
              <w:bottom w:val="single" w:color="000000" w:sz="4" w:space="0"/>
              <w:right w:val="single" w:color="000000" w:sz="4" w:space="0"/>
            </w:tcBorders>
            <w:noWrap w:val="0"/>
            <w:vAlign w:val="center"/>
          </w:tcPr>
          <w:p w14:paraId="5954EF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综合布线</w:t>
            </w:r>
          </w:p>
        </w:tc>
        <w:tc>
          <w:tcPr>
            <w:tcW w:w="6630" w:type="dxa"/>
            <w:tcBorders>
              <w:top w:val="single" w:color="000000" w:sz="4" w:space="0"/>
              <w:left w:val="single" w:color="000000" w:sz="4" w:space="0"/>
              <w:bottom w:val="single" w:color="000000" w:sz="4" w:space="0"/>
              <w:right w:val="single" w:color="000000" w:sz="4" w:space="0"/>
            </w:tcBorders>
            <w:noWrap w:val="0"/>
            <w:vAlign w:val="center"/>
          </w:tcPr>
          <w:p w14:paraId="6A9E16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信息中心的综合布线</w:t>
            </w:r>
            <w:r>
              <w:rPr>
                <w:rFonts w:hint="eastAsia" w:ascii="宋体" w:hAnsi="宋体" w:cs="宋体"/>
                <w:i w:val="0"/>
                <w:iCs w:val="0"/>
                <w:color w:val="auto"/>
                <w:kern w:val="0"/>
                <w:sz w:val="22"/>
                <w:szCs w:val="22"/>
                <w:highlight w:val="none"/>
                <w:u w:val="none"/>
                <w:lang w:val="en-US" w:eastAsia="zh-CN" w:bidi="ar"/>
              </w:rPr>
              <w:t>。</w:t>
            </w:r>
          </w:p>
        </w:tc>
        <w:tc>
          <w:tcPr>
            <w:tcW w:w="735" w:type="dxa"/>
            <w:tcBorders>
              <w:top w:val="single" w:color="000000" w:sz="4" w:space="0"/>
              <w:left w:val="single" w:color="000000" w:sz="4" w:space="0"/>
              <w:bottom w:val="single" w:color="000000" w:sz="4" w:space="0"/>
              <w:right w:val="single" w:color="000000" w:sz="4" w:space="0"/>
            </w:tcBorders>
            <w:noWrap w:val="0"/>
            <w:vAlign w:val="center"/>
          </w:tcPr>
          <w:p w14:paraId="2E3A71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795" w:type="dxa"/>
            <w:tcBorders>
              <w:top w:val="single" w:color="000000" w:sz="4" w:space="0"/>
              <w:left w:val="single" w:color="000000" w:sz="4" w:space="0"/>
              <w:bottom w:val="single" w:color="000000" w:sz="4" w:space="0"/>
              <w:right w:val="single" w:color="000000" w:sz="4" w:space="0"/>
            </w:tcBorders>
            <w:noWrap/>
            <w:vAlign w:val="center"/>
          </w:tcPr>
          <w:p w14:paraId="62A68C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594CC072">
      <w:pPr>
        <w:pStyle w:val="33"/>
        <w:rPr>
          <w:rFonts w:hint="eastAsia"/>
          <w:color w:val="auto"/>
          <w:highlight w:val="none"/>
        </w:rPr>
      </w:pPr>
    </w:p>
    <w:tbl>
      <w:tblPr>
        <w:tblStyle w:val="43"/>
        <w:tblW w:w="5975" w:type="pct"/>
        <w:tblInd w:w="-82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93"/>
        <w:gridCol w:w="1188"/>
        <w:gridCol w:w="6808"/>
        <w:gridCol w:w="769"/>
        <w:gridCol w:w="822"/>
      </w:tblGrid>
      <w:tr w14:paraId="3A5E0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468BA47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智慧体育</w:t>
            </w:r>
          </w:p>
        </w:tc>
      </w:tr>
      <w:tr w14:paraId="02811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5D918E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67" w:type="pct"/>
            <w:tcBorders>
              <w:top w:val="single" w:color="000000" w:sz="4" w:space="0"/>
              <w:left w:val="single" w:color="000000" w:sz="4" w:space="0"/>
              <w:bottom w:val="single" w:color="000000" w:sz="4" w:space="0"/>
              <w:right w:val="single" w:color="000000" w:sz="4" w:space="0"/>
            </w:tcBorders>
            <w:noWrap/>
            <w:vAlign w:val="center"/>
          </w:tcPr>
          <w:p w14:paraId="4C2005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48" w:type="pct"/>
            <w:tcBorders>
              <w:top w:val="single" w:color="000000" w:sz="4" w:space="0"/>
              <w:left w:val="single" w:color="000000" w:sz="4" w:space="0"/>
              <w:bottom w:val="single" w:color="000000" w:sz="4" w:space="0"/>
              <w:right w:val="single" w:color="000000" w:sz="4" w:space="0"/>
            </w:tcBorders>
            <w:noWrap/>
            <w:vAlign w:val="center"/>
          </w:tcPr>
          <w:p w14:paraId="404AB2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67" w:type="pct"/>
            <w:tcBorders>
              <w:top w:val="single" w:color="000000" w:sz="4" w:space="0"/>
              <w:left w:val="single" w:color="000000" w:sz="4" w:space="0"/>
              <w:bottom w:val="single" w:color="000000" w:sz="4" w:space="0"/>
              <w:right w:val="single" w:color="000000" w:sz="4" w:space="0"/>
            </w:tcBorders>
            <w:noWrap/>
            <w:vAlign w:val="center"/>
          </w:tcPr>
          <w:p w14:paraId="41E681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09A4D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57B9B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7FB8E0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18-1</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0C1446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AI长跑测试智能机</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39BE4F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1、部署于跑道外侧，AI视觉模块采集跑步数据，内嵌智慧跑步分析引擎，应用于跑步类项目测试和训练。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2、支持项目：800米和1000米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3、AI视觉分析智能捕捉跑步测试过程视频，无须其他辅助设备或人工参与，自动计算出成绩并上传系统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4、设备支持算法和模型完全独立运行，无需依赖额外的GPU服务器。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5、设备同智慧体育数据平台对接，数据自动上传到数据平台。</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16C584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6B6D1D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A45D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1C5BEC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18-2</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4FF1D1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跑步终点立杆</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15A640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部署于跑步项目终点或跑圈打卡点，横杆长度由覆盖的道次决定。</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334A5D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3471DD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839B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3BC773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18-3</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119B38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室外AI体测智能机-多项目</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7F9D06E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1、室外固定部署，</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21寸触摸设备，外置AI视觉数据采集模块，内嵌AI体育运动分析引擎，AI自动采集与分析运动数据，主要应用于体育测试与训练。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2、体测项目：立定跳远</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1人、仰卧起坐</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3人、跳绳</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7人。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3、锻炼项目：开合跳、高抬腿、深蹲、蹲跳、左右跳等项目1-7人同时运动。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4、产品支持多人随来随测，全程无感、人脸识别、举手即可开始测试，实时输出成绩和对应分数。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5、运动锻炼数据排名，每周运动排行榜。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6、产品同智慧体育数据云平台对接，整合校园运动数据，实现个人、班级、年级的运动数据多维度分析。</w:t>
            </w:r>
          </w:p>
          <w:p w14:paraId="700E7EAA">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rPr>
            </w:pPr>
            <w:r>
              <w:rPr>
                <w:rFonts w:hint="eastAsia" w:ascii="宋体" w:hAnsi="宋体" w:cs="宋体"/>
                <w:i w:val="0"/>
                <w:iCs w:val="0"/>
                <w:color w:val="auto"/>
                <w:kern w:val="0"/>
                <w:sz w:val="22"/>
                <w:szCs w:val="22"/>
                <w:highlight w:val="none"/>
                <w:u w:val="none"/>
                <w:lang w:val="en-US" w:eastAsia="zh-CN"/>
              </w:rPr>
              <w:t>▲7、具有局域网喊话功能，不依赖服务器，AI体育广播APP可选择单个或多个网络音柱设备开始广播喊话，支持调整喊话音量。（提供功能界面截图佐证或提供第三方检验报告复印件，证明材料需体现该功能内容）</w:t>
            </w:r>
          </w:p>
          <w:p w14:paraId="29422A23">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rPr>
            </w:pPr>
            <w:r>
              <w:rPr>
                <w:rFonts w:hint="eastAsia" w:ascii="宋体" w:hAnsi="宋体" w:cs="宋体"/>
                <w:i w:val="0"/>
                <w:iCs w:val="0"/>
                <w:color w:val="auto"/>
                <w:kern w:val="0"/>
                <w:sz w:val="22"/>
                <w:szCs w:val="22"/>
                <w:highlight w:val="none"/>
                <w:u w:val="none"/>
                <w:lang w:val="en-US" w:eastAsia="zh-CN"/>
              </w:rPr>
              <w:t>▲8.可通过在线服务小程序实时查询处理进度，具有“待处理”、“处理中”及“已处理”等版块。（提供功能界面截图佐证或提供第三方检验报告复印件，证明材料需体现该功能内容）</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75A69F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01383B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C876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3A05BB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18-4</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750177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实心球AI体测智能机</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2C95C2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1、室外固定部署，21寸触摸设备，外置AI视觉数据采集模块，内嵌AI体育运动分析引擎，AI自动采集与分析运动数据，主要应用于体育测试与训练。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2、支持实心球测试。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3、设备支持算法和模型完全独立运行，无需依赖额外的GPU服务器，基于AI视觉算法检测和提取运动目标，实时捕捉人体关节点，实现运动过程中的人体姿态识别。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4、设备同智慧体育数据平台对接，运动数据实时统计与多维度分析。</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1EE1D4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70C4F3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7F08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1E6800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18-5</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19178A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足球AI体测智能机</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51115F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1、室外固定部署，</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21寸触摸设备，外置AI视觉数据采集模块，内嵌AI体育运动分析引擎，AI自动采集与分析运动数据，主要应用于体育测试与训练。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2、支持足球绕杆测试。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3、设备支持算法和模型完全独立运行，无需依赖额外的GPU服务器，基于AI视觉算法检测和提取运动目标，实时捕捉人体关节点，实现运动过程中的人体姿态识别。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4、设备同智慧体育数据平台对接，运动数据实时统计与多维度分析。</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1FC1BF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6D39FA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BA6D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0D8407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18-6</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5429C4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篮球AI体测智能机</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204656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1、室外固定部署，</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21寸触摸设备，外置AI视觉数据采集模块，内嵌AI体育运动分析引擎，AI自动采集与分析运动数据，主要应用于体育测试与训练。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2、支持篮球绕杆测试。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3、设备支持算法和模型完全独立运行，无需依赖额外的GPU服务器，基于AI视觉算法检测和提取运动目标，实时捕捉人体关节点，实现运动过程中的人体姿态识别。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4、设备同智慧体育数据平台对接，运动数据实时统计与多维度分析。</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7ECA1C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54DCAF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796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741361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18-7</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392E60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排球AI体测智能机</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19BD238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1、室外固定部署，</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21寸触摸设备，外置AI视觉数据采集模块，内嵌AI体育运动分析引擎，AI自动采集与分析运动数据，主要应用于体育测试与训练。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2、支持排球垫球测试。</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3、设备支持算法和模型完全独立运行，无需依赖额外的GPU服务器，基于AI视觉算法检测和提取运动目标，实时捕捉人体关节点，实现运动过程中的人体姿态识别。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4、设备同智慧体育数据平台对接，运动数据实时统计与多维度分析。</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4EFF33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29C099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EC19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6D21CD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18-8</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28ECCB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球类测试配套立杆</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5EE01D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搭配球类AI体测屏（实心球、足球、篮球必配），测试长杆的实际数量和尺寸要具体定制。</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1E8A7E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6C6E2B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75F07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1C373E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18-9</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742D38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体育学科大数据平台</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1BC3E7ED">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1、平台同AI体育设备连接，整合智慧体育锻炼、教学、测试等数据，总体呈现学生人数、运动时长和测试次数。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2、平台支持学校、年级、班级的锻炼数据概览，提供运动记录、运动排行的查询。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3、平台支持年级、班级、学生的体测数据管理，体测记录、成绩、排行的查询，以及测试计划管理。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4、平台支持课堂教学管理、课程设置管理与教学视频管理。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5、平台支持班级管理、学生管理、账号管理等基础信息管理。</w:t>
            </w:r>
          </w:p>
          <w:p w14:paraId="05168B6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cs="宋体"/>
                <w:i w:val="0"/>
                <w:iCs w:val="0"/>
                <w:color w:val="auto"/>
                <w:kern w:val="0"/>
                <w:sz w:val="22"/>
                <w:szCs w:val="22"/>
                <w:highlight w:val="none"/>
                <w:u w:val="none"/>
                <w:lang w:val="en-US" w:eastAsia="zh-CN"/>
              </w:rPr>
              <w:t>6、</w:t>
            </w:r>
            <w:r>
              <w:rPr>
                <w:rFonts w:hint="eastAsia" w:ascii="宋体" w:hAnsi="宋体" w:eastAsia="宋体" w:cs="宋体"/>
                <w:i w:val="0"/>
                <w:iCs w:val="0"/>
                <w:color w:val="auto"/>
                <w:kern w:val="0"/>
                <w:sz w:val="22"/>
                <w:szCs w:val="22"/>
                <w:highlight w:val="none"/>
                <w:u w:val="none"/>
                <w:lang w:val="en-US" w:eastAsia="zh-CN"/>
              </w:rPr>
              <w:t>年级健康统计报表（BMI）：提供不同年级学生的BMI数据，显示正常、偏瘦和偏胖的比例，追踪学生健康指标的长期变化趋势，为学校评估体育教学对学生健康的影响提供数据支持。（提供功能界面截图佐证或提供第三方检验报告复印件，证明材料需体现该功能内容）</w:t>
            </w:r>
          </w:p>
          <w:p w14:paraId="08CD7E04">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cs="宋体"/>
                <w:i w:val="0"/>
                <w:iCs w:val="0"/>
                <w:color w:val="auto"/>
                <w:kern w:val="0"/>
                <w:sz w:val="22"/>
                <w:szCs w:val="22"/>
                <w:highlight w:val="none"/>
                <w:u w:val="none"/>
                <w:lang w:val="en-US" w:eastAsia="zh-CN"/>
              </w:rPr>
              <w:t>7、</w:t>
            </w:r>
            <w:r>
              <w:rPr>
                <w:rFonts w:hint="eastAsia" w:ascii="宋体" w:hAnsi="宋体" w:eastAsia="宋体" w:cs="宋体"/>
                <w:i w:val="0"/>
                <w:iCs w:val="0"/>
                <w:color w:val="auto"/>
                <w:kern w:val="0"/>
                <w:sz w:val="22"/>
                <w:szCs w:val="22"/>
                <w:highlight w:val="none"/>
                <w:u w:val="none"/>
                <w:lang w:val="en-US" w:eastAsia="zh-CN"/>
              </w:rPr>
              <w:t>AI体育数据驾驶舱运用先进的大数据分析，支持根据校方需求来快速自定义大数据看板，精准体现每个学生，班级和年级数据，以直观的可视化图表形式呈现体育运动数据，是一款全面的数据分析工具，让体育教师和学校管理者清晰掌握体育教学动态。包含七大功能板块，项目运动人次、年级运动情况、年级健康统计报表、测试学生总人数、校园学生达标率变化趋势、校园排行榜、校园运动记录。（提供功能界面截图佐证或提供第三方检验报告复印件，证明材料需体现该功能内容）</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457CDF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43310D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337E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6" w:type="pct"/>
            <w:tcBorders>
              <w:top w:val="single" w:color="000000" w:sz="4" w:space="0"/>
              <w:left w:val="single" w:color="000000" w:sz="4" w:space="0"/>
              <w:bottom w:val="single" w:color="000000" w:sz="4" w:space="0"/>
              <w:right w:val="single" w:color="000000" w:sz="4" w:space="0"/>
            </w:tcBorders>
            <w:noWrap/>
            <w:vAlign w:val="center"/>
          </w:tcPr>
          <w:p w14:paraId="40F45D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18-10</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4FC133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安装辅材</w:t>
            </w:r>
          </w:p>
        </w:tc>
        <w:tc>
          <w:tcPr>
            <w:tcW w:w="3248" w:type="pct"/>
            <w:tcBorders>
              <w:top w:val="single" w:color="000000" w:sz="4" w:space="0"/>
              <w:left w:val="single" w:color="000000" w:sz="4" w:space="0"/>
              <w:bottom w:val="single" w:color="000000" w:sz="4" w:space="0"/>
              <w:right w:val="single" w:color="000000" w:sz="4" w:space="0"/>
            </w:tcBorders>
            <w:noWrap w:val="0"/>
            <w:vAlign w:val="center"/>
          </w:tcPr>
          <w:p w14:paraId="17BCF0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项目实施相关的运输费、人工费、耗材费、设备费等费用。</w:t>
            </w:r>
          </w:p>
        </w:tc>
        <w:tc>
          <w:tcPr>
            <w:tcW w:w="367" w:type="pct"/>
            <w:tcBorders>
              <w:top w:val="single" w:color="000000" w:sz="4" w:space="0"/>
              <w:left w:val="single" w:color="000000" w:sz="4" w:space="0"/>
              <w:bottom w:val="single" w:color="000000" w:sz="4" w:space="0"/>
              <w:right w:val="single" w:color="000000" w:sz="4" w:space="0"/>
            </w:tcBorders>
            <w:noWrap w:val="0"/>
            <w:vAlign w:val="center"/>
          </w:tcPr>
          <w:p w14:paraId="6203F2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90" w:type="pct"/>
            <w:tcBorders>
              <w:top w:val="single" w:color="000000" w:sz="4" w:space="0"/>
              <w:left w:val="single" w:color="000000" w:sz="4" w:space="0"/>
              <w:bottom w:val="single" w:color="000000" w:sz="4" w:space="0"/>
              <w:right w:val="single" w:color="000000" w:sz="4" w:space="0"/>
            </w:tcBorders>
            <w:noWrap w:val="0"/>
            <w:vAlign w:val="center"/>
          </w:tcPr>
          <w:p w14:paraId="46CBC6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5F96F68C">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5975" w:type="pct"/>
        <w:tblInd w:w="-82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70"/>
        <w:gridCol w:w="1188"/>
        <w:gridCol w:w="6812"/>
        <w:gridCol w:w="784"/>
        <w:gridCol w:w="826"/>
      </w:tblGrid>
      <w:tr w14:paraId="069E7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00FDA4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物理实验室</w:t>
            </w:r>
          </w:p>
        </w:tc>
      </w:tr>
      <w:tr w14:paraId="7656C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6D18D2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67" w:type="pct"/>
            <w:tcBorders>
              <w:top w:val="single" w:color="000000" w:sz="4" w:space="0"/>
              <w:left w:val="single" w:color="000000" w:sz="4" w:space="0"/>
              <w:bottom w:val="single" w:color="000000" w:sz="4" w:space="0"/>
              <w:right w:val="single" w:color="000000" w:sz="4" w:space="0"/>
            </w:tcBorders>
            <w:noWrap/>
            <w:vAlign w:val="center"/>
          </w:tcPr>
          <w:p w14:paraId="02AC90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50" w:type="pct"/>
            <w:tcBorders>
              <w:top w:val="single" w:color="000000" w:sz="4" w:space="0"/>
              <w:left w:val="single" w:color="000000" w:sz="4" w:space="0"/>
              <w:bottom w:val="single" w:color="000000" w:sz="4" w:space="0"/>
              <w:right w:val="single" w:color="000000" w:sz="4" w:space="0"/>
            </w:tcBorders>
            <w:noWrap/>
            <w:vAlign w:val="center"/>
          </w:tcPr>
          <w:p w14:paraId="2B1BFF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74" w:type="pct"/>
            <w:tcBorders>
              <w:top w:val="single" w:color="000000" w:sz="4" w:space="0"/>
              <w:left w:val="single" w:color="000000" w:sz="4" w:space="0"/>
              <w:bottom w:val="single" w:color="000000" w:sz="4" w:space="0"/>
              <w:right w:val="single" w:color="000000" w:sz="4" w:space="0"/>
            </w:tcBorders>
            <w:noWrap/>
            <w:vAlign w:val="center"/>
          </w:tcPr>
          <w:p w14:paraId="6CC5EB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392" w:type="pct"/>
            <w:tcBorders>
              <w:top w:val="single" w:color="000000" w:sz="4" w:space="0"/>
              <w:left w:val="single" w:color="000000" w:sz="4" w:space="0"/>
              <w:bottom w:val="single" w:color="000000" w:sz="4" w:space="0"/>
              <w:right w:val="single" w:color="000000" w:sz="4" w:space="0"/>
            </w:tcBorders>
            <w:noWrap/>
            <w:vAlign w:val="center"/>
          </w:tcPr>
          <w:p w14:paraId="1546F5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44032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04A9C3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19-1</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76FF5C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学生实验桌</w:t>
            </w:r>
          </w:p>
        </w:tc>
        <w:tc>
          <w:tcPr>
            <w:tcW w:w="3250" w:type="pct"/>
            <w:tcBorders>
              <w:top w:val="single" w:color="000000" w:sz="4" w:space="0"/>
              <w:left w:val="single" w:color="000000" w:sz="4" w:space="0"/>
              <w:bottom w:val="single" w:color="000000" w:sz="4" w:space="0"/>
              <w:right w:val="single" w:color="000000" w:sz="4" w:space="0"/>
            </w:tcBorders>
            <w:noWrap w:val="0"/>
            <w:vAlign w:val="center"/>
          </w:tcPr>
          <w:p w14:paraId="74748A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【整体架构】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1.规格：≥1200×600×780mm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2、整体构造：采用一体化陶瓷台面，钢铝结构桌架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【书包斗】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3、配备两个书包斗，采用镂空造型，每一个书包斗的规格：≥430*290*180mm，采用PP材料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【台面】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4、台面:采用总厚度为≥12.5mm厚的陶瓷板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【桌架】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5、桌体：全部采用钢材制作，钢厚度≥1.2mm，工字结构设计，确保整体无任何晃动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6、桌架采用高强度钢制成，壁厚≥1.5mm，确保整体稳固性和承重能力</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7、桌腿采用三段式设计，通过高度螺丝连接，下桌腿增加一条钢板，增加下半部分重量，使重心更稳固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8、上腿及下腿：采用钢板折弯形状，壁厚≥1.2mm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9、前中后横梁：壁厚≥1.5mm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10、加强横梁：≥1075*120*40mm，壁厚≥1.5mm，采用椭圆形支撑更稳承重能力更强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11、下桌腿接触地面部分配备脚垫，材质为pp塑胶，采用圆形设计，增大与地面的接触面积确保放置平稳。</w:t>
            </w:r>
          </w:p>
        </w:tc>
        <w:tc>
          <w:tcPr>
            <w:tcW w:w="374" w:type="pct"/>
            <w:tcBorders>
              <w:top w:val="single" w:color="000000" w:sz="4" w:space="0"/>
              <w:left w:val="single" w:color="000000" w:sz="4" w:space="0"/>
              <w:bottom w:val="single" w:color="000000" w:sz="4" w:space="0"/>
              <w:right w:val="single" w:color="000000" w:sz="4" w:space="0"/>
            </w:tcBorders>
            <w:noWrap w:val="0"/>
            <w:vAlign w:val="center"/>
          </w:tcPr>
          <w:p w14:paraId="22D2AE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92" w:type="pct"/>
            <w:tcBorders>
              <w:top w:val="single" w:color="000000" w:sz="4" w:space="0"/>
              <w:left w:val="single" w:color="000000" w:sz="4" w:space="0"/>
              <w:bottom w:val="single" w:color="000000" w:sz="4" w:space="0"/>
              <w:right w:val="single" w:color="000000" w:sz="4" w:space="0"/>
            </w:tcBorders>
            <w:noWrap w:val="0"/>
            <w:vAlign w:val="center"/>
          </w:tcPr>
          <w:p w14:paraId="11882F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30C28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6114DA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19-2</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7ACA9F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学生实验凳</w:t>
            </w:r>
          </w:p>
        </w:tc>
        <w:tc>
          <w:tcPr>
            <w:tcW w:w="3250" w:type="pct"/>
            <w:tcBorders>
              <w:top w:val="single" w:color="000000" w:sz="4" w:space="0"/>
              <w:left w:val="single" w:color="000000" w:sz="4" w:space="0"/>
              <w:bottom w:val="single" w:color="000000" w:sz="4" w:space="0"/>
              <w:right w:val="single" w:color="000000" w:sz="4" w:space="0"/>
            </w:tcBorders>
            <w:noWrap w:val="0"/>
            <w:vAlign w:val="center"/>
          </w:tcPr>
          <w:p w14:paraId="175D5B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【整体架构】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1、整体规格：采用钢塑复合材质，核心部件包括凳面、凳架、脚垫等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2、高度调节：具有高度调节功能，具有内螺杆，可以通过旋转凳面进行高度调节，配备锁止环可以防止凳面打滑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【凳面】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3、凳面规格：采用ABS工程塑料材质，采用一体注塑压成，直径300mm（±5%），高度30mm（±5%），材料边缘厚度5mm（±5%），结实耐用，不易变形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4、凳面纹路：带有纹路，具有一定的耐磨、耐划特性；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【凳架】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5、凳架由凳面固定盘、升降内螺杆、立柱、凳脚、塑胶脚垫等部件构成，升降内螺杆、立柱和凳脚三者之间采用焊接工艺连接，表面采用酸洗磷化+环氧树脂粉末喷涂+高温固化工艺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6、凳面固定盘：方形固定盘，采用冷轧钢板材质，固定盘尺寸≥150mm×150mm（长×宽），主承载壁基材厚度（不含表面处理层）≥2mm，通过≥4颗≥M6螺丝与凳面连接，通过≥20mm的内螺纹与升降内螺杆连接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7、升降内螺杆：采用45号钢材质，行程≥120mm，凳面最低高度为离地面≥400mm，凳面最大高度为离地面≥520mm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8、凳架立柱：采用截面规格≥φ32mm×100mm碳钢圆管，圆管主承载壁基材厚度（不含表面处理层）≥1.2mm，长度≥100mm，表面采用酸洗磷化+环氧树脂粉末喷涂+高温固化工艺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9、凳脚数量：≥4个凳脚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10、凳脚规格：采用截面规格≥16mm×34mm碳钢方管，方管基材主承载壁基材厚度（不含表面处理层）≥1.2mm，长度≥400mm，表面采用酸洗磷化+环氧树脂粉末喷涂+高温固化工艺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11、配件：配备≥4个ABS材质塑胶脚垫，安装在凳脚末端，使用时可减少地面摩擦。</w:t>
            </w:r>
          </w:p>
        </w:tc>
        <w:tc>
          <w:tcPr>
            <w:tcW w:w="374" w:type="pct"/>
            <w:tcBorders>
              <w:top w:val="single" w:color="000000" w:sz="4" w:space="0"/>
              <w:left w:val="single" w:color="000000" w:sz="4" w:space="0"/>
              <w:bottom w:val="single" w:color="000000" w:sz="4" w:space="0"/>
              <w:right w:val="single" w:color="000000" w:sz="4" w:space="0"/>
            </w:tcBorders>
            <w:noWrap w:val="0"/>
            <w:vAlign w:val="center"/>
          </w:tcPr>
          <w:p w14:paraId="5E6994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w:t>
            </w:r>
          </w:p>
        </w:tc>
        <w:tc>
          <w:tcPr>
            <w:tcW w:w="392" w:type="pct"/>
            <w:tcBorders>
              <w:top w:val="single" w:color="000000" w:sz="4" w:space="0"/>
              <w:left w:val="single" w:color="000000" w:sz="4" w:space="0"/>
              <w:bottom w:val="single" w:color="000000" w:sz="4" w:space="0"/>
              <w:right w:val="single" w:color="000000" w:sz="4" w:space="0"/>
            </w:tcBorders>
            <w:noWrap w:val="0"/>
            <w:vAlign w:val="center"/>
          </w:tcPr>
          <w:p w14:paraId="670564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r w14:paraId="7EB4E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062C4B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19-3</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68AF64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学生智能电源</w:t>
            </w:r>
          </w:p>
        </w:tc>
        <w:tc>
          <w:tcPr>
            <w:tcW w:w="3250" w:type="pct"/>
            <w:tcBorders>
              <w:top w:val="single" w:color="000000" w:sz="4" w:space="0"/>
              <w:left w:val="single" w:color="000000" w:sz="4" w:space="0"/>
              <w:bottom w:val="single" w:color="000000" w:sz="4" w:space="0"/>
              <w:right w:val="single" w:color="000000" w:sz="4" w:space="0"/>
            </w:tcBorders>
            <w:noWrap w:val="0"/>
            <w:vAlign w:val="center"/>
          </w:tcPr>
          <w:p w14:paraId="67FAC6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1、主要功能：用于在实验室教学过程中提供稳定的电源供应，支持教师远程控制、交直流输出调节等功能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2、整体构成：包含电源盒、电源调节面板等部件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3、整体规格：外尺寸≥290mm×180mm×160mm（长×宽×高）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4、安装方式：通过螺丝固定在学生实验桌的桌面下方</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5、产品符合GB/T 18268.1相关要求，辐射骚扰、静电放电、浪涌、电压暂降，短时中断、工频磁场 5 项检测项目为合格（结论均为 "P"）</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6、产品通过耐机械冲击和撞击测试，静态30N及动态5J，大范围降低、电压击穿及暴露位置的损伤描述为否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7、产品通过介电强度测试，实验电压2717Vr.m.s，输入到塑料外壳 、输入到可接触输出端子，测试结果为无击穿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【电源盒】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8、电源盒主体选用丙烯腈-丁二烯-苯乙烯塑料（ABS）材质，采用高精度模具注塑成型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9、翻盖式设计：面向使用者方向设有翻盖舱门，翻盖舱门内装有电源调节面板，不使用时可将舱门合上保护电源，防止落尘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【电源调节面板】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10、电源变压板和电源控制板采用分体式设计，分别为独立的PCB电路板，防止电器干扰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11、电源调节面板材质采用亚克力贴片饰面，防止PCB电路板落尘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12、电源调节面板集成了低压交直流输出、高压交流220V输出功能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13、调节面板具有≥1个数字电压显示器，尺寸≥20mm×10mm（长×宽），支持显示当前输出电压，支持显示小数点前≥2位数、小数点后≥1位数，电压分度值≤0.1V，直流电压输出误差≤0.2V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14、调节面板具有≥1个数字调压旋钮，旋钮支持顺/逆时针旋转和按压操作方式，通过顺/逆时针旋转可调节电压，通过按压旋钮可切换交流（AC）和直流（DC）输出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15、具有≥1组红（+）、黑（-）接线柱或香蕉座，具有交流（AC）和直流（DC）输出状态指示灯，能够实时指示当前交直流输出工作状态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16、输出电压范围：可调电压范围≥0V-30V，满足不同实验对电压的需求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17、限流保护：交直流调压输出均支持1.0A（±0.2A）限流电流保护功能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18、额定功率：额定功率≥30W，可稳定驱动功率范围内的用电设备</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19、纹波与噪声：最大纹波峰峰值≤400mV，能保障输出电源的稳定性与纯净度，降低电源波动对精密设备的影响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20、输入电压范围：AC 175-260V，能适应不同地区电网电压波动，保障设备在复杂电网环境下稳定运行，在输入电压范围内线路调整率≤±3%</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21、额定输入电流≥0.5A（AC 230V时）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22、输入交流电压频率范围45-60Hz</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23、具有≥1个标准五孔插座，可输出AC 220V电压，用于连接需要AC 220V 电源的实验仪器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支持RS485串口远程控制，支持Modbus协议，可通过教师电源等设备进行RS485远程控制，支持远程锁定、远程同步电压、远程开关220V输出等操作；支持单控和组控模式，可实现对单台或多台学生电源的集中管理；可使用电脑或支持单控功能的教师电源对教室内任意一台设备进行远程单独开关、单独调压、单独开关AC 220V输出等操作，便于精细化管控。</w:t>
            </w:r>
          </w:p>
        </w:tc>
        <w:tc>
          <w:tcPr>
            <w:tcW w:w="374" w:type="pct"/>
            <w:tcBorders>
              <w:top w:val="single" w:color="000000" w:sz="4" w:space="0"/>
              <w:left w:val="single" w:color="000000" w:sz="4" w:space="0"/>
              <w:bottom w:val="single" w:color="000000" w:sz="4" w:space="0"/>
              <w:right w:val="single" w:color="000000" w:sz="4" w:space="0"/>
            </w:tcBorders>
            <w:noWrap w:val="0"/>
            <w:vAlign w:val="center"/>
          </w:tcPr>
          <w:p w14:paraId="6DB9B9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392" w:type="pct"/>
            <w:tcBorders>
              <w:top w:val="single" w:color="000000" w:sz="4" w:space="0"/>
              <w:left w:val="single" w:color="000000" w:sz="4" w:space="0"/>
              <w:bottom w:val="single" w:color="000000" w:sz="4" w:space="0"/>
              <w:right w:val="single" w:color="000000" w:sz="4" w:space="0"/>
            </w:tcBorders>
            <w:noWrap w:val="0"/>
            <w:vAlign w:val="center"/>
          </w:tcPr>
          <w:p w14:paraId="3ED73E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34239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4590E7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19-4</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3DC06C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教师演示台</w:t>
            </w:r>
          </w:p>
        </w:tc>
        <w:tc>
          <w:tcPr>
            <w:tcW w:w="3250" w:type="pct"/>
            <w:tcBorders>
              <w:top w:val="single" w:color="000000" w:sz="4" w:space="0"/>
              <w:left w:val="single" w:color="000000" w:sz="4" w:space="0"/>
              <w:bottom w:val="single" w:color="000000" w:sz="4" w:space="0"/>
              <w:right w:val="single" w:color="000000" w:sz="4" w:space="0"/>
            </w:tcBorders>
            <w:noWrap w:val="0"/>
            <w:vAlign w:val="center"/>
          </w:tcPr>
          <w:p w14:paraId="517E3079">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【整体架构】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1、规格：≥2400*700*850mm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2、整体构造：含台面、柜门、抽屉、脚垫等组合式全钢结构</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【台面】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仿宋" w:hAnsi="仿宋" w:eastAsia="仿宋" w:cs="仿宋"/>
                <w:color w:val="auto"/>
                <w:sz w:val="21"/>
                <w:szCs w:val="21"/>
                <w:highlight w:val="none"/>
                <w:lang w:val="en-US" w:eastAsia="zh-CN"/>
              </w:rPr>
              <w:t>▲</w:t>
            </w:r>
            <w:r>
              <w:rPr>
                <w:rFonts w:hint="eastAsia" w:ascii="宋体" w:hAnsi="宋体" w:eastAsia="宋体" w:cs="宋体"/>
                <w:i w:val="0"/>
                <w:iCs w:val="0"/>
                <w:color w:val="auto"/>
                <w:kern w:val="0"/>
                <w:sz w:val="22"/>
                <w:szCs w:val="22"/>
                <w:highlight w:val="none"/>
                <w:u w:val="none"/>
                <w:lang w:val="en-US" w:eastAsia="zh-CN" w:bidi="ar"/>
              </w:rPr>
              <w:t>3、采用≥13mm优抗板制作，台面满足：</w:t>
            </w:r>
          </w:p>
          <w:p w14:paraId="7EAA135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物理性能：依据GB/T7911-2024《热固性树脂浸渍纸高压装饰层积板(HPL)》：平整度、密度、耐水蒸气、耐龟裂、耐光色牢度、弯曲弹性模量等项目测试，结果至少达到：平整度≤3.0mm/m；密度≥1.35g/cm³；耐水蒸气：光泽≥3级，其他≥4级；耐龟裂≥4级；耐光色牢度≥4-5级；弯曲弹性模量≥9000MPa。</w:t>
            </w:r>
          </w:p>
          <w:p w14:paraId="4F1F738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抗细菌性能：依据JC/T 2039-2010《抗菌防霉木质装饰板》：抗细菌率≥90%，其中至少包含菌种：金黄色葡萄球菌、大肠杆菌（大肠埃希氏菌）、肠沙门氏菌肠亚种伤寒血清型、产气肠杆菌 、白色葡萄球菌 、霍乱弧菌、酿脓链球菌、洋葱伯克霍尔德氏菌、耐甲氧西林金黄色葡萄球菌、阴沟肠杆菌 、痢疾志贺氏菌、海氏肠球菌、肠炎沙门氏菌、嗜肺军团菌、粘质沙雷伯氏菌等。</w:t>
            </w:r>
          </w:p>
          <w:p w14:paraId="15A1147E">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防霉菌耐久性能：依据JC/T 2039-2010《抗菌防霉木质装饰板》：防霉菌耐久性能-防霉菌等级至少达到0级，至少包含霉菌：黑曲霉、土曲霉、宛氏拟青霉、绳状青霉、出芽短梗霉、球毛壳霉、康宁木霉、绿粘帚霉、光孢短柄帚霉、烟曲霉、正灰绿青霉、树脂子囊菌、串珠镰刀菌、密粘褶菌、寄生曲霉、平滑正青霉等。</w:t>
            </w:r>
          </w:p>
          <w:p w14:paraId="0F0A992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环保性能：依据GB/T 23825-2022《人造板及其制品中甲醛释放量测定气体分析法》：甲醛释放量测试，检测结果≤2.0mg/(㎡·h)；依据GB 18584-2024 《家具中有害物质限量》：多溴联苯、多溴二苯醚，结果均达到未检出。</w:t>
            </w:r>
          </w:p>
          <w:p w14:paraId="7B648FE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抗老化性能：依据GB/T 17657-2022《人造板及饰面人造板理化性能试验方法》：加速老化性能，加速老化循环后吸水厚度膨胀率≤0.3%、加速老化循环后静曲强度≥80MPa；表面吸收性能，结果≥200mm。</w:t>
            </w:r>
          </w:p>
          <w:p w14:paraId="6E40E0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（提供第三方检验报告复印件，报告中需体现</w:t>
            </w:r>
            <w:r>
              <w:rPr>
                <w:rFonts w:hint="eastAsia" w:ascii="宋体" w:hAnsi="宋体" w:cs="宋体"/>
                <w:i w:val="0"/>
                <w:iCs w:val="0"/>
                <w:color w:val="auto"/>
                <w:kern w:val="0"/>
                <w:sz w:val="22"/>
                <w:szCs w:val="22"/>
                <w:highlight w:val="none"/>
                <w:u w:val="none"/>
                <w:lang w:val="en-US" w:eastAsia="zh-CN" w:bidi="ar"/>
              </w:rPr>
              <w:t>以上性能参数</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【桌架】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4、桌身：整体采用≥0.8mm厚优质冷轧钢板，全部钢制件纳米陶瓷镀膜防锈处理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5、整体讲台由≥3个独立的柜体组合而成，柜体中预留了教师主控电源、电脑键盘、水槽安装等位置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6、布线布管：在柜体的底部预留了电路、水路、气路的布线布管可拆除的板，便于安装讲台时的水、电、气安装，避免现场开孔</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7、拉手：在柜门或抽屉正面上方处一体折弯而成，外观整体流畅，造型独特美观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8、防撞胶垫：装于抽屉及门板内侧，减缓碰撞，保护柜体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9、门板及抽面：采用双层钢板，必须两层组装式设计，保证两层双面都经过喷涂处理，保证门板和抽面具备较强硬度，不轻易出现凹陷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10、铰链：采用优质铰链，或升级为优质304不锈钢铰链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11、滑轨：三节重型滚珠滑轨，承重性强，滑动性能良好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12、固定桌脚：采用柜体内置可调PP塑料调整脚，保证调整脚前后都可以调节高低。</w:t>
            </w:r>
          </w:p>
        </w:tc>
        <w:tc>
          <w:tcPr>
            <w:tcW w:w="374" w:type="pct"/>
            <w:tcBorders>
              <w:top w:val="single" w:color="000000" w:sz="4" w:space="0"/>
              <w:left w:val="single" w:color="000000" w:sz="4" w:space="0"/>
              <w:bottom w:val="single" w:color="000000" w:sz="4" w:space="0"/>
              <w:right w:val="single" w:color="000000" w:sz="4" w:space="0"/>
            </w:tcBorders>
            <w:noWrap w:val="0"/>
            <w:vAlign w:val="center"/>
          </w:tcPr>
          <w:p w14:paraId="49F9FA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92" w:type="pct"/>
            <w:tcBorders>
              <w:top w:val="single" w:color="000000" w:sz="4" w:space="0"/>
              <w:left w:val="single" w:color="000000" w:sz="4" w:space="0"/>
              <w:bottom w:val="single" w:color="000000" w:sz="4" w:space="0"/>
              <w:right w:val="single" w:color="000000" w:sz="4" w:space="0"/>
            </w:tcBorders>
            <w:noWrap w:val="0"/>
            <w:vAlign w:val="center"/>
          </w:tcPr>
          <w:p w14:paraId="425DD7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5BCA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7B16C1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19-5</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03201D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教师主控电源</w:t>
            </w:r>
          </w:p>
        </w:tc>
        <w:tc>
          <w:tcPr>
            <w:tcW w:w="3250" w:type="pct"/>
            <w:tcBorders>
              <w:top w:val="single" w:color="000000" w:sz="4" w:space="0"/>
              <w:left w:val="single" w:color="000000" w:sz="4" w:space="0"/>
              <w:bottom w:val="single" w:color="000000" w:sz="4" w:space="0"/>
              <w:right w:val="single" w:color="000000" w:sz="4" w:space="0"/>
            </w:tcBorders>
            <w:noWrap w:val="0"/>
            <w:vAlign w:val="center"/>
          </w:tcPr>
          <w:p w14:paraId="57C60DAE">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1、操作面板：采用钢化玻璃材质，规格：≥长 418mm× 宽 2183mm，搭配抽屉式设计，兼具美观与实用特性，既保证面板的耐用性和视觉效果，又便于日常操作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2、机身结构：运用钣金加强工艺打造，有效增强机身强度，确保在按压操作过程中稳固可靠，彻底消除塌陷风险，保障设备长期稳定使用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3、电路保护与控制：配备≥1 路漏电保护器，可对整个教室的学生电源和老师电源进行统一管控；同时设有≥4 路空气开关，能够将学生电源分为 4 组分别控制，实现灵活的电路管理与安全防护</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4、直流稳压输出：具备≥2 组独立的 9V40A 直流稳压输出，与教师电源输出相互独立，互不干扰，满足不同实验设备的用电需求，确保供电稳定</w:t>
            </w:r>
            <w:r>
              <w:rPr>
                <w:rFonts w:hint="eastAsia" w:ascii="宋体" w:hAnsi="宋体" w:cs="宋体"/>
                <w:i w:val="0"/>
                <w:iCs w:val="0"/>
                <w:color w:val="auto"/>
                <w:kern w:val="0"/>
                <w:sz w:val="22"/>
                <w:szCs w:val="22"/>
                <w:highlight w:val="none"/>
                <w:u w:val="none"/>
                <w:lang w:val="en-US" w:eastAsia="zh-CN" w:bidi="ar"/>
              </w:rPr>
              <w:t>。</w:t>
            </w:r>
          </w:p>
          <w:p w14:paraId="5ADACF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5、教师电源输出控制：采用液晶智能旋钮控制教师电源输出，设有≥1 组标准香蕉接口用于输出稳压直流电，≥1组标准香蕉接口用于输出稳压交流电，可按需灵活切换交直流输出模式，满足多样化实验教学需求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6、液晶智能旋钮参数：液晶智能旋钮外尺寸≥49mm，旋钮中心配置 2 个≥3 位 LED 数码管显示屏，可实时显示电压和电流数值；通过旋钮可调节电压输出，并同步查看电流情况，方便教师精准控制电源输出参数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7、调压电源功率与电流：调压电源总功率≥90W，直流和交流输出在 0 至 18V 区间时，最大电流可达 6A；在 18V 至 30V 区间时，最大电流为 3A，适应不同电压和电流需求的实验设备运行</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8、直流输出：具备≥1 组直流 0~30V 可调输出，可根据实际需求灵活调节输出电压，满足多样化的实验供电要求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9、交流输出：配置≥1 组交流 0~30V 可调输出，输出波形为 50Hz 方波，为特定实验场景提供标准的方波交流电，确保实验数据的准确性与稳定性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10、电压精度：在无负载状态下，输出电压误差≤0.2V，确保电源输出电压的精准度，为实验提供稳定可靠的电力支持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11、交流插座配置：设有≥2 路五孔 220V 国标交流插座（二三插），适配多种常用电器设备，满足教室日常用电及实验设备的交流供电需求。</w:t>
            </w:r>
          </w:p>
        </w:tc>
        <w:tc>
          <w:tcPr>
            <w:tcW w:w="374" w:type="pct"/>
            <w:tcBorders>
              <w:top w:val="single" w:color="000000" w:sz="4" w:space="0"/>
              <w:left w:val="single" w:color="000000" w:sz="4" w:space="0"/>
              <w:bottom w:val="single" w:color="000000" w:sz="4" w:space="0"/>
              <w:right w:val="single" w:color="000000" w:sz="4" w:space="0"/>
            </w:tcBorders>
            <w:noWrap w:val="0"/>
            <w:vAlign w:val="center"/>
          </w:tcPr>
          <w:p w14:paraId="510FE5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392" w:type="pct"/>
            <w:tcBorders>
              <w:top w:val="single" w:color="000000" w:sz="4" w:space="0"/>
              <w:left w:val="single" w:color="000000" w:sz="4" w:space="0"/>
              <w:bottom w:val="single" w:color="000000" w:sz="4" w:space="0"/>
              <w:right w:val="single" w:color="000000" w:sz="4" w:space="0"/>
            </w:tcBorders>
            <w:noWrap w:val="0"/>
            <w:vAlign w:val="center"/>
          </w:tcPr>
          <w:p w14:paraId="3593A5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F68A0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4F1F2A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19-6</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3BEF3F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教师转椅</w:t>
            </w:r>
          </w:p>
        </w:tc>
        <w:tc>
          <w:tcPr>
            <w:tcW w:w="3250" w:type="pct"/>
            <w:tcBorders>
              <w:top w:val="single" w:color="000000" w:sz="4" w:space="0"/>
              <w:left w:val="single" w:color="000000" w:sz="4" w:space="0"/>
              <w:bottom w:val="single" w:color="000000" w:sz="4" w:space="0"/>
              <w:right w:val="single" w:color="000000" w:sz="4" w:space="0"/>
            </w:tcBorders>
            <w:noWrap w:val="0"/>
            <w:vAlign w:val="center"/>
          </w:tcPr>
          <w:p w14:paraId="607B03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【整体规格】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1、整体尺寸：≥500mm×500mm×800mm（长×宽×高）；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2、高度调节：支持气动升降功能，可平滑调节座椅高度，配备静音滑轮，移动无噪音且不损伤地面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【面料材质】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3、靠背及座面采用高密度网布格面料，具有高耐磨、抗撕裂特性，符合国家阻燃标准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【骨架与结构】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4、骨架采用高强度钢管或工程塑料，结构稳固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5、气动升降装置操作便捷，支持用户在一定范围内无极调节高度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6、底部配备PU或软胶材质静音滑轮，移动平稳安静，保护地板表面。</w:t>
            </w:r>
          </w:p>
        </w:tc>
        <w:tc>
          <w:tcPr>
            <w:tcW w:w="374" w:type="pct"/>
            <w:tcBorders>
              <w:top w:val="single" w:color="000000" w:sz="4" w:space="0"/>
              <w:left w:val="single" w:color="000000" w:sz="4" w:space="0"/>
              <w:bottom w:val="single" w:color="000000" w:sz="4" w:space="0"/>
              <w:right w:val="single" w:color="000000" w:sz="4" w:space="0"/>
            </w:tcBorders>
            <w:noWrap w:val="0"/>
            <w:vAlign w:val="center"/>
          </w:tcPr>
          <w:p w14:paraId="59C075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392" w:type="pct"/>
            <w:tcBorders>
              <w:top w:val="single" w:color="000000" w:sz="4" w:space="0"/>
              <w:left w:val="single" w:color="000000" w:sz="4" w:space="0"/>
              <w:bottom w:val="single" w:color="000000" w:sz="4" w:space="0"/>
              <w:right w:val="single" w:color="000000" w:sz="4" w:space="0"/>
            </w:tcBorders>
            <w:noWrap w:val="0"/>
            <w:vAlign w:val="center"/>
          </w:tcPr>
          <w:p w14:paraId="6F6593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8717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415" w:type="pct"/>
            <w:tcBorders>
              <w:top w:val="single" w:color="000000" w:sz="4" w:space="0"/>
              <w:left w:val="single" w:color="000000" w:sz="4" w:space="0"/>
              <w:bottom w:val="single" w:color="000000" w:sz="4" w:space="0"/>
              <w:right w:val="single" w:color="000000" w:sz="4" w:space="0"/>
            </w:tcBorders>
            <w:noWrap/>
            <w:vAlign w:val="center"/>
          </w:tcPr>
          <w:p w14:paraId="0D6C1D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19-7</w:t>
            </w:r>
          </w:p>
        </w:tc>
        <w:tc>
          <w:tcPr>
            <w:tcW w:w="567" w:type="pct"/>
            <w:tcBorders>
              <w:top w:val="single" w:color="000000" w:sz="4" w:space="0"/>
              <w:left w:val="single" w:color="000000" w:sz="4" w:space="0"/>
              <w:bottom w:val="single" w:color="000000" w:sz="4" w:space="0"/>
              <w:right w:val="single" w:color="000000" w:sz="4" w:space="0"/>
            </w:tcBorders>
            <w:noWrap w:val="0"/>
            <w:vAlign w:val="center"/>
          </w:tcPr>
          <w:p w14:paraId="728418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50" w:type="pct"/>
            <w:tcBorders>
              <w:top w:val="single" w:color="000000" w:sz="4" w:space="0"/>
              <w:left w:val="single" w:color="000000" w:sz="4" w:space="0"/>
              <w:bottom w:val="single" w:color="000000" w:sz="4" w:space="0"/>
              <w:right w:val="single" w:color="000000" w:sz="4" w:space="0"/>
            </w:tcBorders>
            <w:noWrap w:val="0"/>
            <w:vAlign w:val="center"/>
          </w:tcPr>
          <w:p w14:paraId="537C62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普通类实验室全套设备设施包含：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1、桌椅讲台功能柱等设备安装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2、电线：国标优质铜芯线4mm²电线、2.5mm²电线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3、pvc线管、金属吊架及五金件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4、配套电工胶布，护套管等辅助材料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5、地上明管线的安装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6、讲台学生位接线及调试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7、安装完成后的场室清洁工作。</w:t>
            </w:r>
          </w:p>
        </w:tc>
        <w:tc>
          <w:tcPr>
            <w:tcW w:w="374" w:type="pct"/>
            <w:tcBorders>
              <w:top w:val="single" w:color="000000" w:sz="4" w:space="0"/>
              <w:left w:val="single" w:color="000000" w:sz="4" w:space="0"/>
              <w:bottom w:val="single" w:color="000000" w:sz="4" w:space="0"/>
              <w:right w:val="single" w:color="000000" w:sz="4" w:space="0"/>
            </w:tcBorders>
            <w:noWrap w:val="0"/>
            <w:vAlign w:val="center"/>
          </w:tcPr>
          <w:p w14:paraId="7ABE3B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392" w:type="pct"/>
            <w:tcBorders>
              <w:top w:val="single" w:color="000000" w:sz="4" w:space="0"/>
              <w:left w:val="single" w:color="000000" w:sz="4" w:space="0"/>
              <w:bottom w:val="single" w:color="000000" w:sz="4" w:space="0"/>
              <w:right w:val="single" w:color="000000" w:sz="4" w:space="0"/>
            </w:tcBorders>
            <w:noWrap w:val="0"/>
            <w:vAlign w:val="center"/>
          </w:tcPr>
          <w:p w14:paraId="546C55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71434186">
      <w:pPr>
        <w:pStyle w:val="33"/>
        <w:rPr>
          <w:rFonts w:hint="eastAsia"/>
          <w:color w:val="auto"/>
          <w:highlight w:val="none"/>
        </w:rPr>
      </w:pPr>
    </w:p>
    <w:tbl>
      <w:tblPr>
        <w:tblStyle w:val="43"/>
        <w:tblW w:w="10200" w:type="dxa"/>
        <w:tblInd w:w="-83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40"/>
        <w:gridCol w:w="1185"/>
        <w:gridCol w:w="6600"/>
        <w:gridCol w:w="765"/>
        <w:gridCol w:w="810"/>
      </w:tblGrid>
      <w:tr w14:paraId="02424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0200" w:type="dxa"/>
            <w:gridSpan w:val="5"/>
            <w:tcBorders>
              <w:top w:val="single" w:color="000000" w:sz="4" w:space="0"/>
              <w:left w:val="single" w:color="000000" w:sz="4" w:space="0"/>
              <w:bottom w:val="single" w:color="000000" w:sz="4" w:space="0"/>
              <w:right w:val="single" w:color="000000" w:sz="4" w:space="0"/>
            </w:tcBorders>
            <w:noWrap/>
            <w:vAlign w:val="center"/>
          </w:tcPr>
          <w:p w14:paraId="27CD04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物理准备室</w:t>
            </w:r>
          </w:p>
        </w:tc>
      </w:tr>
      <w:tr w14:paraId="2F958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noWrap/>
            <w:vAlign w:val="center"/>
          </w:tcPr>
          <w:p w14:paraId="2874B0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1185" w:type="dxa"/>
            <w:tcBorders>
              <w:top w:val="single" w:color="000000" w:sz="4" w:space="0"/>
              <w:left w:val="single" w:color="000000" w:sz="4" w:space="0"/>
              <w:bottom w:val="single" w:color="000000" w:sz="4" w:space="0"/>
              <w:right w:val="single" w:color="000000" w:sz="4" w:space="0"/>
            </w:tcBorders>
            <w:noWrap/>
            <w:vAlign w:val="center"/>
          </w:tcPr>
          <w:p w14:paraId="72ADE7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6600" w:type="dxa"/>
            <w:tcBorders>
              <w:top w:val="single" w:color="000000" w:sz="4" w:space="0"/>
              <w:left w:val="single" w:color="000000" w:sz="4" w:space="0"/>
              <w:bottom w:val="single" w:color="000000" w:sz="4" w:space="0"/>
              <w:right w:val="single" w:color="000000" w:sz="4" w:space="0"/>
            </w:tcBorders>
            <w:noWrap/>
            <w:vAlign w:val="center"/>
          </w:tcPr>
          <w:p w14:paraId="449218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765" w:type="dxa"/>
            <w:tcBorders>
              <w:top w:val="single" w:color="000000" w:sz="4" w:space="0"/>
              <w:left w:val="single" w:color="000000" w:sz="4" w:space="0"/>
              <w:bottom w:val="single" w:color="000000" w:sz="4" w:space="0"/>
              <w:right w:val="single" w:color="000000" w:sz="4" w:space="0"/>
            </w:tcBorders>
            <w:noWrap/>
            <w:vAlign w:val="center"/>
          </w:tcPr>
          <w:p w14:paraId="1F6BED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810" w:type="dxa"/>
            <w:tcBorders>
              <w:top w:val="single" w:color="000000" w:sz="4" w:space="0"/>
              <w:left w:val="single" w:color="000000" w:sz="4" w:space="0"/>
              <w:bottom w:val="single" w:color="000000" w:sz="4" w:space="0"/>
              <w:right w:val="single" w:color="000000" w:sz="4" w:space="0"/>
            </w:tcBorders>
            <w:noWrap/>
            <w:vAlign w:val="center"/>
          </w:tcPr>
          <w:p w14:paraId="20D13C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45EB4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noWrap w:val="0"/>
            <w:vAlign w:val="center"/>
          </w:tcPr>
          <w:p w14:paraId="1A67A1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20-1</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736756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19C9F4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1、主要用于实验室仪器设备、试剂药品的存放，具备防腐、防尘、通风等特性，适用于理化生实验室、洁净室等环境，可保护仪器免受腐蚀和污染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2、整体规格：≥1000mm×500mm×2000mm（长×宽×高）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3、安装方式：落地式放置，无需额外固定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4、整体包含柜体、层板及配件系统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【柜体】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5、侧板与层板：采用环保型PP改性材料一次注塑成型，表面经磨砂处理；采用榫卯结构配合专用塑料紧固件连接，确保柜体稳固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6、上柜门：采用增强型PP材质一体注塑成型，后嵌≥4mm钢化玻璃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7、下柜门：采用增强型PP材质一体注塑成型，后嵌≥4mm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钢化玻璃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8、门把手：采用增强型PP材质一次注塑成型，安装于两门接缝处，便于开关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【层板】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9、层板配置：上柜配≥2块活动层板，下柜配≥1块活动层板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10、层板规格：宽度≥420mm，厚度≥22mm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11、层板结构：采用PP工程塑料经模具注塑成型，单层结构，内部嵌有≥2条镀锌钢管加强筋，加强筋截面积≥15mm×30mm（长×宽）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12、承重能力：每层承重≥50kg，满足各类仪器设备存放需求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【配件系统】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13、门铰链：采用改性PP材料模具一次成型，可伸缩旋转门轴，内嵌式安装，开关顺畅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14、紧固件：柜子内部储物空间无裸露金属材料，若采用金属螺丝的需用塑料盖子将其隐藏，确保柜子的耐腐蚀性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15、通风系统：柜子顶部和底部均预留通风系统接口，可与通风管路连接，风口处配备手动调节风门，可打开或关闭通风口。</w:t>
            </w:r>
          </w:p>
        </w:tc>
        <w:tc>
          <w:tcPr>
            <w:tcW w:w="765" w:type="dxa"/>
            <w:tcBorders>
              <w:top w:val="single" w:color="000000" w:sz="4" w:space="0"/>
              <w:left w:val="single" w:color="000000" w:sz="4" w:space="0"/>
              <w:bottom w:val="single" w:color="000000" w:sz="4" w:space="0"/>
              <w:right w:val="single" w:color="000000" w:sz="4" w:space="0"/>
            </w:tcBorders>
            <w:noWrap/>
            <w:vAlign w:val="center"/>
          </w:tcPr>
          <w:p w14:paraId="4CA0FA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810" w:type="dxa"/>
            <w:tcBorders>
              <w:top w:val="single" w:color="000000" w:sz="4" w:space="0"/>
              <w:left w:val="single" w:color="000000" w:sz="4" w:space="0"/>
              <w:bottom w:val="single" w:color="000000" w:sz="4" w:space="0"/>
              <w:right w:val="single" w:color="000000" w:sz="4" w:space="0"/>
            </w:tcBorders>
            <w:noWrap/>
            <w:vAlign w:val="center"/>
          </w:tcPr>
          <w:p w14:paraId="0D29E1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35A02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noWrap w:val="0"/>
            <w:vAlign w:val="center"/>
          </w:tcPr>
          <w:p w14:paraId="6BD430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20-2</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55AEF4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大仪器柜</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5E0D5A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1、主要用于实验室仪器设备、试剂药品的存放，具备防腐、防尘、通风等特性，适用于理化生实验室、洁净室等环境，可保护仪器免受腐蚀和污染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2、整体规格：≥1250mm×560mm×2000mm（长×宽×高）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3、安装方式：落地式放置，无需额外固定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4、整体包含柜体、层板及配件系统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【柜体】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5、侧板与层板：采用环保型PP改性材料一次注塑成型，表面经磨砂处理；采用榫卯结构配合专用塑料紧固件连接，确保柜体稳固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6、上柜门：采用增强型PP材质一体注塑成型，后嵌≥4mm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钢化玻璃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7、下柜门：采用增强型PP材质一体注塑成型，后嵌≥4mm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钢化玻璃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8、门把手：采用增强型PP材质一次注塑成型，安装于两门接缝处，便于开关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【层板】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9、层板配置：上柜配≥2块活动层板，下柜配≥1块活动层板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10、层板结构：采用工程塑料经模具注塑成型，单层结构，内部嵌有≥2条镀锌钢管加强筋，加强筋截面积≥15mm×30mm（长×宽），加强筋基材主承载壁厚度≥0.7mm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11、承重能力：每层承重≥50kg，满足各类仪器设备存放需求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【配件系统】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12、门铰链：采用改性PP材料模具一次成型，可伸缩旋转门轴，内嵌式安装，开关顺畅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13、紧固件：柜子内部储物空间无裸露金属材料，若采用金属螺丝的需用塑料盖子将其隐藏，确保柜子的耐腐蚀性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14、通风系统：柜子顶部和底部均预留通风系统接口，可与通风管路连接，风口处配备手动调节风门，可打开或关闭通风口。</w:t>
            </w:r>
          </w:p>
        </w:tc>
        <w:tc>
          <w:tcPr>
            <w:tcW w:w="765" w:type="dxa"/>
            <w:tcBorders>
              <w:top w:val="single" w:color="000000" w:sz="4" w:space="0"/>
              <w:left w:val="single" w:color="000000" w:sz="4" w:space="0"/>
              <w:bottom w:val="single" w:color="000000" w:sz="4" w:space="0"/>
              <w:right w:val="single" w:color="000000" w:sz="4" w:space="0"/>
            </w:tcBorders>
            <w:noWrap/>
            <w:vAlign w:val="center"/>
          </w:tcPr>
          <w:p w14:paraId="032833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810" w:type="dxa"/>
            <w:tcBorders>
              <w:top w:val="single" w:color="000000" w:sz="4" w:space="0"/>
              <w:left w:val="single" w:color="000000" w:sz="4" w:space="0"/>
              <w:bottom w:val="single" w:color="000000" w:sz="4" w:space="0"/>
              <w:right w:val="single" w:color="000000" w:sz="4" w:space="0"/>
            </w:tcBorders>
            <w:noWrap/>
            <w:vAlign w:val="center"/>
          </w:tcPr>
          <w:p w14:paraId="5E8C6A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6300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noWrap w:val="0"/>
            <w:vAlign w:val="center"/>
          </w:tcPr>
          <w:p w14:paraId="4B7428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20-3</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5661BD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准备台</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618047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【整体架构】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1、规格：≥2400*750*850mm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2、整体构造：含台面、柜门、抽屉、脚垫等组合式全钢结构</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【台面】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3、采用≥12.7mm厚国产实芯理化板制作，边沿镶边加厚至≥25mm厚，侧面边缘打磨平整，线条流畅、表面平整光滑，台面转角位置做倒角处理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【桌架】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4、桌身：整体采用≥1.0mm厚优质冷轧钢板，全部钢制件纳米陶瓷镀膜防锈处理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5、整体准备台由≥2个独立的柜体组合而成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6、拉手：在柜门或抽屉正面上方处一体折弯而成，外观整体流畅，造型独特美观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7、防撞胶垫：装于抽屉及门板内侧，减缓碰撞，保护柜体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8、门板及抽面：采用双层钢板，必须两层组装式设计，保证两层双面都经过喷涂处理，保证门板和抽面具备较强硬度，不轻易出现凹陷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9、铰链：采用优质铰链，或升级为优质304不锈钢铰链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10、滑轨：三节重型滚珠滑轨，承重性强，滑动性能良好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11、固定桌脚：采用柜体内置可调PP塑料调整脚，保证调整脚前后都可以调节高低。</w:t>
            </w:r>
          </w:p>
        </w:tc>
        <w:tc>
          <w:tcPr>
            <w:tcW w:w="765" w:type="dxa"/>
            <w:tcBorders>
              <w:top w:val="single" w:color="000000" w:sz="4" w:space="0"/>
              <w:left w:val="single" w:color="000000" w:sz="4" w:space="0"/>
              <w:bottom w:val="single" w:color="000000" w:sz="4" w:space="0"/>
              <w:right w:val="single" w:color="000000" w:sz="4" w:space="0"/>
            </w:tcBorders>
            <w:noWrap/>
            <w:vAlign w:val="center"/>
          </w:tcPr>
          <w:p w14:paraId="1845DE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810" w:type="dxa"/>
            <w:tcBorders>
              <w:top w:val="single" w:color="000000" w:sz="4" w:space="0"/>
              <w:left w:val="single" w:color="000000" w:sz="4" w:space="0"/>
              <w:bottom w:val="single" w:color="000000" w:sz="4" w:space="0"/>
              <w:right w:val="single" w:color="000000" w:sz="4" w:space="0"/>
            </w:tcBorders>
            <w:noWrap/>
            <w:vAlign w:val="center"/>
          </w:tcPr>
          <w:p w14:paraId="649AF1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3C95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noWrap w:val="0"/>
            <w:vAlign w:val="center"/>
          </w:tcPr>
          <w:p w14:paraId="52750D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20-4</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5CAFC6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岛式电源</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31069E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1、安装于桌面，用于为实验仪器提供稳定的AC 220V供电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2、采用钢结构主体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【插座系统】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3、配备≥2组新国标五孔多功能220V安全插座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4、每组插座均带防尘保护门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5、总额定电流≥10A。</w:t>
            </w:r>
          </w:p>
        </w:tc>
        <w:tc>
          <w:tcPr>
            <w:tcW w:w="765" w:type="dxa"/>
            <w:tcBorders>
              <w:top w:val="single" w:color="000000" w:sz="4" w:space="0"/>
              <w:left w:val="single" w:color="000000" w:sz="4" w:space="0"/>
              <w:bottom w:val="single" w:color="000000" w:sz="4" w:space="0"/>
              <w:right w:val="single" w:color="000000" w:sz="4" w:space="0"/>
            </w:tcBorders>
            <w:noWrap/>
            <w:vAlign w:val="center"/>
          </w:tcPr>
          <w:p w14:paraId="5AA97E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810" w:type="dxa"/>
            <w:tcBorders>
              <w:top w:val="single" w:color="000000" w:sz="4" w:space="0"/>
              <w:left w:val="single" w:color="000000" w:sz="4" w:space="0"/>
              <w:bottom w:val="single" w:color="000000" w:sz="4" w:space="0"/>
              <w:right w:val="single" w:color="000000" w:sz="4" w:space="0"/>
            </w:tcBorders>
            <w:noWrap/>
            <w:vAlign w:val="center"/>
          </w:tcPr>
          <w:p w14:paraId="233FDA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4CC15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noWrap w:val="0"/>
            <w:vAlign w:val="center"/>
          </w:tcPr>
          <w:p w14:paraId="517102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20-5</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246440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小推车</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2E6262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1、规格：≥600×450×850mm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2、层板采用双层层板设计，采用304不锈钢板材，板材厚度≥0.75mm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3、立柱采用≥Φ28mm圆管，护栏采用≥16mm不锈钢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4、推手整体焊接后打磨抛光处理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5、配备静音万向轮，360°全方位旋转，其中2只轮子带刹车功能，停放稳定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6、产品采用焊接连接方式，经打磨抛光处理，无毛刺，手感光滑。</w:t>
            </w:r>
          </w:p>
        </w:tc>
        <w:tc>
          <w:tcPr>
            <w:tcW w:w="765" w:type="dxa"/>
            <w:tcBorders>
              <w:top w:val="single" w:color="000000" w:sz="4" w:space="0"/>
              <w:left w:val="single" w:color="000000" w:sz="4" w:space="0"/>
              <w:bottom w:val="single" w:color="000000" w:sz="4" w:space="0"/>
              <w:right w:val="single" w:color="000000" w:sz="4" w:space="0"/>
            </w:tcBorders>
            <w:noWrap/>
            <w:vAlign w:val="center"/>
          </w:tcPr>
          <w:p w14:paraId="0B7FEA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810" w:type="dxa"/>
            <w:tcBorders>
              <w:top w:val="single" w:color="000000" w:sz="4" w:space="0"/>
              <w:left w:val="single" w:color="000000" w:sz="4" w:space="0"/>
              <w:bottom w:val="single" w:color="000000" w:sz="4" w:space="0"/>
              <w:right w:val="single" w:color="000000" w:sz="4" w:space="0"/>
            </w:tcBorders>
            <w:noWrap/>
            <w:vAlign w:val="center"/>
          </w:tcPr>
          <w:p w14:paraId="26D71C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0870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noWrap w:val="0"/>
            <w:vAlign w:val="center"/>
          </w:tcPr>
          <w:p w14:paraId="4CF352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20-6</w:t>
            </w:r>
          </w:p>
        </w:tc>
        <w:tc>
          <w:tcPr>
            <w:tcW w:w="1185" w:type="dxa"/>
            <w:tcBorders>
              <w:top w:val="single" w:color="000000" w:sz="4" w:space="0"/>
              <w:left w:val="single" w:color="000000" w:sz="4" w:space="0"/>
              <w:bottom w:val="single" w:color="000000" w:sz="4" w:space="0"/>
              <w:right w:val="single" w:color="000000" w:sz="4" w:space="0"/>
            </w:tcBorders>
            <w:noWrap w:val="0"/>
            <w:vAlign w:val="center"/>
          </w:tcPr>
          <w:p w14:paraId="37C0F2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6600" w:type="dxa"/>
            <w:tcBorders>
              <w:top w:val="single" w:color="000000" w:sz="4" w:space="0"/>
              <w:left w:val="single" w:color="000000" w:sz="4" w:space="0"/>
              <w:bottom w:val="single" w:color="000000" w:sz="4" w:space="0"/>
              <w:right w:val="single" w:color="000000" w:sz="4" w:space="0"/>
            </w:tcBorders>
            <w:noWrap w:val="0"/>
            <w:vAlign w:val="center"/>
          </w:tcPr>
          <w:p w14:paraId="372AE3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1、地上部分接线安装调试：合理规划线路走向，采用标准化接线方式，确保接线牢固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2、柜子设备安装：合理规划设备摆放位置，确保操作方便。</w:t>
            </w:r>
          </w:p>
        </w:tc>
        <w:tc>
          <w:tcPr>
            <w:tcW w:w="765" w:type="dxa"/>
            <w:tcBorders>
              <w:top w:val="single" w:color="000000" w:sz="4" w:space="0"/>
              <w:left w:val="single" w:color="000000" w:sz="4" w:space="0"/>
              <w:bottom w:val="single" w:color="000000" w:sz="4" w:space="0"/>
              <w:right w:val="single" w:color="000000" w:sz="4" w:space="0"/>
            </w:tcBorders>
            <w:noWrap/>
            <w:vAlign w:val="center"/>
          </w:tcPr>
          <w:p w14:paraId="6C0509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810" w:type="dxa"/>
            <w:tcBorders>
              <w:top w:val="single" w:color="000000" w:sz="4" w:space="0"/>
              <w:left w:val="single" w:color="000000" w:sz="4" w:space="0"/>
              <w:bottom w:val="single" w:color="000000" w:sz="4" w:space="0"/>
              <w:right w:val="single" w:color="000000" w:sz="4" w:space="0"/>
            </w:tcBorders>
            <w:noWrap/>
            <w:vAlign w:val="center"/>
          </w:tcPr>
          <w:p w14:paraId="058E60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53E8B77C">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6002" w:type="pct"/>
        <w:tblInd w:w="-85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78"/>
        <w:gridCol w:w="1237"/>
        <w:gridCol w:w="6793"/>
        <w:gridCol w:w="756"/>
        <w:gridCol w:w="864"/>
      </w:tblGrid>
      <w:tr w14:paraId="0118A5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1A089C5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物理仪器室+仪器</w:t>
            </w:r>
          </w:p>
        </w:tc>
      </w:tr>
      <w:tr w14:paraId="1CC4BD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ign w:val="center"/>
          </w:tcPr>
          <w:p w14:paraId="1FAA52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04EF3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25" w:type="pct"/>
            <w:tcBorders>
              <w:top w:val="single" w:color="000000" w:sz="4" w:space="0"/>
              <w:left w:val="single" w:color="000000" w:sz="4" w:space="0"/>
              <w:bottom w:val="single" w:color="000000" w:sz="4" w:space="0"/>
              <w:right w:val="single" w:color="000000" w:sz="4" w:space="0"/>
            </w:tcBorders>
            <w:noWrap/>
            <w:vAlign w:val="center"/>
          </w:tcPr>
          <w:p w14:paraId="03A11F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4DB41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8A0B6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0C858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5B6C5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6E689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仪器柜</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27011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参数同序号20-1一致。</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3EA492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BCB6E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r>
      <w:tr w14:paraId="01AB5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4E5D3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8C6C6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8367A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1、地上部分接线安装调试：合理规划线路走向，采用标准化接线方式，确保接线牢固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2、柜子设备安装：合理规划设备摆放位置，确保操作方便。</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5E009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833E5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F009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A5504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B6C66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工作服</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985F9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棉</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13344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FC92E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FB70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E58E7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CB1D5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机械危害防护手套</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DB51F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3级</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50B88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双</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183F4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B0A5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801D6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F09E8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套袖</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AFCA7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棉</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FDE29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EB4F2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C7E2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4623D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03506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激光防护镜</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EFC1A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激光类实验用</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04A3A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4854E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4FEB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28E30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774E1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护目镜</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D4C6B15">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防机械冲击</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55552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3D66F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AACB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D2C3E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D2DDF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吹风机</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6A96A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功率≥1000W</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6048E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87C4D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B617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2A826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E84AC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仪器车</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39C8E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≥600mm×400mm×800mm，车轮</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75mm，厚25mm；一轮带刹车，车轮固定，车架扭动量（上部）≤20mm；钢材制作，载重≥60kg</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BD8AA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辆</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578A0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48DC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A1828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0C002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小托盘</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FB543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≥200mm×300mm×60mm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3B320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D779F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C38EF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9EA04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ACDC1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大托盘</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0AADF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≥400mm×300mm×60mm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0DC1C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685DA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341D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EBC84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AD70A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提盒</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C272F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承重大于3kg</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5A59F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CCD12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16087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9C2D1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AB7A3A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一字螺丝刀</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FDFA39F">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1、Φ6mm，长150mm；Φ3mm，长75mm；</w:t>
            </w:r>
          </w:p>
          <w:p w14:paraId="16B93D1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2.工作部带磁性，硬度不低于HRC48；旋杆采用铬钒钢，长度不小于100 mm，应经镀铬防锈处理；</w:t>
            </w:r>
          </w:p>
          <w:p w14:paraId="40B8C705">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3.手柄采用高强度 PP+高强性TPR注塑成型。</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1E3CC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3EAB9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98588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53D08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09BB540">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十字螺丝刀</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87D0EB4">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1.Φ6mm，长150mm；Φ3mm，长75mm；</w:t>
            </w:r>
          </w:p>
          <w:p w14:paraId="019C430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2.工作部带磁性，硬度不低于HRC48；旋杆采用铬钒钢，长度不小于100 mm，应经镀铬防锈处理；</w:t>
            </w:r>
          </w:p>
          <w:p w14:paraId="6873D27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3.手柄采用高强度 PP+高强性TPR注塑成型。</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8BE64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B7D8E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1CC8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8288A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3E48B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剥线钳</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2F6EE9D">
            <w:pPr>
              <w:keepNext w:val="0"/>
              <w:keepLines w:val="0"/>
              <w:widowControl/>
              <w:numPr>
                <w:ilvl w:val="0"/>
                <w:numId w:val="69"/>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材质：高碳钢，长度不小于160mm</w:t>
            </w:r>
            <w:r>
              <w:rPr>
                <w:rFonts w:hint="eastAsia" w:ascii="宋体" w:hAnsi="宋体" w:cs="宋体"/>
                <w:i w:val="0"/>
                <w:iCs w:val="0"/>
                <w:color w:val="auto"/>
                <w:kern w:val="0"/>
                <w:sz w:val="22"/>
                <w:szCs w:val="22"/>
                <w:highlight w:val="none"/>
                <w:u w:val="none"/>
                <w:lang w:val="en-US" w:eastAsia="zh-CN" w:bidi="ar"/>
              </w:rPr>
              <w:t>；</w:t>
            </w:r>
          </w:p>
          <w:p w14:paraId="24E7D4E0">
            <w:pPr>
              <w:keepNext w:val="0"/>
              <w:keepLines w:val="0"/>
              <w:widowControl/>
              <w:numPr>
                <w:ilvl w:val="0"/>
                <w:numId w:val="6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压接范围：0.9、1.25、2.0、3.5、5.5平方毫米。</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EC962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CCA49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CAA1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BE62C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93A2A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钢丝钳</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068E7B5">
            <w:pPr>
              <w:keepNext w:val="0"/>
              <w:keepLines w:val="0"/>
              <w:widowControl/>
              <w:numPr>
                <w:ilvl w:val="0"/>
                <w:numId w:val="7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≥160mm，抗弯强度1120N，扭力矩15N·m15°；</w:t>
            </w:r>
          </w:p>
          <w:p w14:paraId="3AB0E459">
            <w:pPr>
              <w:keepNext w:val="0"/>
              <w:keepLines w:val="0"/>
              <w:widowControl/>
              <w:numPr>
                <w:ilvl w:val="0"/>
                <w:numId w:val="7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剪切性能</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16mm钢丝，580N；</w:t>
            </w:r>
          </w:p>
          <w:p w14:paraId="4AB8E963">
            <w:pPr>
              <w:keepNext w:val="0"/>
              <w:keepLines w:val="0"/>
              <w:widowControl/>
              <w:numPr>
                <w:ilvl w:val="0"/>
                <w:numId w:val="7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夹持面硬度不低于44HRC；PVC 环保手柄，在不大于18N的力作用下撑开角度不小于 22°</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B1B92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05207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B393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75565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59052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尖嘴钳</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12B49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1、型号规格：长160mm；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2、采用45号高碳钢精工铸造，整体精抛光、热处理，钳口高频淬火，硬度45～48HRC，PVC全新材料，环保手柄。</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7E1ED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42815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FBB72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F313B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81B3A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平口钳</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F6E75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普通机用平口钳；钳口宽度100mm，最大张开度100mm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0011C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A389E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A1C1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50086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4E44B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斜口钳</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0D8FC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125mm，双刃刀</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DB8E8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5D6EB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C5AE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7A1A9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4AA3E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砂纸</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FC2C7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干磨砂纸，P36～P50、P150～P220、P1000～P2000</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399C5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F8520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D6E6B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2471F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9CF56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民用剪刀</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3A1D6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20cm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5C410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76F3A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766C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A2220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43130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电烙铁套（20W）</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6FD45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20W内热式，橡胶线，含烙铁架</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406EF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1928E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56E4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09428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9EA97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电烙铁套（80W）</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E1AA2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80W内热式，橡胶线，含烙铁架</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023C6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BDB1A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13D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D38AA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459FF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焊锡膏</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E6F52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中性</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B7F57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22AE1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AF1C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456F0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49D87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焊锡丝</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3D0A6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无铅</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D99D5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g</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CDED9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450</w:t>
            </w:r>
          </w:p>
        </w:tc>
      </w:tr>
      <w:tr w14:paraId="22478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F22CD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A31AA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松香</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EA9D9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助焊</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549B5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g</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6796D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w:t>
            </w:r>
          </w:p>
        </w:tc>
      </w:tr>
      <w:tr w14:paraId="3D752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22334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76250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6BD947B">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齿口式，不锈钢材质，每组4支，外径分别为5.0mm、6.5mm、8mm、9.5mm；附通棒</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0A3CA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CE48D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3947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0F098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1CE4F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打孔夹板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2351D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硬木或硬塑料</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9B666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AE7D5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9D3C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BFC47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21-29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95025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锥子</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9BE30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锥头长77mm，锥杆直径渐变</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321F4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6F864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D0C3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B8E16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FBD27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镊子</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71262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圆头、140mm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DD558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031F3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5327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1DE05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9050F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水准器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2C6F7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气泡水准器</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7A1A0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1B8E9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1A9E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846F3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75259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数字温度计1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30693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量程-30 ℃～200 ℃，分辨力 0.1 ℃，误差&lt;±1.5 ℃；不接电脑，可独立运行，自带显示屏，表盘尺寸≥180 mm×90 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DD76E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D29E6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0CC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2505B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6FC96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湿度计</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57FDD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指针式</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B54F9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21C36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40D9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31CB3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3CD02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蒸发皿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37A81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瓷，</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60mm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FF082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FB8FD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E407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2E1E8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3486C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橡胶塞</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D0D63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0～10号，白色，质地均匀</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5FD4D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0ED2D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0FCF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3118B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C3463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3379A80">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15mm×150 mm，透明，硼硅酸盐玻璃制</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630DA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47301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3302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4809E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BBE72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5ED47AB">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30mm×200 mm，透明，硼硅酸盐玻璃制</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CD3E4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971B1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DD12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62F33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4E607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CAF4C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圆、长，500mL，透明，硼硅酸盐玻璃制</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93F94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7581D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AD95C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19482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21-39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ED8CD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2A068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平、长，250mL，透明，硼硅酸盐玻璃制</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D9791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F558F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C867C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FA0D4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6C3B6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烧杯(100mL)</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5E50A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100mL，透明，硼硅酸盐玻璃制，刻度应清晰耐久，应在容量标志下有记号面积</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3B0DC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5C879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B071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1EA7B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98E5D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酒精灯</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6EE2A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150mL，采用透明钠钙玻璃制造，无明显黄绿色，灯口应平整，瓷灯头与灯口平面间隙不应超过 1.5 mm，玻璃灯罩应磨口，瓷灯头应为白色，表面无气泡，无疵点，无裂纹，无碰损缺口，酒精灯应配置与灯口孔径相适应的整齐完整的棉线灯芯</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A4294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31C98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EE82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D370F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405EB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漏斗</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18D07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漏斗口径90mm，斗颈长90mm，下口磨成45º角，斜口边口倒角或熔光，耐水性HGB3级</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E39DA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092EB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6E9D90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97F17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F5FA5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三通连接管</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39CF7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T形管、玻璃材质</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D798E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1F869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EF06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584BD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7FD7F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陶土网</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DBC96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功能同石棉网，陶土材质，尺寸不小于125mm×125mm，0.8mm 钢丝制成</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CE166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D4470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6269D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2C292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CFF96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两用气筒1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0CE2A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活塞胶垫，气嘴外径 8 mm±0.1 mm，长度15 mm，台阶口；抽气压强达到 6.7 kPa 时放置30 s，漏气引起的压强变化应≤2.6 kPa充气压强达到 290 kPa 时，放置 30 s，漏气引起的压强变化应≤9.8 kPa</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B1F31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5D2D0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867C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01BB0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268AA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两用气筒2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2C86F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脚踏式</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60E2C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15AA9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7F3A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D88AF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03778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两用气筒3</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266A5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两用气筒（手持式）、由抽气接头、打气接头、阀体接头、抽气活塞、打气活塞、筒体、拉杆、手柄。管用工程塑料材质制成，直径28mm,长390mm。</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7977B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B0F0E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1FC0B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3A180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6FFC4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方座支架</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9CC4F0D">
            <w:pPr>
              <w:keepNext w:val="0"/>
              <w:keepLines w:val="0"/>
              <w:widowControl/>
              <w:numPr>
                <w:ilvl w:val="0"/>
                <w:numId w:val="7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由方形座、立杆、烧瓶夹、大小铁环、垂直夹（2 只）、平行夹、吊杆等组成；</w:t>
            </w:r>
          </w:p>
          <w:p w14:paraId="0E596989">
            <w:pPr>
              <w:keepNext w:val="0"/>
              <w:keepLines w:val="0"/>
              <w:widowControl/>
              <w:numPr>
                <w:ilvl w:val="0"/>
                <w:numId w:val="7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立杆长 600 mm，方形座长 210 mm，宽 135 mm，烧瓶夹夹口内壁有耐热不低于120℃的缓压层</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6AAEB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3CA67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FDFD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D0A47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21-49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BD2CC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多功能实验支架</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4ABEE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产品为组合式，由A型底座、立杆（2根，长杆70cm，短杆50cm）、铁环、烧瓶夹、小A型底座、滴定夹、圆盘等组成。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574A1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78589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2C25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5E892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67290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升降台</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59806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1、本产品由上面板、下底板及旋转轴、手轮等组成。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2、升降范围不小于150mm，载重不小于10KG，工作台上面板150mm×150mm，下底板180mm×180mm。</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2E9D5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7D870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F7F3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0E4ED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FAD29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碘升华凝华管</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BD789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碘密封于碘锤内，无色透明硼硅酸盐玻璃制管</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28 mm×34 mm，两端面应为凹面，热冲击应不低于 200 ℃</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6CD57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D2326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9889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30747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7AEF3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磁悬浮原理实验器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3CA85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包括2个小圆柱形磁体、配套试管等</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6C738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73195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5C00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5F262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212CD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托盘天平1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8CE21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 g，0.2 g，单杠杆等臂式双盘天平，配6级（M2 级）砝码：100g、台50g、10g、5 g各1个，20g2个，钢制镊子</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91820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3D4FB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9F99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C01FA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21-54</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EBA00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电子天平</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83782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量程 0 g〜1 kg，分辨力 0.1 g，带标准砝码</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89CBB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CEEAA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CFFD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B34A6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1928A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圆柱体组</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7B1F8A7">
            <w:pPr>
              <w:keepNext w:val="0"/>
              <w:keepLines w:val="0"/>
              <w:widowControl/>
              <w:numPr>
                <w:ilvl w:val="0"/>
                <w:numId w:val="7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适用于中学物理教学实验测定物质的密度和比热用圆柱体组；</w:t>
            </w:r>
          </w:p>
          <w:p w14:paraId="22102E3E">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2、铜、铁、铝柱体各1只。</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CEE5C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C3709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9340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20E58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26B94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立方体组1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D71B3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包括黄铜、铁、铝、木 4 种材料的 5 个立方体，其中铝材 2 个，黄铜（边长 20 mm）、铁（边长 20 mm）、铝（边长 25 mm）、铝（边长 30 mm）、木材（边长 50 mm）各 1 个，带不锈钢挂钩</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899E2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DFE11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4036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65E5F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C1554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量筒(100mL)</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AA906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100mL，1mL，透明钠钙玻璃制，分度线、数字和标志应完整、清晰和耐久，容积为 20 ℃时充满量筒刻度线所容纳体积</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2AF10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DA7B6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D82C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E75F4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A855C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放大镜</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6F7B1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手持式，5×，焦距 50 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D45B7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FF582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6861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F2D85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21-59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FB366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望远镜</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A6A20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双筒，规格：20×35，可调焦；2、倍率：7倍（真实倍率），视角：8度，物镜：35mm，视野范围：1000米处为167米；3、材质：望远镜专用工程材料，手感细腻、舒适，外观典雅，做工精细；4、镜片镀膜：完全镀膜；5、望远镜配有背带和皮夹包，配有说明书。</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C9CE4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EC27E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1B28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4B632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D6C21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内聚力演示器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00A68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本产品由刮削器和带吊钩的两铅柱组成；刮削器由塑料支架和刀片构成。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BD762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4E8D1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EB43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63449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3671F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钢直尺1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22673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1000mm，1mm，0 mm～50 mm 分度值 0.5 mm，其余分度值为 1 mm；材料为1Cr18Ni9、1Cr13 或其他类似性能材料，硬度应不低于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342HV；刻度面平面度误差应≤0.25 mm，允许误差应≤±0.15 mm；需有计量器具制造许可证标志</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E3C4F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8010F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53684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D5288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8EC3D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机械秒表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70307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分度值 0.1s，一等</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28BDD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25D51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6AAFC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BA096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1D42A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电子秒表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0F288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专用型，全时段分辨力 0.01 s；有防震、防水功能，电池更换周期不小于 1.5 年</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3895A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1E982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0BD0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4115A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457D3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斜面小车</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4F0A127">
            <w:pPr>
              <w:keepNext w:val="0"/>
              <w:keepLines w:val="0"/>
              <w:widowControl/>
              <w:numPr>
                <w:ilvl w:val="0"/>
                <w:numId w:val="7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包括斜面、小车、摩擦块、支撑杆、砝码桶和摩擦材料等，与教学支架配套使用；</w:t>
            </w:r>
          </w:p>
          <w:p w14:paraId="646AEBD9">
            <w:pPr>
              <w:keepNext w:val="0"/>
              <w:keepLines w:val="0"/>
              <w:widowControl/>
              <w:numPr>
                <w:ilvl w:val="0"/>
                <w:numId w:val="7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斜面板≥915 mm×100 mm×20 mm，一端应有滑轮缓冲或捕获小车的装置；斜面板工作面平面度误差应小于 2 mm；</w:t>
            </w:r>
          </w:p>
          <w:p w14:paraId="2B1D17EA">
            <w:pPr>
              <w:keepNext w:val="0"/>
              <w:keepLines w:val="0"/>
              <w:widowControl/>
              <w:numPr>
                <w:ilvl w:val="0"/>
                <w:numId w:val="7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附摩擦材料丁晴橡胶、砂纸、棉布等，有摩擦材料的固定夹</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3AC6B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D021E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98177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3B308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17CC5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螺旋弹簧组</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A2BF9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5N、3N、2N、1N、0.5N</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154B6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F3E72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7162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C4C9A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3073C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演示测力计</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A1722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1、由刻度板、弹簧、指针、拉杆、悬挂定位装置等组成。指针可调；2、量程：0～2N；最小分度值0.1N；3、示值允差不大于全量程的4％，回零允差不大于分度值的1/4。</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1433D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658AB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5C53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2E04E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D83CC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条形盒测力计1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2F3E5A1">
            <w:pPr>
              <w:keepNext w:val="0"/>
              <w:keepLines w:val="0"/>
              <w:widowControl/>
              <w:numPr>
                <w:ilvl w:val="0"/>
                <w:numId w:val="7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量程 0 N〜1 N，分度值 0.02 N；</w:t>
            </w:r>
          </w:p>
          <w:p w14:paraId="1ADDAF15">
            <w:pPr>
              <w:keepNext w:val="0"/>
              <w:keepLines w:val="0"/>
              <w:widowControl/>
              <w:numPr>
                <w:ilvl w:val="0"/>
                <w:numId w:val="7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示值误差≤1/2 分度，升降示差≤1/2 分度，重复性偏差≤1/4 分度</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A7B34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A06A0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666A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19DAA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DA9C6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条形盒测力计2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24177F5">
            <w:pPr>
              <w:keepNext w:val="0"/>
              <w:keepLines w:val="0"/>
              <w:widowControl/>
              <w:numPr>
                <w:ilvl w:val="0"/>
                <w:numId w:val="7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量程 0 N〜2.5 N，分度值 0.05 N；</w:t>
            </w:r>
          </w:p>
          <w:p w14:paraId="528A4CAA">
            <w:pPr>
              <w:keepNext w:val="0"/>
              <w:keepLines w:val="0"/>
              <w:widowControl/>
              <w:numPr>
                <w:ilvl w:val="0"/>
                <w:numId w:val="7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示值误差≤1/4 分度，升降示差≤1/2 分度，重复性偏差≤1/4 分度</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06600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392EB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DDBC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610C6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21-69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4D93C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条形盒测力计3</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D13773C">
            <w:pPr>
              <w:keepNext w:val="0"/>
              <w:keepLines w:val="0"/>
              <w:widowControl/>
              <w:numPr>
                <w:ilvl w:val="0"/>
                <w:numId w:val="7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量程 0 N〜5 N，分度值 0.1 N；</w:t>
            </w:r>
          </w:p>
          <w:p w14:paraId="602AE200">
            <w:pPr>
              <w:keepNext w:val="0"/>
              <w:keepLines w:val="0"/>
              <w:widowControl/>
              <w:numPr>
                <w:ilvl w:val="0"/>
                <w:numId w:val="7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示值误差≤1/4 分度，升降示差≤1/2 分度，重复性偏差≤1/4 分度</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19593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F8844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97C4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BB88D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8550F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条形盒测力计4</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A30FB1B">
            <w:pPr>
              <w:keepNext w:val="0"/>
              <w:keepLines w:val="0"/>
              <w:widowControl/>
              <w:numPr>
                <w:ilvl w:val="0"/>
                <w:numId w:val="77"/>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量程 0 N〜10 N，分度值 0.2 N；</w:t>
            </w:r>
          </w:p>
          <w:p w14:paraId="7B483FE0">
            <w:pPr>
              <w:keepNext w:val="0"/>
              <w:keepLines w:val="0"/>
              <w:widowControl/>
              <w:numPr>
                <w:ilvl w:val="0"/>
                <w:numId w:val="7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示值误差≤1/4 分度，升降示差≤1/2 分度，重复性偏差≤1/4 分度</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F5861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CC986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2253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98274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7B668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数字测力计2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BC411C7">
            <w:pPr>
              <w:keepNext w:val="0"/>
              <w:keepLines w:val="0"/>
              <w:widowControl/>
              <w:numPr>
                <w:ilvl w:val="0"/>
                <w:numId w:val="78"/>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量程 0 N～20 N，误差≤±1.0%FS±1 字</w:t>
            </w:r>
            <w:r>
              <w:rPr>
                <w:rFonts w:hint="eastAsia" w:ascii="宋体" w:hAnsi="宋体" w:cs="宋体"/>
                <w:i w:val="0"/>
                <w:iCs w:val="0"/>
                <w:color w:val="auto"/>
                <w:kern w:val="0"/>
                <w:sz w:val="22"/>
                <w:szCs w:val="22"/>
                <w:highlight w:val="none"/>
                <w:u w:val="none"/>
                <w:lang w:val="en-US" w:eastAsia="zh-CN" w:bidi="ar"/>
              </w:rPr>
              <w:t>；</w:t>
            </w:r>
          </w:p>
          <w:p w14:paraId="6063080E">
            <w:pPr>
              <w:keepNext w:val="0"/>
              <w:keepLines w:val="0"/>
              <w:widowControl/>
              <w:numPr>
                <w:ilvl w:val="0"/>
                <w:numId w:val="7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采样频率应不低于 100 次/秒，可测拉力和压力，不接电脑能独立运行，显示屏尺寸不小于 30 mm×40 mm</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6E547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2D3F6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CB610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93739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EB1AC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重锤</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39FAC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300g</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F37E5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42817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8C95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CAA16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34067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金属钩码1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DF7D8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10g（</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22 mm）×l，20g（</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26 mm）×2 50g（</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30 mm）×2，200g（</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48 mm）×1 允许误差：10 g±0.1g，20 g±0.2 g，50 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±0.5 g，200 g±2.0 g</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9AD36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2679E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5EC7F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F4CB1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ACE38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摩擦力实验器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F10F16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由摩擦板、摩擦块、摩擦材料、匀速电机、定滑轮、测力计、测力计支架、细绳、钩码等组成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提供同一种材料 3 种不同粗糙程度的摩擦面，同种材料、相同粗糙程度的不同面积的摩擦面</w:t>
            </w:r>
            <w:r>
              <w:rPr>
                <w:rFonts w:hint="eastAsia" w:ascii="宋体" w:hAnsi="宋体" w:cs="宋体"/>
                <w:i w:val="0"/>
                <w:iCs w:val="0"/>
                <w:color w:val="auto"/>
                <w:kern w:val="0"/>
                <w:sz w:val="22"/>
                <w:szCs w:val="22"/>
                <w:highlight w:val="none"/>
                <w:u w:val="none"/>
                <w:lang w:val="en-US" w:eastAsia="zh-CN" w:bidi="ar"/>
              </w:rPr>
              <w:t>。</w:t>
            </w:r>
          </w:p>
          <w:p w14:paraId="343F16AD">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摩擦板不小于800mm×100mm×10mm，平面度误差不大于0.6mm，质地坚硬，表面均匀。摩擦块尺寸不小于110mm×50mm×35mm，两摩擦面平面度误差应不大于0.1mm，侧面有挂钩</w:t>
            </w:r>
            <w:r>
              <w:rPr>
                <w:rFonts w:hint="eastAsia" w:ascii="宋体" w:hAnsi="宋体" w:cs="宋体"/>
                <w:i w:val="0"/>
                <w:iCs w:val="0"/>
                <w:color w:val="auto"/>
                <w:kern w:val="0"/>
                <w:sz w:val="22"/>
                <w:szCs w:val="22"/>
                <w:highlight w:val="none"/>
                <w:u w:val="none"/>
                <w:lang w:val="en-US" w:eastAsia="zh-CN" w:bidi="ar"/>
              </w:rPr>
              <w:t>。</w:t>
            </w:r>
          </w:p>
          <w:p w14:paraId="6854E398">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电机拉动速度 0～5cm/s，可调节，可显示</w:t>
            </w:r>
            <w:r>
              <w:rPr>
                <w:rFonts w:hint="eastAsia" w:ascii="宋体" w:hAnsi="宋体" w:cs="宋体"/>
                <w:i w:val="0"/>
                <w:iCs w:val="0"/>
                <w:color w:val="auto"/>
                <w:kern w:val="0"/>
                <w:sz w:val="22"/>
                <w:szCs w:val="22"/>
                <w:highlight w:val="none"/>
                <w:u w:val="none"/>
                <w:lang w:val="en-US" w:eastAsia="zh-CN" w:bidi="ar"/>
              </w:rPr>
              <w:t>。</w:t>
            </w:r>
          </w:p>
          <w:p w14:paraId="0B8B7B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匀速运动速度误差≤±5%</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E43C9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571C5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2370B3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4A719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A0904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运动和力实验器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42B5517">
            <w:pPr>
              <w:keepNext w:val="0"/>
              <w:keepLines w:val="0"/>
              <w:widowControl/>
              <w:numPr>
                <w:ilvl w:val="0"/>
                <w:numId w:val="7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由平面板500mm、短斜面200mm、小车、钢球1个、玻璃球1个、毛巾1块、布1块组成</w:t>
            </w:r>
            <w:r>
              <w:rPr>
                <w:rFonts w:hint="eastAsia" w:ascii="宋体" w:hAnsi="宋体" w:cs="宋体"/>
                <w:i w:val="0"/>
                <w:iCs w:val="0"/>
                <w:color w:val="auto"/>
                <w:kern w:val="0"/>
                <w:sz w:val="22"/>
                <w:szCs w:val="22"/>
                <w:highlight w:val="none"/>
                <w:u w:val="none"/>
                <w:lang w:val="en-US" w:eastAsia="zh-CN" w:bidi="ar"/>
              </w:rPr>
              <w:t>。</w:t>
            </w:r>
          </w:p>
          <w:p w14:paraId="766C4EA4">
            <w:pPr>
              <w:keepNext w:val="0"/>
              <w:keepLines w:val="0"/>
              <w:widowControl/>
              <w:numPr>
                <w:ilvl w:val="0"/>
                <w:numId w:val="79"/>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平面板材质为木质。</w:t>
            </w:r>
          </w:p>
          <w:p w14:paraId="1B6E43DA">
            <w:pPr>
              <w:keepNext w:val="0"/>
              <w:keepLines w:val="0"/>
              <w:widowControl/>
              <w:numPr>
                <w:ilvl w:val="0"/>
                <w:numId w:val="79"/>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平面板尺寸：≥500x115x18mm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524F2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A96BD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831C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0E552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7D2C5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伽利略理想斜面演示器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5331C57">
            <w:pPr>
              <w:keepNext w:val="0"/>
              <w:keepLines w:val="0"/>
              <w:widowControl/>
              <w:numPr>
                <w:ilvl w:val="0"/>
                <w:numId w:val="80"/>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由金属支架，塑钢平滑轨道、高度调节器、钢球组成</w:t>
            </w:r>
            <w:r>
              <w:rPr>
                <w:rFonts w:hint="eastAsia" w:ascii="宋体" w:hAnsi="宋体" w:cs="宋体"/>
                <w:i w:val="0"/>
                <w:iCs w:val="0"/>
                <w:color w:val="auto"/>
                <w:kern w:val="0"/>
                <w:sz w:val="22"/>
                <w:szCs w:val="22"/>
                <w:highlight w:val="none"/>
                <w:u w:val="none"/>
                <w:lang w:val="en-US" w:eastAsia="zh-CN" w:bidi="ar"/>
              </w:rPr>
              <w:t>。</w:t>
            </w:r>
          </w:p>
          <w:p w14:paraId="3EE6DF27">
            <w:pPr>
              <w:keepNext w:val="0"/>
              <w:keepLines w:val="0"/>
              <w:widowControl/>
              <w:numPr>
                <w:ilvl w:val="0"/>
                <w:numId w:val="8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整体长1170mm，轨道长1240mm。</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F8C76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CD420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DAE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F3EF4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8B911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惯性演示器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817D436">
            <w:pPr>
              <w:keepNext w:val="0"/>
              <w:keepLines w:val="0"/>
              <w:widowControl/>
              <w:numPr>
                <w:ilvl w:val="0"/>
                <w:numId w:val="8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产品供中学物理演示物体的惯性；</w:t>
            </w:r>
          </w:p>
          <w:p w14:paraId="0492F47D">
            <w:pPr>
              <w:keepNext w:val="0"/>
              <w:keepLines w:val="0"/>
              <w:widowControl/>
              <w:numPr>
                <w:ilvl w:val="0"/>
                <w:numId w:val="8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产品由钢球、支架、底座、塑料片、弹簧等组成。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FD476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B8646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457D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AC001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51422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阿基米德原理实验器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14937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本产品由塑料圆柱体重物，带有刻线的塑料圆形盛液筒，带有刻度的溢水杯组成。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5072A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602EB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17776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81AB2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21-79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A28DC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浮力原理演示器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3C03F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本产品由透明容器和沉浮器组成。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C90F7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C8FF5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3294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5752D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21-80</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49BDA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气体浮力演示器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C8B40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由气球、杠杆、支杆、底座、钩码50g等组成</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B7149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650AE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05E1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467A0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EAC4E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物体浮沉条件演示器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A3190F4">
            <w:pPr>
              <w:keepNext w:val="0"/>
              <w:keepLines w:val="0"/>
              <w:widowControl/>
              <w:numPr>
                <w:ilvl w:val="0"/>
                <w:numId w:val="8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产品盛液筒、浮体及附件组成</w:t>
            </w:r>
            <w:r>
              <w:rPr>
                <w:rFonts w:hint="eastAsia" w:ascii="宋体" w:hAnsi="宋体" w:cs="宋体"/>
                <w:i w:val="0"/>
                <w:iCs w:val="0"/>
                <w:color w:val="auto"/>
                <w:kern w:val="0"/>
                <w:sz w:val="22"/>
                <w:szCs w:val="22"/>
                <w:highlight w:val="none"/>
                <w:u w:val="none"/>
                <w:lang w:val="en-US" w:eastAsia="zh-CN" w:bidi="ar"/>
              </w:rPr>
              <w:t>。</w:t>
            </w:r>
          </w:p>
          <w:p w14:paraId="5EAD51A7">
            <w:pPr>
              <w:keepNext w:val="0"/>
              <w:keepLines w:val="0"/>
              <w:widowControl/>
              <w:numPr>
                <w:ilvl w:val="0"/>
                <w:numId w:val="82"/>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产品用于演示物体的沉浮条件，应能说明如下问题：a、浸入液体里的物体受到向上的浮力；b、浸入液体里的物体的浮、沉与液体密度的关系；c、浸入液体里的物体的浮、沉与物体密度的关系</w:t>
            </w:r>
            <w:r>
              <w:rPr>
                <w:rFonts w:hint="eastAsia" w:ascii="宋体" w:hAnsi="宋体" w:cs="宋体"/>
                <w:i w:val="0"/>
                <w:iCs w:val="0"/>
                <w:color w:val="auto"/>
                <w:kern w:val="0"/>
                <w:sz w:val="22"/>
                <w:szCs w:val="22"/>
                <w:highlight w:val="none"/>
                <w:u w:val="none"/>
                <w:lang w:val="en-US" w:eastAsia="zh-CN" w:bidi="ar"/>
              </w:rPr>
              <w:t>。</w:t>
            </w:r>
          </w:p>
          <w:p w14:paraId="3B9C70CE">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3、产品外观整洁，表面无凹痕，划伤、变形、毛刺、霉斑等缺陷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4、浮体在液体中可处于漂浮、悬浮或下沉状态；浮体处于任一状态时均不应倾斜。</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F741F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FC4EE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77E4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ECCA6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F8EB4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潜水艇浮沉演示器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46FD716">
            <w:pPr>
              <w:keepNext w:val="0"/>
              <w:keepLines w:val="0"/>
              <w:widowControl/>
              <w:numPr>
                <w:ilvl w:val="0"/>
                <w:numId w:val="8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产品由透明球体、配重块、吸排气筒等组成</w:t>
            </w:r>
            <w:r>
              <w:rPr>
                <w:rFonts w:hint="eastAsia" w:ascii="宋体" w:hAnsi="宋体" w:cs="宋体"/>
                <w:i w:val="0"/>
                <w:iCs w:val="0"/>
                <w:color w:val="auto"/>
                <w:kern w:val="0"/>
                <w:sz w:val="22"/>
                <w:szCs w:val="22"/>
                <w:highlight w:val="none"/>
                <w:u w:val="none"/>
                <w:lang w:val="en-US" w:eastAsia="zh-CN" w:bidi="ar"/>
              </w:rPr>
              <w:t>。</w:t>
            </w:r>
          </w:p>
          <w:p w14:paraId="3FC0416B">
            <w:pPr>
              <w:keepNext w:val="0"/>
              <w:keepLines w:val="0"/>
              <w:widowControl/>
              <w:numPr>
                <w:ilvl w:val="0"/>
                <w:numId w:val="83"/>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透明球体直径≥70mm</w:t>
            </w:r>
            <w:r>
              <w:rPr>
                <w:rFonts w:hint="eastAsia" w:ascii="宋体" w:hAnsi="宋体" w:cs="宋体"/>
                <w:i w:val="0"/>
                <w:iCs w:val="0"/>
                <w:color w:val="auto"/>
                <w:kern w:val="0"/>
                <w:sz w:val="22"/>
                <w:szCs w:val="22"/>
                <w:highlight w:val="none"/>
                <w:u w:val="none"/>
                <w:lang w:val="en-US" w:eastAsia="zh-CN" w:bidi="ar"/>
              </w:rPr>
              <w:t>。</w:t>
            </w:r>
          </w:p>
          <w:p w14:paraId="3DAAA7C3">
            <w:pPr>
              <w:keepNext w:val="0"/>
              <w:keepLines w:val="0"/>
              <w:widowControl/>
              <w:numPr>
                <w:ilvl w:val="0"/>
                <w:numId w:val="83"/>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吸排气筒容量：0～20mL</w:t>
            </w:r>
            <w:r>
              <w:rPr>
                <w:rFonts w:hint="eastAsia" w:ascii="宋体" w:hAnsi="宋体" w:cs="宋体"/>
                <w:i w:val="0"/>
                <w:iCs w:val="0"/>
                <w:color w:val="auto"/>
                <w:kern w:val="0"/>
                <w:sz w:val="22"/>
                <w:szCs w:val="22"/>
                <w:highlight w:val="none"/>
                <w:u w:val="none"/>
                <w:lang w:val="en-US" w:eastAsia="zh-CN" w:bidi="ar"/>
              </w:rPr>
              <w:t>。</w:t>
            </w:r>
          </w:p>
          <w:p w14:paraId="0AB95B6E">
            <w:pPr>
              <w:keepNext w:val="0"/>
              <w:keepLines w:val="0"/>
              <w:widowControl/>
              <w:numPr>
                <w:ilvl w:val="0"/>
                <w:numId w:val="83"/>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透明塑胶管长度≥23cm</w:t>
            </w:r>
            <w:r>
              <w:rPr>
                <w:rFonts w:hint="eastAsia" w:ascii="宋体" w:hAnsi="宋体" w:cs="宋体"/>
                <w:i w:val="0"/>
                <w:iCs w:val="0"/>
                <w:color w:val="auto"/>
                <w:kern w:val="0"/>
                <w:sz w:val="22"/>
                <w:szCs w:val="22"/>
                <w:highlight w:val="none"/>
                <w:u w:val="none"/>
                <w:lang w:val="en-US" w:eastAsia="zh-CN" w:bidi="ar"/>
              </w:rPr>
              <w:t>。</w:t>
            </w:r>
          </w:p>
          <w:p w14:paraId="60321A3F">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5、各处配合无漏气现象。</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371CBA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93E36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735C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F926C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BE9B8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浮力趣味实验材料</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B4BEC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能完成密度计制作、浮力秤制作等趣味实验</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17417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6ACDB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A6027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4F446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54288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压力和压强演示器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ECC9D28">
            <w:pPr>
              <w:keepNext w:val="0"/>
              <w:keepLines w:val="0"/>
              <w:widowControl/>
              <w:numPr>
                <w:ilvl w:val="0"/>
                <w:numId w:val="84"/>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产品有压强小桌、海绵块组成</w:t>
            </w:r>
            <w:r>
              <w:rPr>
                <w:rFonts w:hint="eastAsia" w:ascii="宋体" w:hAnsi="宋体" w:cs="宋体"/>
                <w:i w:val="0"/>
                <w:iCs w:val="0"/>
                <w:color w:val="auto"/>
                <w:kern w:val="0"/>
                <w:sz w:val="22"/>
                <w:szCs w:val="22"/>
                <w:highlight w:val="none"/>
                <w:u w:val="none"/>
                <w:lang w:val="en-US" w:eastAsia="zh-CN" w:bidi="ar"/>
              </w:rPr>
              <w:t>。</w:t>
            </w:r>
          </w:p>
          <w:p w14:paraId="3ACE9513">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2．压强小桌为塑料制品，桌面尺寸为130*70*53mm，应精制美观。</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668FD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EA4E6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76A6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F8D15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B1446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压力作用效果演示器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719FE8F">
            <w:pPr>
              <w:keepNext w:val="0"/>
              <w:keepLines w:val="0"/>
              <w:widowControl/>
              <w:numPr>
                <w:ilvl w:val="0"/>
                <w:numId w:val="8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 3 组规格相同的长方体金属块、带刻度的透明长方体容器、硬海绵块组成</w:t>
            </w:r>
            <w:r>
              <w:rPr>
                <w:rFonts w:hint="eastAsia" w:ascii="宋体" w:hAnsi="宋体" w:cs="宋体"/>
                <w:i w:val="0"/>
                <w:iCs w:val="0"/>
                <w:color w:val="auto"/>
                <w:kern w:val="0"/>
                <w:sz w:val="22"/>
                <w:szCs w:val="22"/>
                <w:highlight w:val="none"/>
                <w:u w:val="none"/>
                <w:lang w:val="en-US" w:eastAsia="zh-CN" w:bidi="ar"/>
              </w:rPr>
              <w:t>。</w:t>
            </w:r>
          </w:p>
          <w:p w14:paraId="59640D24">
            <w:pPr>
              <w:keepNext w:val="0"/>
              <w:keepLines w:val="0"/>
              <w:widowControl/>
              <w:numPr>
                <w:ilvl w:val="0"/>
                <w:numId w:val="8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跟金属块的3个面积对应的3块海绵应受力形变均匀</w:t>
            </w:r>
            <w:r>
              <w:rPr>
                <w:rFonts w:hint="eastAsia" w:ascii="宋体" w:hAnsi="宋体" w:cs="宋体"/>
                <w:i w:val="0"/>
                <w:iCs w:val="0"/>
                <w:color w:val="auto"/>
                <w:kern w:val="0"/>
                <w:sz w:val="22"/>
                <w:szCs w:val="22"/>
                <w:highlight w:val="none"/>
                <w:u w:val="none"/>
                <w:lang w:val="en-US" w:eastAsia="zh-CN" w:bidi="ar"/>
              </w:rPr>
              <w:t>。</w:t>
            </w:r>
          </w:p>
          <w:p w14:paraId="22096373">
            <w:pPr>
              <w:keepNext w:val="0"/>
              <w:keepLines w:val="0"/>
              <w:widowControl/>
              <w:numPr>
                <w:ilvl w:val="0"/>
                <w:numId w:val="8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透明塑料盒带刻度，金属块和海绵方便取出</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2360E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CD8A4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290B9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85CB0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A7167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液体内部压强实验器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17F72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承压盒、胶膜、胶管、支杆、调节机构等组成</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82AF7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9AC99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272E8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DC58F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38A21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微小压强计</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DDD2F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示教板、U型玻璃管、透明三通接头组成</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1F7DC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57728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BCA58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A47E8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6DF93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透明盛液筒</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072211D">
            <w:pPr>
              <w:keepNext w:val="0"/>
              <w:keepLines w:val="0"/>
              <w:widowControl/>
              <w:numPr>
                <w:ilvl w:val="0"/>
                <w:numId w:val="8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透明盛液筒体用聚苯乙烯压制而成，透明度良好、不易损坏；</w:t>
            </w:r>
          </w:p>
          <w:p w14:paraId="5C734129">
            <w:pPr>
              <w:keepNext w:val="0"/>
              <w:keepLines w:val="0"/>
              <w:widowControl/>
              <w:numPr>
                <w:ilvl w:val="0"/>
                <w:numId w:val="86"/>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筒的外经Φ≥120mm，高度≥300mm</w:t>
            </w:r>
            <w:r>
              <w:rPr>
                <w:rFonts w:hint="eastAsia" w:ascii="宋体" w:hAnsi="宋体" w:cs="宋体"/>
                <w:i w:val="0"/>
                <w:iCs w:val="0"/>
                <w:color w:val="auto"/>
                <w:kern w:val="0"/>
                <w:sz w:val="22"/>
                <w:szCs w:val="22"/>
                <w:highlight w:val="none"/>
                <w:u w:val="none"/>
                <w:lang w:val="en-US" w:eastAsia="zh-CN" w:bidi="ar"/>
              </w:rPr>
              <w:t>。</w:t>
            </w:r>
          </w:p>
          <w:p w14:paraId="5F5E9F8C">
            <w:pPr>
              <w:keepNext w:val="0"/>
              <w:keepLines w:val="0"/>
              <w:widowControl/>
              <w:numPr>
                <w:ilvl w:val="0"/>
                <w:numId w:val="86"/>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筒体表面印制表示刻度标志</w:t>
            </w:r>
            <w:r>
              <w:rPr>
                <w:rFonts w:hint="eastAsia" w:ascii="宋体" w:hAnsi="宋体" w:cs="宋体"/>
                <w:i w:val="0"/>
                <w:iCs w:val="0"/>
                <w:color w:val="auto"/>
                <w:kern w:val="0"/>
                <w:sz w:val="22"/>
                <w:szCs w:val="22"/>
                <w:highlight w:val="none"/>
                <w:u w:val="none"/>
                <w:lang w:val="en-US" w:eastAsia="zh-CN" w:bidi="ar"/>
              </w:rPr>
              <w:t>。</w:t>
            </w:r>
          </w:p>
          <w:p w14:paraId="35071397">
            <w:pPr>
              <w:keepNext w:val="0"/>
              <w:keepLines w:val="0"/>
              <w:widowControl/>
              <w:numPr>
                <w:ilvl w:val="0"/>
                <w:numId w:val="86"/>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筒体底部安放平稳、牢固，造型美观</w:t>
            </w:r>
            <w:r>
              <w:rPr>
                <w:rFonts w:hint="eastAsia" w:ascii="宋体" w:hAnsi="宋体" w:cs="宋体"/>
                <w:i w:val="0"/>
                <w:iCs w:val="0"/>
                <w:color w:val="auto"/>
                <w:kern w:val="0"/>
                <w:sz w:val="22"/>
                <w:szCs w:val="22"/>
                <w:highlight w:val="none"/>
                <w:u w:val="none"/>
                <w:lang w:val="en-US" w:eastAsia="zh-CN" w:bidi="ar"/>
              </w:rPr>
              <w:t>。</w:t>
            </w:r>
          </w:p>
          <w:p w14:paraId="16155E0B">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5、产品口部圆正，底部平整，表面无凹凸不平现象，无擦伤、划痕、裂缝等缺陷。</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7ECE8E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E23DD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D7BE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37255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21-89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9F4D0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液体对器壁压强演示器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C1B678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透明圆筒壁同一直线上不同高度处应有 3 个喷嘴，对面应有 1 个喷嘴；配 4 个喷嘴塞或盖，有表示深度的标尺</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36B01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FC16E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B733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63898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21-90</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BA0F4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连通器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7E77F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玻璃连通器和底座两部分组成；≥170×150×210mm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28410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90D70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42666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C4AA9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DAB5A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乳胶管1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6ADE1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外径9mm、内径6mm，拉伸强度≥21 MPa扯断伸长率≥700％</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D269A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m</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13ACE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AF544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36084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B722E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乳胶管2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92868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外径6mm、内径4mm，拉伸强度≥21 MPa扯断伸长率≥700％</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14A6D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m</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4EAAB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95049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334F7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5660E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马德堡半球</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3E44CBC">
            <w:pPr>
              <w:keepNext w:val="0"/>
              <w:keepLines w:val="0"/>
              <w:widowControl/>
              <w:numPr>
                <w:ilvl w:val="0"/>
                <w:numId w:val="8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产品由两个附有拉手的铸铁半球组成2铸铁件其中一个半球上装有开关和抽气管咀</w:t>
            </w:r>
            <w:r>
              <w:rPr>
                <w:rFonts w:hint="eastAsia" w:ascii="宋体" w:hAnsi="宋体" w:cs="宋体"/>
                <w:i w:val="0"/>
                <w:iCs w:val="0"/>
                <w:color w:val="auto"/>
                <w:kern w:val="0"/>
                <w:sz w:val="22"/>
                <w:szCs w:val="22"/>
                <w:highlight w:val="none"/>
                <w:u w:val="none"/>
                <w:lang w:val="en-US" w:eastAsia="zh-CN" w:bidi="ar"/>
              </w:rPr>
              <w:t>。</w:t>
            </w:r>
          </w:p>
          <w:p w14:paraId="65E58624">
            <w:pPr>
              <w:keepNext w:val="0"/>
              <w:keepLines w:val="0"/>
              <w:widowControl/>
              <w:numPr>
                <w:ilvl w:val="0"/>
                <w:numId w:val="8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半径尺寸：10.5cm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B6701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45923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E772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28365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23EA5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空盒气压计1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D9A07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量程 800 hPa～1060 hPa，整 10 hPa 点示值误差不应超过±0.7 hPa</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B7E49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93AF8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D9BF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19F32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2A43C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流体压强与流速关系演示器1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B6E78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气体式，由气体流动管道、气体接入部件、压强观测部件组成</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EE54A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6276A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1DC46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EFD6F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10C5A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流体压强与流速关系演示器2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6D334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液体式，由液体流动管道、液体接入部件、液体回收部件、压强观测部件 4 部分组成</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81F21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CFC66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A3647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C0358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3BAA5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流体压强与流速关系演示器3</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F3EC7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气体/液体两用式</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58F69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2851E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9380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EC0B8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2043D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飞机升力原理演示器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6FF52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由机翼模型（或飞机模型，硬质塑料制成）平行风源风机、底座、滑杆等组成，机翼下表面水平；若有调速电位器的Ⅱ类电器，金属外壳（以及与金属外壳相连的螺母）不应露在外</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723A0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4B44B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6C57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9B866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21-99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24F0C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杠杆</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089B44C">
            <w:pPr>
              <w:keepNext w:val="0"/>
              <w:keepLines w:val="0"/>
              <w:widowControl/>
              <w:numPr>
                <w:ilvl w:val="0"/>
                <w:numId w:val="88"/>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木质，木材质应无节疤、无裂纹、无伤痕，并经脱脂干燥处理，含水率≤18％；漆面光亮</w:t>
            </w:r>
            <w:r>
              <w:rPr>
                <w:rFonts w:hint="eastAsia" w:ascii="宋体" w:hAnsi="宋体" w:cs="宋体"/>
                <w:i w:val="0"/>
                <w:iCs w:val="0"/>
                <w:color w:val="auto"/>
                <w:kern w:val="0"/>
                <w:sz w:val="22"/>
                <w:szCs w:val="22"/>
                <w:highlight w:val="none"/>
                <w:u w:val="none"/>
                <w:lang w:val="en-US" w:eastAsia="zh-CN" w:bidi="ar"/>
              </w:rPr>
              <w:t>。</w:t>
            </w:r>
          </w:p>
          <w:p w14:paraId="348A1D4D">
            <w:pPr>
              <w:keepNext w:val="0"/>
              <w:keepLines w:val="0"/>
              <w:widowControl/>
              <w:numPr>
                <w:ilvl w:val="0"/>
                <w:numId w:val="8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2、产品由杠杆尺、轴、调平装置和六只挂钩组成。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14B67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9A740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E7C2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5674E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E2239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演示滑轮组</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88916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单滑轮，三并滑轮，三串滑轮各2个，挂钩为金属制成。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A5FA7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FDDD0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7A2B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87E35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0699F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滑轮组</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B568EAB">
            <w:pPr>
              <w:keepNext w:val="0"/>
              <w:keepLines w:val="0"/>
              <w:widowControl/>
              <w:numPr>
                <w:ilvl w:val="0"/>
                <w:numId w:val="8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由单滑轮2个、二并滑轮2个组成</w:t>
            </w:r>
            <w:r>
              <w:rPr>
                <w:rFonts w:hint="eastAsia" w:ascii="宋体" w:hAnsi="宋体" w:cs="宋体"/>
                <w:i w:val="0"/>
                <w:iCs w:val="0"/>
                <w:color w:val="auto"/>
                <w:kern w:val="0"/>
                <w:sz w:val="22"/>
                <w:szCs w:val="22"/>
                <w:highlight w:val="none"/>
                <w:u w:val="none"/>
                <w:lang w:val="en-US" w:eastAsia="zh-CN" w:bidi="ar"/>
              </w:rPr>
              <w:t>。</w:t>
            </w:r>
          </w:p>
          <w:p w14:paraId="7C32C765">
            <w:pPr>
              <w:keepNext w:val="0"/>
              <w:keepLines w:val="0"/>
              <w:widowControl/>
              <w:numPr>
                <w:ilvl w:val="0"/>
                <w:numId w:val="8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滑轮用优质工程塑料制作，轮轴、框架用塑料制作。</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E0C17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05CEA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C5FE5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AEEC7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21-102</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9BEC3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音叉1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9216F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256 Hz±0.3 Hz；由音叉、共鸣箱、音叉槌等组成；松木共鸣箱，尺寸 300 mm×80 mm×40 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±3mm） ；在环境噪声不大于 30 dB 的室内，用音叉槌敲击音叉，距音叉 1000 mm 处声强应不小于 90 dB</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17B0E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37EFD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E834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F5F94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21-103</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820B2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音叉2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8852F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512 Hz±0.4 Hz；由音叉、共鸣箱、音叉槌等组成；松木共鸣箱，尺寸 140 mm×80 mm×40 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±3mm）；在环境噪声不大于 30 dB 的室内，用音叉槌敲击音叉，距音叉 1000 mm 处声强应不小于 90 dB</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D6170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A9DEB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351C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B6610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21-104</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0A41C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电铃</w:t>
            </w:r>
          </w:p>
        </w:tc>
        <w:tc>
          <w:tcPr>
            <w:tcW w:w="3225" w:type="pct"/>
            <w:tcBorders>
              <w:top w:val="single" w:color="000000" w:sz="4" w:space="0"/>
              <w:left w:val="single" w:color="000000" w:sz="4" w:space="0"/>
              <w:bottom w:val="single" w:color="000000" w:sz="4" w:space="0"/>
              <w:right w:val="single" w:color="000000" w:sz="4" w:space="0"/>
            </w:tcBorders>
            <w:noWrap/>
            <w:vAlign w:val="center"/>
          </w:tcPr>
          <w:p w14:paraId="28CD4F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在15m 范围内铃声清</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A21CA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3FD5E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3941B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57DBE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3DBF4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声传播演示器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343E73A">
            <w:pPr>
              <w:keepNext w:val="0"/>
              <w:keepLines w:val="0"/>
              <w:widowControl/>
              <w:numPr>
                <w:ilvl w:val="0"/>
                <w:numId w:val="9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由面板、透明圆筒、发声系统、接收系统、抽气系统等组成</w:t>
            </w:r>
            <w:r>
              <w:rPr>
                <w:rFonts w:hint="eastAsia" w:ascii="宋体" w:hAnsi="宋体" w:cs="宋体"/>
                <w:i w:val="0"/>
                <w:iCs w:val="0"/>
                <w:color w:val="auto"/>
                <w:kern w:val="0"/>
                <w:sz w:val="22"/>
                <w:szCs w:val="22"/>
                <w:highlight w:val="none"/>
                <w:u w:val="none"/>
                <w:lang w:val="en-US" w:eastAsia="zh-CN" w:bidi="ar"/>
              </w:rPr>
              <w:t>。</w:t>
            </w:r>
          </w:p>
          <w:p w14:paraId="031A1606">
            <w:pPr>
              <w:keepNext w:val="0"/>
              <w:keepLines w:val="0"/>
              <w:widowControl/>
              <w:numPr>
                <w:ilvl w:val="0"/>
                <w:numId w:val="90"/>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面板：有支撑脚且能放置平稳，面板主面有发声、媒质、接收的标志</w:t>
            </w:r>
            <w:r>
              <w:rPr>
                <w:rFonts w:hint="eastAsia" w:ascii="宋体" w:hAnsi="宋体" w:cs="宋体"/>
                <w:i w:val="0"/>
                <w:iCs w:val="0"/>
                <w:color w:val="auto"/>
                <w:kern w:val="0"/>
                <w:sz w:val="22"/>
                <w:szCs w:val="22"/>
                <w:highlight w:val="none"/>
                <w:u w:val="none"/>
                <w:lang w:val="en-US" w:eastAsia="zh-CN" w:bidi="ar"/>
              </w:rPr>
              <w:t>。</w:t>
            </w:r>
          </w:p>
          <w:p w14:paraId="0F88FBB8">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3、透明圆筒有密封端盖，并有抽气装置。</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DD1A4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9144A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E675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04A13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988B4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旋片真空泵</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1A29609">
            <w:pPr>
              <w:keepNext w:val="0"/>
              <w:keepLines w:val="0"/>
              <w:widowControl/>
              <w:numPr>
                <w:ilvl w:val="0"/>
                <w:numId w:val="9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仪器油箱隔层处理，排气口设置油气分离装置，无喷油</w:t>
            </w:r>
            <w:r>
              <w:rPr>
                <w:rFonts w:hint="eastAsia" w:ascii="宋体" w:hAnsi="宋体" w:cs="宋体"/>
                <w:i w:val="0"/>
                <w:iCs w:val="0"/>
                <w:color w:val="auto"/>
                <w:kern w:val="0"/>
                <w:sz w:val="22"/>
                <w:szCs w:val="22"/>
                <w:highlight w:val="none"/>
                <w:u w:val="none"/>
                <w:lang w:val="en-US" w:eastAsia="zh-CN" w:bidi="ar"/>
              </w:rPr>
              <w:t>。</w:t>
            </w:r>
          </w:p>
          <w:p w14:paraId="5A52DE32">
            <w:pPr>
              <w:keepNext w:val="0"/>
              <w:keepLines w:val="0"/>
              <w:widowControl/>
              <w:numPr>
                <w:ilvl w:val="0"/>
                <w:numId w:val="91"/>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工作电压220V，50Hz；抽气速率3CFM，电机功率1/4HP，真空度5Pa，加油量220ml</w:t>
            </w:r>
            <w:r>
              <w:rPr>
                <w:rFonts w:hint="eastAsia" w:ascii="宋体" w:hAnsi="宋体" w:cs="宋体"/>
                <w:i w:val="0"/>
                <w:iCs w:val="0"/>
                <w:color w:val="auto"/>
                <w:kern w:val="0"/>
                <w:sz w:val="22"/>
                <w:szCs w:val="22"/>
                <w:highlight w:val="none"/>
                <w:u w:val="none"/>
                <w:lang w:val="en-US" w:eastAsia="zh-CN" w:bidi="ar"/>
              </w:rPr>
              <w:t>。</w:t>
            </w:r>
          </w:p>
          <w:p w14:paraId="73D440B6">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3、采用优质钢材，防锈处理。</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D4FA0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4A5F1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EF7C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3EB2F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83E78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抽气盘1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9DEEA4A">
            <w:pPr>
              <w:keepNext w:val="0"/>
              <w:keepLines w:val="0"/>
              <w:widowControl/>
              <w:numPr>
                <w:ilvl w:val="0"/>
                <w:numId w:val="9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本套仪器由抽气盘、塑料钟罩、电铃、橡胶密封圈等组成</w:t>
            </w:r>
            <w:r>
              <w:rPr>
                <w:rFonts w:hint="eastAsia" w:ascii="宋体" w:hAnsi="宋体" w:cs="宋体"/>
                <w:i w:val="0"/>
                <w:iCs w:val="0"/>
                <w:color w:val="auto"/>
                <w:kern w:val="0"/>
                <w:sz w:val="22"/>
                <w:szCs w:val="22"/>
                <w:highlight w:val="none"/>
                <w:u w:val="none"/>
                <w:lang w:val="en-US" w:eastAsia="zh-CN" w:bidi="ar"/>
              </w:rPr>
              <w:t>。</w:t>
            </w:r>
          </w:p>
          <w:p w14:paraId="0D28F6FB">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2、钟罩的外径为170mm,属高强度透明塑料制品，透明度良好。</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8510D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7133D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8B4A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4384E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0E12E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抽气盘2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F827370">
            <w:pPr>
              <w:keepNext w:val="0"/>
              <w:keepLines w:val="0"/>
              <w:widowControl/>
              <w:numPr>
                <w:ilvl w:val="0"/>
                <w:numId w:val="9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本套仪器由抽气盘、塑料钟罩、电铃、橡胶密封圈等组成</w:t>
            </w:r>
            <w:r>
              <w:rPr>
                <w:rFonts w:hint="eastAsia" w:ascii="宋体" w:hAnsi="宋体" w:cs="宋体"/>
                <w:i w:val="0"/>
                <w:iCs w:val="0"/>
                <w:color w:val="auto"/>
                <w:kern w:val="0"/>
                <w:sz w:val="22"/>
                <w:szCs w:val="22"/>
                <w:highlight w:val="none"/>
                <w:u w:val="none"/>
                <w:lang w:val="en-US" w:eastAsia="zh-CN" w:bidi="ar"/>
              </w:rPr>
              <w:t>。</w:t>
            </w:r>
          </w:p>
          <w:p w14:paraId="688C00E7">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2、钟罩的外径为170mm,属高强度透明塑料制品，透明度良好。</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F8F03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3C6C2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D51D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FCAF3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21-109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D2310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发音齿轮</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6B05A77">
            <w:pPr>
              <w:keepNext w:val="0"/>
              <w:keepLines w:val="0"/>
              <w:widowControl/>
              <w:numPr>
                <w:ilvl w:val="0"/>
                <w:numId w:val="9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包括 3 片齿板、转轴、振动片等；齿板齿数分别为 80、40、20，半圆形齿</w:t>
            </w:r>
            <w:r>
              <w:rPr>
                <w:rFonts w:hint="eastAsia" w:ascii="宋体" w:hAnsi="宋体" w:cs="宋体"/>
                <w:i w:val="0"/>
                <w:iCs w:val="0"/>
                <w:color w:val="auto"/>
                <w:kern w:val="0"/>
                <w:sz w:val="22"/>
                <w:szCs w:val="22"/>
                <w:highlight w:val="none"/>
                <w:u w:val="none"/>
                <w:lang w:val="en-US" w:eastAsia="zh-CN" w:bidi="ar"/>
              </w:rPr>
              <w:t>。</w:t>
            </w:r>
          </w:p>
          <w:p w14:paraId="32CDBC4D">
            <w:pPr>
              <w:keepNext w:val="0"/>
              <w:keepLines w:val="0"/>
              <w:widowControl/>
              <w:numPr>
                <w:ilvl w:val="0"/>
                <w:numId w:val="9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齿板为金属材质，转动轴应采用碳钢或不锈钢材料，振动片应采用聚苯乙烯塑料</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7FE97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3A4AF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A12D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3BF1F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D1F51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手摇离心转台</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3D59807">
            <w:pPr>
              <w:keepNext w:val="0"/>
              <w:keepLines w:val="0"/>
              <w:widowControl/>
              <w:numPr>
                <w:ilvl w:val="0"/>
                <w:numId w:val="9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由机座、主动轮（带手柄）、从动轮、支杆等组成；从动轮与主动轮的转速比不低于 6的整数倍，支杆直径 10 mm，全长 140 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支杆装配中心与从动轮轴的距离为 140 mm±1 mm</w:t>
            </w:r>
            <w:r>
              <w:rPr>
                <w:rFonts w:hint="eastAsia" w:ascii="宋体" w:hAnsi="宋体" w:cs="宋体"/>
                <w:i w:val="0"/>
                <w:iCs w:val="0"/>
                <w:color w:val="auto"/>
                <w:kern w:val="0"/>
                <w:sz w:val="22"/>
                <w:szCs w:val="22"/>
                <w:highlight w:val="none"/>
                <w:u w:val="none"/>
                <w:lang w:val="en-US" w:eastAsia="zh-CN" w:bidi="ar"/>
              </w:rPr>
              <w:t>。</w:t>
            </w:r>
          </w:p>
          <w:p w14:paraId="3EA29543">
            <w:pPr>
              <w:keepNext w:val="0"/>
              <w:keepLines w:val="0"/>
              <w:widowControl/>
              <w:numPr>
                <w:ilvl w:val="0"/>
                <w:numId w:val="9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从动轮轴孔上段为圆柱孔，下段为圆锥孔，锥度为 1:20，大端直径 10 mm，上偏差允许＋0.15 mm；深度不小于 45 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A0601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1892E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731C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04EC6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90ACC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教学示波器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586C8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1、垂直系统频率响应：直流DC~5MHz≤3dB，交流10Hz~5MHz≤3dB</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2、偏转因素：20mVp-p／格，误差±10%；3、输入阻容：1MΩ∥45PF。</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55741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40098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88841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39C62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90EFA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示波器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7459B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通用二踪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采样频率不低于20MHz</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DE548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BDB5A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5E591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40905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74C04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凹面镜</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2B2409B">
            <w:pPr>
              <w:keepNext w:val="0"/>
              <w:keepLines w:val="0"/>
              <w:widowControl/>
              <w:numPr>
                <w:ilvl w:val="0"/>
                <w:numId w:val="9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本仪器由凹面镜、镜框、支架、镜座等组成。</w:t>
            </w:r>
          </w:p>
          <w:p w14:paraId="5E24DB45">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2．凹面镜的直径为104±2mm。</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DEC0D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97006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6FF7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2369F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83E8A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凸面镜</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26C397C">
            <w:pPr>
              <w:keepNext w:val="0"/>
              <w:keepLines w:val="0"/>
              <w:widowControl/>
              <w:numPr>
                <w:ilvl w:val="0"/>
                <w:numId w:val="97"/>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本仪器由面镜、镜框、支架、镜座等组成</w:t>
            </w:r>
            <w:r>
              <w:rPr>
                <w:rFonts w:hint="eastAsia" w:ascii="宋体" w:hAnsi="宋体" w:cs="宋体"/>
                <w:i w:val="0"/>
                <w:iCs w:val="0"/>
                <w:color w:val="auto"/>
                <w:kern w:val="0"/>
                <w:sz w:val="22"/>
                <w:szCs w:val="22"/>
                <w:highlight w:val="none"/>
                <w:u w:val="none"/>
                <w:lang w:val="en-US" w:eastAsia="zh-CN" w:bidi="ar"/>
              </w:rPr>
              <w:t>。</w:t>
            </w:r>
          </w:p>
          <w:p w14:paraId="1716E6D8">
            <w:pPr>
              <w:keepNext w:val="0"/>
              <w:keepLines w:val="0"/>
              <w:widowControl/>
              <w:numPr>
                <w:ilvl w:val="0"/>
                <w:numId w:val="97"/>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凸面镜的基片采用普通玻璃制成，在距基片中心三分之二半径范围内，不得有目测到的气泡、结石和条纹</w:t>
            </w:r>
            <w:r>
              <w:rPr>
                <w:rFonts w:hint="eastAsia" w:ascii="宋体" w:hAnsi="宋体" w:cs="宋体"/>
                <w:i w:val="0"/>
                <w:iCs w:val="0"/>
                <w:color w:val="auto"/>
                <w:kern w:val="0"/>
                <w:sz w:val="22"/>
                <w:szCs w:val="22"/>
                <w:highlight w:val="none"/>
                <w:u w:val="none"/>
                <w:lang w:val="en-US" w:eastAsia="zh-CN" w:bidi="ar"/>
              </w:rPr>
              <w:t>。</w:t>
            </w:r>
          </w:p>
          <w:p w14:paraId="09E957BF">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3、反射膜镀层应均匀，在距中心三分之二半径范围内不得有色斑、擦痕、印迹等疵病，并应有牢固的保护层。</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6C25B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2B1CB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FFC3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1E4F0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68D40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光的传播、反射、折射实验器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C9A2A56">
            <w:pPr>
              <w:keepNext w:val="0"/>
              <w:keepLines w:val="0"/>
              <w:widowControl/>
              <w:numPr>
                <w:ilvl w:val="0"/>
                <w:numId w:val="9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产品为组装式，主要由Z型玻璃棒、半导体激光光源、平面镜、水槽、光盘等组成</w:t>
            </w:r>
            <w:r>
              <w:rPr>
                <w:rFonts w:hint="eastAsia" w:ascii="宋体" w:hAnsi="宋体" w:cs="宋体"/>
                <w:i w:val="0"/>
                <w:iCs w:val="0"/>
                <w:color w:val="auto"/>
                <w:kern w:val="0"/>
                <w:sz w:val="22"/>
                <w:szCs w:val="22"/>
                <w:highlight w:val="none"/>
                <w:u w:val="none"/>
                <w:lang w:val="en-US" w:eastAsia="zh-CN" w:bidi="ar"/>
              </w:rPr>
              <w:t>。</w:t>
            </w:r>
          </w:p>
          <w:p w14:paraId="55709271">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2、Z型玻璃棒用透明玻璃制作，尖点为球状。表面光洁，无气泡、毛刺现象。</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BFB32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1F34B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EE09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86DD0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0725B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平面镜成像实验器1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8DD28EC">
            <w:pPr>
              <w:keepNext w:val="0"/>
              <w:keepLines w:val="0"/>
              <w:widowControl/>
              <w:numPr>
                <w:ilvl w:val="0"/>
                <w:numId w:val="99"/>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镀半透膜的无色透明有机玻璃，厚 5 mm</w:t>
            </w:r>
            <w:r>
              <w:rPr>
                <w:rFonts w:hint="eastAsia" w:ascii="宋体" w:hAnsi="宋体" w:cs="宋体"/>
                <w:i w:val="0"/>
                <w:iCs w:val="0"/>
                <w:color w:val="auto"/>
                <w:kern w:val="0"/>
                <w:sz w:val="22"/>
                <w:szCs w:val="22"/>
                <w:highlight w:val="none"/>
                <w:u w:val="none"/>
                <w:lang w:val="en-US" w:eastAsia="zh-CN" w:bidi="ar"/>
              </w:rPr>
              <w:t>。</w:t>
            </w:r>
          </w:p>
          <w:p w14:paraId="4341B67E">
            <w:pPr>
              <w:keepNext w:val="0"/>
              <w:keepLines w:val="0"/>
              <w:widowControl/>
              <w:numPr>
                <w:ilvl w:val="0"/>
                <w:numId w:val="9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尺寸不小于 150 mm×100 mm，镜片边缘倒边倒角，镀膜面有标志</w:t>
            </w:r>
            <w:r>
              <w:rPr>
                <w:rFonts w:hint="eastAsia" w:ascii="宋体" w:hAnsi="宋体" w:cs="宋体"/>
                <w:i w:val="0"/>
                <w:iCs w:val="0"/>
                <w:color w:val="auto"/>
                <w:kern w:val="0"/>
                <w:sz w:val="22"/>
                <w:szCs w:val="22"/>
                <w:highlight w:val="none"/>
                <w:u w:val="none"/>
                <w:lang w:val="en-US" w:eastAsia="zh-CN" w:bidi="ar"/>
              </w:rPr>
              <w:t>。</w:t>
            </w:r>
          </w:p>
          <w:p w14:paraId="32C83451">
            <w:pPr>
              <w:keepNext w:val="0"/>
              <w:keepLines w:val="0"/>
              <w:widowControl/>
              <w:numPr>
                <w:ilvl w:val="0"/>
                <w:numId w:val="9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支架 2 个；宜采用黑色物体，印有白色左右对称标志 F；有机玻璃装上支架放在平面上，与平面的角度为 90°±1´，成像清晰无叠影</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A875A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110F9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35AE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4BFBF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3A529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平面镜成像实验器2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4864408">
            <w:pPr>
              <w:keepNext w:val="0"/>
              <w:keepLines w:val="0"/>
              <w:widowControl/>
              <w:numPr>
                <w:ilvl w:val="0"/>
                <w:numId w:val="10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由水平底座、镀半透膜的超薄塑料平面镜（厚度≤1 mm）等组成</w:t>
            </w:r>
            <w:r>
              <w:rPr>
                <w:rFonts w:hint="eastAsia" w:ascii="宋体" w:hAnsi="宋体" w:cs="宋体"/>
                <w:i w:val="0"/>
                <w:iCs w:val="0"/>
                <w:color w:val="auto"/>
                <w:kern w:val="0"/>
                <w:sz w:val="22"/>
                <w:szCs w:val="22"/>
                <w:highlight w:val="none"/>
                <w:u w:val="none"/>
                <w:lang w:val="en-US" w:eastAsia="zh-CN" w:bidi="ar"/>
              </w:rPr>
              <w:t>。</w:t>
            </w:r>
          </w:p>
          <w:p w14:paraId="724231A3">
            <w:pPr>
              <w:keepNext w:val="0"/>
              <w:keepLines w:val="0"/>
              <w:widowControl/>
              <w:numPr>
                <w:ilvl w:val="0"/>
                <w:numId w:val="10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平面镜镀膜面有标志，倾角宜能连续微调</w:t>
            </w:r>
            <w:r>
              <w:rPr>
                <w:rFonts w:hint="eastAsia" w:ascii="宋体" w:hAnsi="宋体" w:cs="宋体"/>
                <w:i w:val="0"/>
                <w:iCs w:val="0"/>
                <w:color w:val="auto"/>
                <w:kern w:val="0"/>
                <w:sz w:val="22"/>
                <w:szCs w:val="22"/>
                <w:highlight w:val="none"/>
                <w:u w:val="none"/>
                <w:lang w:val="en-US" w:eastAsia="zh-CN" w:bidi="ar"/>
              </w:rPr>
              <w:t>。</w:t>
            </w:r>
          </w:p>
          <w:p w14:paraId="2BFFEC10">
            <w:pPr>
              <w:keepNext w:val="0"/>
              <w:keepLines w:val="0"/>
              <w:widowControl/>
              <w:numPr>
                <w:ilvl w:val="0"/>
                <w:numId w:val="10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宜采用黑色物体，印有白色左右对称标志 F</w:t>
            </w:r>
            <w:r>
              <w:rPr>
                <w:rFonts w:hint="eastAsia" w:ascii="宋体" w:hAnsi="宋体" w:cs="宋体"/>
                <w:i w:val="0"/>
                <w:iCs w:val="0"/>
                <w:color w:val="auto"/>
                <w:kern w:val="0"/>
                <w:sz w:val="22"/>
                <w:szCs w:val="22"/>
                <w:highlight w:val="none"/>
                <w:u w:val="none"/>
                <w:lang w:val="en-US" w:eastAsia="zh-CN" w:bidi="ar"/>
              </w:rPr>
              <w:t>。</w:t>
            </w:r>
          </w:p>
          <w:p w14:paraId="63F02F39">
            <w:pPr>
              <w:keepNext w:val="0"/>
              <w:keepLines w:val="0"/>
              <w:widowControl/>
              <w:numPr>
                <w:ilvl w:val="0"/>
                <w:numId w:val="10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角度不可调平面镜固定后与水平面的角度为 90°±1´，成像清晰无叠影</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2812D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9F22A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F6AC5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C65B8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8ABAD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透明水槽1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B68A9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 mm×180 mm×100 mm，透明塑料制，透光率≥85％，壁厚≥2 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18C8A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10CD3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E77C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FC21E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21-119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27A8E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透明水槽2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D0D882F">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200 mm×100 mm±2mm，透明塑料制，透光率≥85％，壁厚≥2 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763BA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477B4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16660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28A38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F3465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透镜及其应用实验器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4C24F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产品由焦距100mm凸透镜1个，焦距 100mm凹透镜1个，支杆1个和底座1个组成。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0D6E1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9E086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6FC8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69AE5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6AC01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白光的色散与合成演示器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6B975D3">
            <w:pPr>
              <w:keepNext w:val="0"/>
              <w:keepLines w:val="0"/>
              <w:widowControl/>
              <w:numPr>
                <w:ilvl w:val="0"/>
                <w:numId w:val="10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由光源、三棱镜、三棱镜台、光屏、支承系统等组成</w:t>
            </w:r>
            <w:r>
              <w:rPr>
                <w:rFonts w:hint="eastAsia" w:ascii="宋体" w:hAnsi="宋体" w:cs="宋体"/>
                <w:i w:val="0"/>
                <w:iCs w:val="0"/>
                <w:color w:val="auto"/>
                <w:kern w:val="0"/>
                <w:sz w:val="22"/>
                <w:szCs w:val="22"/>
                <w:highlight w:val="none"/>
                <w:u w:val="none"/>
                <w:lang w:val="en-US" w:eastAsia="zh-CN" w:bidi="ar"/>
              </w:rPr>
              <w:t>。</w:t>
            </w:r>
          </w:p>
          <w:p w14:paraId="73FAB9F6">
            <w:pPr>
              <w:keepNext w:val="0"/>
              <w:keepLines w:val="0"/>
              <w:widowControl/>
              <w:numPr>
                <w:ilvl w:val="0"/>
                <w:numId w:val="10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两块棱镜应配对，用 ZF3 玻璃制其折射率之差不大于 0.003，中部色散之差不大于 0.0005</w:t>
            </w:r>
            <w:r>
              <w:rPr>
                <w:rFonts w:hint="eastAsia" w:ascii="宋体" w:hAnsi="宋体" w:cs="宋体"/>
                <w:i w:val="0"/>
                <w:iCs w:val="0"/>
                <w:color w:val="auto"/>
                <w:kern w:val="0"/>
                <w:sz w:val="22"/>
                <w:szCs w:val="22"/>
                <w:highlight w:val="none"/>
                <w:u w:val="none"/>
                <w:lang w:val="en-US" w:eastAsia="zh-CN" w:bidi="ar"/>
              </w:rPr>
              <w:t>。</w:t>
            </w:r>
          </w:p>
          <w:p w14:paraId="364847DF">
            <w:pPr>
              <w:keepNext w:val="0"/>
              <w:keepLines w:val="0"/>
              <w:widowControl/>
              <w:numPr>
                <w:ilvl w:val="0"/>
                <w:numId w:val="10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实验效果：做白光的色散实验时，可见光区域内光谱连续清晰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能把白光色散后的七色光谱带还原成白光</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C19F2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C5134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790A4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BAF1C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1A076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光的三原色合成实验器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68B26DA">
            <w:pPr>
              <w:keepNext w:val="0"/>
              <w:keepLines w:val="0"/>
              <w:widowControl/>
              <w:numPr>
                <w:ilvl w:val="0"/>
                <w:numId w:val="10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仪器使用光源为红、绿、蓝发光二极管,工作电压：DC6V</w:t>
            </w:r>
            <w:r>
              <w:rPr>
                <w:rFonts w:hint="eastAsia" w:ascii="宋体" w:hAnsi="宋体" w:cs="宋体"/>
                <w:i w:val="0"/>
                <w:iCs w:val="0"/>
                <w:color w:val="auto"/>
                <w:kern w:val="0"/>
                <w:sz w:val="22"/>
                <w:szCs w:val="22"/>
                <w:highlight w:val="none"/>
                <w:u w:val="none"/>
                <w:lang w:val="en-US" w:eastAsia="zh-CN" w:bidi="ar"/>
              </w:rPr>
              <w:t>。</w:t>
            </w:r>
          </w:p>
          <w:p w14:paraId="45C4C5A9">
            <w:pPr>
              <w:keepNext w:val="0"/>
              <w:keepLines w:val="0"/>
              <w:widowControl/>
              <w:numPr>
                <w:ilvl w:val="0"/>
                <w:numId w:val="10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工作电流：0.3A</w:t>
            </w:r>
            <w:r>
              <w:rPr>
                <w:rFonts w:hint="eastAsia" w:ascii="宋体" w:hAnsi="宋体" w:cs="宋体"/>
                <w:i w:val="0"/>
                <w:iCs w:val="0"/>
                <w:color w:val="auto"/>
                <w:kern w:val="0"/>
                <w:sz w:val="22"/>
                <w:szCs w:val="22"/>
                <w:highlight w:val="none"/>
                <w:u w:val="none"/>
                <w:lang w:val="en-US" w:eastAsia="zh-CN" w:bidi="ar"/>
              </w:rPr>
              <w:t>。</w:t>
            </w:r>
          </w:p>
          <w:p w14:paraId="167C3F4B">
            <w:pPr>
              <w:keepNext w:val="0"/>
              <w:keepLines w:val="0"/>
              <w:widowControl/>
              <w:numPr>
                <w:ilvl w:val="0"/>
                <w:numId w:val="10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调节红、绿、蓝三色的光强，三色光斑互相重叠部分的色彩随之改变，当红、绿、蓝三色的光强比例合适时，三色光斑互相重叠部分呈白色，红、蓝色光斑重叠部分为品红色，红、绿色光斑重叠部分为黄色，蓝、绿色光斑重叠部分为青色，实验效果明显，且操作方便。</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1294B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31C66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FAEF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B4169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835EA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光具盘</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7971A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产品由圆形光盘、光源、狭缝、光学零件等组成的磁吸附式光具盘。</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12993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1A8D1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E032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3F01F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9CBB8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激光光学演示仪</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FB691A4">
            <w:pPr>
              <w:keepNext w:val="0"/>
              <w:keepLines w:val="0"/>
              <w:widowControl/>
              <w:numPr>
                <w:ilvl w:val="0"/>
                <w:numId w:val="103"/>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含演示屏、圆形光盘、光源、分束器、光学零部件（扩束透镜、双凸柱面透镜、半圆柱面透镜、平凸柱面透镜、平凹柱面透镜、凹凸柱面反光镜、平面镜、漫反射镜、等边棱镜、等腰直角棱镜、光纤、光具架、移动尺等</w:t>
            </w:r>
            <w:r>
              <w:rPr>
                <w:rFonts w:hint="eastAsia" w:ascii="宋体" w:hAnsi="宋体" w:cs="宋体"/>
                <w:i w:val="0"/>
                <w:iCs w:val="0"/>
                <w:color w:val="auto"/>
                <w:kern w:val="0"/>
                <w:sz w:val="22"/>
                <w:szCs w:val="22"/>
                <w:highlight w:val="none"/>
                <w:u w:val="none"/>
                <w:lang w:val="en-US" w:eastAsia="zh-CN" w:bidi="ar"/>
              </w:rPr>
              <w:t>。</w:t>
            </w:r>
          </w:p>
          <w:p w14:paraId="09D924C4">
            <w:pPr>
              <w:keepNext w:val="0"/>
              <w:keepLines w:val="0"/>
              <w:widowControl/>
              <w:numPr>
                <w:ilvl w:val="0"/>
                <w:numId w:val="10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演示屏长度≥350 mm，宽度≥280 mm；圆形光盘直径≥160 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光盘面分为四个象限，分别刻有 0°～90°刻度</w:t>
            </w:r>
            <w:r>
              <w:rPr>
                <w:rFonts w:hint="eastAsia" w:ascii="宋体" w:hAnsi="宋体" w:cs="宋体"/>
                <w:i w:val="0"/>
                <w:iCs w:val="0"/>
                <w:color w:val="auto"/>
                <w:kern w:val="0"/>
                <w:sz w:val="22"/>
                <w:szCs w:val="22"/>
                <w:highlight w:val="none"/>
                <w:u w:val="none"/>
                <w:lang w:val="en-US" w:eastAsia="zh-CN" w:bidi="ar"/>
              </w:rPr>
              <w:t>。</w:t>
            </w:r>
          </w:p>
          <w:p w14:paraId="3C30E5AA">
            <w:pPr>
              <w:keepNext w:val="0"/>
              <w:keepLines w:val="0"/>
              <w:widowControl/>
              <w:numPr>
                <w:ilvl w:val="0"/>
                <w:numId w:val="10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激光束经分束器在演示屏上呈现的三条光束基本相同</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9555B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27D9D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0E6B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89FE3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283F8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光具座</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EEDC9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由铝铸件支架、Φ16双元柱导轨、滑块、标尺、透镜(f= 50，Φ30、f=100，Φ40)，(f=300，Φ50、f=-75，Φ30)、白屏毛玻璃屏、“1”字屏，屏夹、及4支插杆等零部件组成。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1936D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DA4C4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251D6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2E7F0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41A44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光具组</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B080C6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包括双凸透镜 2 件，平凸透镜 1 件，双凹透镜 1 件，“l”字屏 1 件，白光屏 1 件，毛玻璃光屏 1 件，烛台 1 件（能调节焰心的高度）光源出口照度≥500 lx，0.5 m 处照度不小于出口照度的 3／5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支承机构应能使光路上元件的光心基本等高</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8EF01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A4984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7CDE3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0D92B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614B4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擦镜纸</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64355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20cm×15cm，纸纹细密</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A09AA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61985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414B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9A284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88240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玻棒(附丝绸)</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C682E50">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教师用</w:t>
            </w:r>
          </w:p>
          <w:p w14:paraId="0835B508">
            <w:pPr>
              <w:keepNext w:val="0"/>
              <w:keepLines w:val="0"/>
              <w:widowControl/>
              <w:numPr>
                <w:ilvl w:val="0"/>
                <w:numId w:val="10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产品包括：硬质玻棒（或有机玻棒）1根，丝绸1块</w:t>
            </w:r>
            <w:r>
              <w:rPr>
                <w:rFonts w:hint="eastAsia" w:ascii="宋体" w:hAnsi="宋体" w:cs="宋体"/>
                <w:i w:val="0"/>
                <w:iCs w:val="0"/>
                <w:color w:val="auto"/>
                <w:kern w:val="0"/>
                <w:sz w:val="22"/>
                <w:szCs w:val="22"/>
                <w:highlight w:val="none"/>
                <w:u w:val="none"/>
                <w:lang w:val="en-US" w:eastAsia="zh-CN" w:bidi="ar"/>
              </w:rPr>
              <w:t>。</w:t>
            </w:r>
          </w:p>
          <w:p w14:paraId="013DFEAF">
            <w:pPr>
              <w:keepNext w:val="0"/>
              <w:keepLines w:val="0"/>
              <w:widowControl/>
              <w:numPr>
                <w:ilvl w:val="0"/>
                <w:numId w:val="10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玻棒（或有机玻棒）</w:t>
            </w:r>
            <w:r>
              <w:rPr>
                <w:rFonts w:hint="eastAsia" w:ascii="宋体" w:hAnsi="宋体" w:cs="宋体"/>
                <w:i w:val="0"/>
                <w:iCs w:val="0"/>
                <w:color w:val="auto"/>
                <w:kern w:val="0"/>
                <w:sz w:val="22"/>
                <w:szCs w:val="22"/>
                <w:highlight w:val="none"/>
                <w:u w:val="none"/>
                <w:lang w:val="en-US" w:eastAsia="zh-CN" w:bidi="ar"/>
              </w:rPr>
              <w:t>。</w:t>
            </w:r>
          </w:p>
          <w:p w14:paraId="2B427DD9">
            <w:pPr>
              <w:keepNext w:val="0"/>
              <w:keepLines w:val="0"/>
              <w:widowControl/>
              <w:numPr>
                <w:ilvl w:val="0"/>
                <w:numId w:val="10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玻棒表面应无斑痕、气孔，烧制。</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A13C4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2AA61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6B80F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2CBB3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21-129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A5B43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胶棒(附毛皮)</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C2677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学生用，胶棒尺寸：7x200mm，附皮毛</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70302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0501F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18D1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6F206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E15AA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电磁实验用旋转架</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AACF6B6">
            <w:pPr>
              <w:keepNext w:val="0"/>
              <w:keepLines w:val="0"/>
              <w:widowControl/>
              <w:numPr>
                <w:ilvl w:val="0"/>
                <w:numId w:val="10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由底座、转轴和转台等组成。</w:t>
            </w:r>
          </w:p>
          <w:p w14:paraId="528DBA7B">
            <w:pPr>
              <w:keepNext w:val="0"/>
              <w:keepLines w:val="0"/>
              <w:widowControl/>
              <w:numPr>
                <w:ilvl w:val="0"/>
                <w:numId w:val="10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转台采用静电绝缘材料制成，转台内应有一凹槽；凹槽宽度应≥15 mm，凹槽深度应≥8 mm，凹槽长度应≥35 mm；转台应能作 360°旋转</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CF056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C5189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F0F5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904EF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95977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验电器连接杆</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F25C0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验电器连接杆物理实验仪器≥270mm。</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4F804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F32D4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7374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5A246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71719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箔片验电器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3EAB7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学生用，尺寸：≥50*30*50mm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7AB95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FF07D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6A76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007C3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D13FF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指针验电器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DE73CD9">
            <w:pPr>
              <w:keepNext w:val="0"/>
              <w:keepLines w:val="0"/>
              <w:widowControl/>
              <w:numPr>
                <w:ilvl w:val="0"/>
                <w:numId w:val="10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由外壳、圆球、法拉第圆筒、导电杆、绝缘子、指针、指针架、接地线柱等构成。</w:t>
            </w:r>
          </w:p>
          <w:p w14:paraId="5B4F4258">
            <w:pPr>
              <w:keepNext w:val="0"/>
              <w:keepLines w:val="0"/>
              <w:widowControl/>
              <w:numPr>
                <w:ilvl w:val="0"/>
                <w:numId w:val="10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外壳应由不能带静电的材料制成，外壳上观察面应采用透明材料（透光率≥90%）；指针用非磁性材料，长度≥100 mm。性能要求：相对湿度≤65%环境，圆球加 9 kV 直流高压，指针张开角度在 45°～50°；移去高压后，指针保持 30°以上的时间≥20 min</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5BD54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C585E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10EF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30178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218AC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条形磁铁</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7B218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D-CG-LT-180，表面磁感应强度≥0.07 T</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203BB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对</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436D4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54B4E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C3DEC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04035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蹄形磁铁</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E23BF9A">
            <w:pPr>
              <w:keepNext w:val="0"/>
              <w:keepLines w:val="0"/>
              <w:widowControl/>
              <w:numPr>
                <w:ilvl w:val="0"/>
                <w:numId w:val="10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D-CG-LU-80型，磁感应强度应不小于0.055T</w:t>
            </w:r>
            <w:r>
              <w:rPr>
                <w:rFonts w:hint="eastAsia" w:ascii="宋体" w:hAnsi="宋体" w:cs="宋体"/>
                <w:i w:val="0"/>
                <w:iCs w:val="0"/>
                <w:color w:val="auto"/>
                <w:kern w:val="0"/>
                <w:sz w:val="22"/>
                <w:szCs w:val="22"/>
                <w:highlight w:val="none"/>
                <w:u w:val="none"/>
                <w:lang w:val="en-US" w:eastAsia="zh-CN" w:bidi="ar"/>
              </w:rPr>
              <w:t>。</w:t>
            </w:r>
          </w:p>
          <w:p w14:paraId="689AB7C9">
            <w:pPr>
              <w:keepNext w:val="0"/>
              <w:keepLines w:val="0"/>
              <w:widowControl/>
              <w:numPr>
                <w:ilvl w:val="0"/>
                <w:numId w:val="10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教学用磁钢极性标注，指北极（N）为红色，指南极（S）为白色或蓝色；N、S字母的颜色为蓝色或白色</w:t>
            </w:r>
            <w:r>
              <w:rPr>
                <w:rFonts w:hint="eastAsia" w:ascii="宋体" w:hAnsi="宋体" w:cs="宋体"/>
                <w:i w:val="0"/>
                <w:iCs w:val="0"/>
                <w:color w:val="auto"/>
                <w:kern w:val="0"/>
                <w:sz w:val="22"/>
                <w:szCs w:val="22"/>
                <w:highlight w:val="none"/>
                <w:u w:val="none"/>
                <w:lang w:val="en-US" w:eastAsia="zh-CN" w:bidi="ar"/>
              </w:rPr>
              <w:t>。</w:t>
            </w:r>
          </w:p>
          <w:p w14:paraId="00788439">
            <w:pPr>
              <w:keepNext w:val="0"/>
              <w:keepLines w:val="0"/>
              <w:widowControl/>
              <w:numPr>
                <w:ilvl w:val="0"/>
                <w:numId w:val="10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试验后磁感应强度不小于第1条的要求。</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A19B6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3E280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F09C7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335BD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0F416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翼形磁针</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19EAF2C">
            <w:pPr>
              <w:keepNext w:val="0"/>
              <w:keepLines w:val="0"/>
              <w:widowControl/>
              <w:numPr>
                <w:ilvl w:val="0"/>
                <w:numId w:val="10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翼型、底座直径70mm，磁性指针长140mm</w:t>
            </w:r>
            <w:r>
              <w:rPr>
                <w:rFonts w:hint="eastAsia" w:ascii="宋体" w:hAnsi="宋体" w:cs="宋体"/>
                <w:i w:val="0"/>
                <w:iCs w:val="0"/>
                <w:color w:val="auto"/>
                <w:kern w:val="0"/>
                <w:sz w:val="22"/>
                <w:szCs w:val="22"/>
                <w:highlight w:val="none"/>
                <w:u w:val="none"/>
                <w:lang w:val="en-US" w:eastAsia="zh-CN" w:bidi="ar"/>
              </w:rPr>
              <w:t>。</w:t>
            </w:r>
          </w:p>
          <w:p w14:paraId="58BCD609">
            <w:pPr>
              <w:keepNext w:val="0"/>
              <w:keepLines w:val="0"/>
              <w:widowControl/>
              <w:numPr>
                <w:ilvl w:val="0"/>
                <w:numId w:val="10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磁针体表面喷漆，漆层均匀无脱落</w:t>
            </w:r>
            <w:r>
              <w:rPr>
                <w:rFonts w:hint="eastAsia" w:ascii="宋体" w:hAnsi="宋体" w:cs="宋体"/>
                <w:i w:val="0"/>
                <w:iCs w:val="0"/>
                <w:color w:val="auto"/>
                <w:kern w:val="0"/>
                <w:sz w:val="22"/>
                <w:szCs w:val="22"/>
                <w:highlight w:val="none"/>
                <w:u w:val="none"/>
                <w:lang w:val="en-US" w:eastAsia="zh-CN" w:bidi="ar"/>
              </w:rPr>
              <w:t>。</w:t>
            </w:r>
          </w:p>
          <w:p w14:paraId="3F4ECA72">
            <w:pPr>
              <w:keepNext w:val="0"/>
              <w:keepLines w:val="0"/>
              <w:widowControl/>
              <w:numPr>
                <w:ilvl w:val="0"/>
                <w:numId w:val="10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指北极为红色，指南极为白色或蓝色。</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3E842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B6AF2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EE3E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5390B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A624E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菱形小磁针</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D6264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 支，磁针 28 mm×8 mm，座</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25 mm×25 mm磁针体中间铆接铜轴承套，内嵌玻璃轴承，平均磁感应强度≥5 mT</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A5A76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04E23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A6A9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30B28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0FADF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磁感线演示器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94B6F5A">
            <w:pPr>
              <w:keepNext w:val="0"/>
              <w:keepLines w:val="0"/>
              <w:widowControl/>
              <w:numPr>
                <w:ilvl w:val="0"/>
                <w:numId w:val="10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本仪器由铁粉盒、生铁粉、磁铁组成</w:t>
            </w:r>
            <w:r>
              <w:rPr>
                <w:rFonts w:hint="eastAsia" w:ascii="宋体" w:hAnsi="宋体" w:cs="宋体"/>
                <w:i w:val="0"/>
                <w:iCs w:val="0"/>
                <w:color w:val="auto"/>
                <w:kern w:val="0"/>
                <w:sz w:val="22"/>
                <w:szCs w:val="22"/>
                <w:highlight w:val="none"/>
                <w:u w:val="none"/>
                <w:lang w:val="en-US" w:eastAsia="zh-CN" w:bidi="ar"/>
              </w:rPr>
              <w:t>。</w:t>
            </w:r>
          </w:p>
          <w:p w14:paraId="5117567A">
            <w:pPr>
              <w:keepNext w:val="0"/>
              <w:keepLines w:val="0"/>
              <w:widowControl/>
              <w:numPr>
                <w:ilvl w:val="0"/>
                <w:numId w:val="10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铁粉盒用塑料制作，内腔呈长方形</w:t>
            </w:r>
            <w:r>
              <w:rPr>
                <w:rFonts w:hint="eastAsia" w:ascii="宋体" w:hAnsi="宋体" w:cs="宋体"/>
                <w:i w:val="0"/>
                <w:iCs w:val="0"/>
                <w:color w:val="auto"/>
                <w:kern w:val="0"/>
                <w:sz w:val="22"/>
                <w:szCs w:val="22"/>
                <w:highlight w:val="none"/>
                <w:u w:val="none"/>
                <w:lang w:val="en-US" w:eastAsia="zh-CN" w:bidi="ar"/>
              </w:rPr>
              <w:t>。</w:t>
            </w:r>
          </w:p>
          <w:p w14:paraId="15D6DC3A">
            <w:pPr>
              <w:keepNext w:val="0"/>
              <w:keepLines w:val="0"/>
              <w:widowControl/>
              <w:numPr>
                <w:ilvl w:val="0"/>
                <w:numId w:val="10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生铁粉选用颗粒状，质量不少于3G</w:t>
            </w:r>
            <w:r>
              <w:rPr>
                <w:rFonts w:hint="eastAsia" w:ascii="宋体" w:hAnsi="宋体" w:cs="宋体"/>
                <w:i w:val="0"/>
                <w:iCs w:val="0"/>
                <w:color w:val="auto"/>
                <w:kern w:val="0"/>
                <w:sz w:val="22"/>
                <w:szCs w:val="22"/>
                <w:highlight w:val="none"/>
                <w:u w:val="none"/>
                <w:lang w:val="en-US" w:eastAsia="zh-CN" w:bidi="ar"/>
              </w:rPr>
              <w:t>。</w:t>
            </w:r>
          </w:p>
          <w:p w14:paraId="1740FAC5">
            <w:pPr>
              <w:keepNext w:val="0"/>
              <w:keepLines w:val="0"/>
              <w:widowControl/>
              <w:numPr>
                <w:ilvl w:val="0"/>
                <w:numId w:val="10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磁铁N、S板标示明显。</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BB544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FCF43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0FD4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DA1D1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21-139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9E59F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立体磁感线演示器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653D2FA">
            <w:pPr>
              <w:keepNext w:val="0"/>
              <w:keepLines w:val="0"/>
              <w:widowControl/>
              <w:numPr>
                <w:ilvl w:val="0"/>
                <w:numId w:val="11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产品为组合式，由六块含有小指针的透明塑料板与两块圆形镂空透明塑料板组装而成</w:t>
            </w:r>
            <w:r>
              <w:rPr>
                <w:rFonts w:hint="eastAsia" w:ascii="宋体" w:hAnsi="宋体" w:cs="宋体"/>
                <w:i w:val="0"/>
                <w:iCs w:val="0"/>
                <w:color w:val="auto"/>
                <w:kern w:val="0"/>
                <w:sz w:val="22"/>
                <w:szCs w:val="22"/>
                <w:highlight w:val="none"/>
                <w:u w:val="none"/>
                <w:lang w:val="en-US" w:eastAsia="zh-CN" w:bidi="ar"/>
              </w:rPr>
              <w:t>。</w:t>
            </w:r>
          </w:p>
          <w:p w14:paraId="5ECECCCA">
            <w:pPr>
              <w:keepNext w:val="0"/>
              <w:keepLines w:val="0"/>
              <w:widowControl/>
              <w:numPr>
                <w:ilvl w:val="0"/>
                <w:numId w:val="11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蹄形磁铁1个，条形磁铁1个组成。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7B093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00614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7E7C2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A1A6A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F186E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磁感线演示板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85A14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可投影，产品主要由含铁针演示板1块、条形磁铁1个组成。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F5F00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BBD98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279F2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7B35B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ADDB6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稳压直流电源</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45BA539">
            <w:pPr>
              <w:keepNext w:val="0"/>
              <w:keepLines w:val="0"/>
              <w:widowControl/>
              <w:numPr>
                <w:ilvl w:val="0"/>
                <w:numId w:val="11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数显，双路稳压；0 V～15 V 连续可调，每路额定电流 1.5 A，两路可串联使用</w:t>
            </w:r>
            <w:r>
              <w:rPr>
                <w:rFonts w:hint="eastAsia" w:ascii="宋体" w:hAnsi="宋体" w:cs="宋体"/>
                <w:i w:val="0"/>
                <w:iCs w:val="0"/>
                <w:color w:val="auto"/>
                <w:kern w:val="0"/>
                <w:sz w:val="22"/>
                <w:szCs w:val="22"/>
                <w:highlight w:val="none"/>
                <w:u w:val="none"/>
                <w:lang w:val="en-US" w:eastAsia="zh-CN" w:bidi="ar"/>
              </w:rPr>
              <w:t>。</w:t>
            </w:r>
          </w:p>
          <w:p w14:paraId="18DE4FDE">
            <w:pPr>
              <w:keepNext w:val="0"/>
              <w:keepLines w:val="0"/>
              <w:widowControl/>
              <w:numPr>
                <w:ilvl w:val="0"/>
                <w:numId w:val="11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直流稳压负载电流达到 1.6 A～1.7 A 时电源限流保护，输出电流恒定在最大电流，过载消除自动恢复</w:t>
            </w:r>
            <w:r>
              <w:rPr>
                <w:rFonts w:hint="eastAsia" w:ascii="宋体" w:hAnsi="宋体" w:cs="宋体"/>
                <w:i w:val="0"/>
                <w:iCs w:val="0"/>
                <w:color w:val="auto"/>
                <w:kern w:val="0"/>
                <w:sz w:val="22"/>
                <w:szCs w:val="22"/>
                <w:highlight w:val="none"/>
                <w:u w:val="none"/>
                <w:lang w:val="en-US" w:eastAsia="zh-CN" w:bidi="ar"/>
              </w:rPr>
              <w:t>。</w:t>
            </w:r>
          </w:p>
          <w:p w14:paraId="4E2E5619">
            <w:pPr>
              <w:keepNext w:val="0"/>
              <w:keepLines w:val="0"/>
              <w:widowControl/>
              <w:numPr>
                <w:ilvl w:val="0"/>
                <w:numId w:val="11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电压稳定度 0.5%，加 10 mV；负载稳定度 0.5%，加 10 mV；安全要求：电源端与外壳抗电强度 1500 V（有保护接地线）或 3000 V（无保护接地线），电源端与低压输出抗电强度 3000 V</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10F55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72043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6E004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BB4F8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81D51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学生电源</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2B08EE8">
            <w:pPr>
              <w:keepNext w:val="0"/>
              <w:keepLines w:val="0"/>
              <w:widowControl/>
              <w:numPr>
                <w:ilvl w:val="0"/>
                <w:numId w:val="11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直流稳压输出 1.5 V～9 V，每 1.5 V 为一档，共六档</w:t>
            </w:r>
            <w:r>
              <w:rPr>
                <w:rFonts w:hint="eastAsia" w:ascii="宋体" w:hAnsi="宋体" w:cs="宋体"/>
                <w:i w:val="0"/>
                <w:iCs w:val="0"/>
                <w:color w:val="auto"/>
                <w:kern w:val="0"/>
                <w:sz w:val="22"/>
                <w:szCs w:val="22"/>
                <w:highlight w:val="none"/>
                <w:u w:val="none"/>
                <w:lang w:val="en-US" w:eastAsia="zh-CN" w:bidi="ar"/>
              </w:rPr>
              <w:t>。</w:t>
            </w:r>
          </w:p>
          <w:p w14:paraId="2124216D">
            <w:pPr>
              <w:keepNext w:val="0"/>
              <w:keepLines w:val="0"/>
              <w:widowControl/>
              <w:numPr>
                <w:ilvl w:val="0"/>
                <w:numId w:val="11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额定电流1.5A,电压偏调≤±（2％U标＋0.1 V），电压稳定度≤2％</w:t>
            </w:r>
            <w:r>
              <w:rPr>
                <w:rFonts w:hint="eastAsia" w:ascii="宋体" w:hAnsi="宋体" w:eastAsia="宋体" w:cs="宋体"/>
                <w:i/>
                <w:iCs/>
                <w:color w:val="auto"/>
                <w:kern w:val="0"/>
                <w:sz w:val="22"/>
                <w:szCs w:val="22"/>
                <w:highlight w:val="none"/>
                <w:u w:val="none"/>
                <w:lang w:val="en-US" w:eastAsia="zh-CN" w:bidi="ar"/>
              </w:rPr>
              <w:t>U</w:t>
            </w:r>
            <w:r>
              <w:rPr>
                <w:rStyle w:val="182"/>
                <w:color w:val="auto"/>
                <w:highlight w:val="none"/>
                <w:lang w:val="en-US" w:eastAsia="zh-CN" w:bidi="ar"/>
              </w:rPr>
              <w:t>标</w:t>
            </w:r>
            <w:r>
              <w:rPr>
                <w:rFonts w:hint="eastAsia" w:ascii="宋体" w:hAnsi="宋体" w:eastAsia="宋体" w:cs="宋体"/>
                <w:i w:val="0"/>
                <w:iCs w:val="0"/>
                <w:color w:val="auto"/>
                <w:kern w:val="0"/>
                <w:sz w:val="22"/>
                <w:szCs w:val="22"/>
                <w:highlight w:val="none"/>
                <w:u w:val="none"/>
                <w:lang w:val="en-US" w:eastAsia="zh-CN" w:bidi="ar"/>
              </w:rPr>
              <w:t>＋0.1 V负载稳定度≤2％</w:t>
            </w:r>
            <w:r>
              <w:rPr>
                <w:rFonts w:hint="eastAsia" w:ascii="宋体" w:hAnsi="宋体" w:eastAsia="宋体" w:cs="宋体"/>
                <w:i/>
                <w:iCs/>
                <w:color w:val="auto"/>
                <w:kern w:val="0"/>
                <w:sz w:val="22"/>
                <w:szCs w:val="22"/>
                <w:highlight w:val="none"/>
                <w:u w:val="none"/>
                <w:lang w:val="en-US" w:eastAsia="zh-CN" w:bidi="ar"/>
              </w:rPr>
              <w:t>U</w:t>
            </w:r>
            <w:r>
              <w:rPr>
                <w:rStyle w:val="182"/>
                <w:color w:val="auto"/>
                <w:highlight w:val="none"/>
                <w:lang w:val="en-US" w:eastAsia="zh-CN" w:bidi="ar"/>
              </w:rPr>
              <w:t>标</w:t>
            </w:r>
            <w:r>
              <w:rPr>
                <w:rFonts w:hint="eastAsia" w:ascii="宋体" w:hAnsi="宋体" w:eastAsia="宋体" w:cs="宋体"/>
                <w:i w:val="0"/>
                <w:iCs w:val="0"/>
                <w:color w:val="auto"/>
                <w:kern w:val="0"/>
                <w:sz w:val="22"/>
                <w:szCs w:val="22"/>
                <w:highlight w:val="none"/>
                <w:u w:val="none"/>
                <w:lang w:val="en-US" w:eastAsia="zh-CN" w:bidi="ar"/>
              </w:rPr>
              <w:t>＋0.1 V，满载时纹波电压≤0.1％</w:t>
            </w:r>
            <w:r>
              <w:rPr>
                <w:rFonts w:hint="eastAsia" w:ascii="宋体" w:hAnsi="宋体" w:eastAsia="宋体" w:cs="宋体"/>
                <w:i/>
                <w:iCs/>
                <w:color w:val="auto"/>
                <w:kern w:val="0"/>
                <w:sz w:val="22"/>
                <w:szCs w:val="22"/>
                <w:highlight w:val="none"/>
                <w:u w:val="none"/>
                <w:lang w:val="en-US" w:eastAsia="zh-CN" w:bidi="ar"/>
              </w:rPr>
              <w:t>U</w:t>
            </w:r>
            <w:r>
              <w:rPr>
                <w:rStyle w:val="182"/>
                <w:color w:val="auto"/>
                <w:highlight w:val="none"/>
                <w:lang w:val="en-US" w:eastAsia="zh-CN" w:bidi="ar"/>
              </w:rPr>
              <w:t>标</w:t>
            </w:r>
            <w:r>
              <w:rPr>
                <w:rFonts w:hint="eastAsia" w:ascii="宋体" w:hAnsi="宋体" w:cs="宋体"/>
                <w:i w:val="0"/>
                <w:iCs w:val="0"/>
                <w:color w:val="auto"/>
                <w:kern w:val="0"/>
                <w:sz w:val="22"/>
                <w:szCs w:val="22"/>
                <w:highlight w:val="none"/>
                <w:u w:val="none"/>
                <w:lang w:val="en-US" w:eastAsia="zh-CN" w:bidi="ar"/>
              </w:rPr>
              <w:t>。</w:t>
            </w:r>
          </w:p>
          <w:p w14:paraId="33B39035">
            <w:pPr>
              <w:keepNext w:val="0"/>
              <w:keepLines w:val="0"/>
              <w:widowControl/>
              <w:numPr>
                <w:ilvl w:val="0"/>
                <w:numId w:val="11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过载保护 1.05～1.5 倍，延时 1 s</w:t>
            </w:r>
            <w:r>
              <w:rPr>
                <w:rFonts w:hint="eastAsia" w:ascii="宋体" w:hAnsi="宋体" w:cs="宋体"/>
                <w:i w:val="0"/>
                <w:iCs w:val="0"/>
                <w:color w:val="auto"/>
                <w:kern w:val="0"/>
                <w:sz w:val="22"/>
                <w:szCs w:val="22"/>
                <w:highlight w:val="none"/>
                <w:u w:val="none"/>
                <w:lang w:val="en-US" w:eastAsia="zh-CN" w:bidi="ar"/>
              </w:rPr>
              <w:t>。</w:t>
            </w:r>
          </w:p>
          <w:p w14:paraId="72A92185">
            <w:pPr>
              <w:keepNext w:val="0"/>
              <w:keepLines w:val="0"/>
              <w:widowControl/>
              <w:numPr>
                <w:ilvl w:val="0"/>
                <w:numId w:val="11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电源输入与低压输出端子间抗电强度 3000 V</w:t>
            </w:r>
            <w:r>
              <w:rPr>
                <w:rFonts w:hint="eastAsia" w:ascii="宋体" w:hAnsi="宋体" w:cs="宋体"/>
                <w:i w:val="0"/>
                <w:iCs w:val="0"/>
                <w:color w:val="auto"/>
                <w:kern w:val="0"/>
                <w:sz w:val="22"/>
                <w:szCs w:val="22"/>
                <w:highlight w:val="none"/>
                <w:u w:val="none"/>
                <w:lang w:val="en-US" w:eastAsia="zh-CN" w:bidi="ar"/>
              </w:rPr>
              <w:t>。</w:t>
            </w:r>
          </w:p>
          <w:p w14:paraId="1DB3F188">
            <w:pPr>
              <w:keepNext w:val="0"/>
              <w:keepLines w:val="0"/>
              <w:widowControl/>
              <w:numPr>
                <w:ilvl w:val="0"/>
                <w:numId w:val="11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电源输入与外壳间抗电强度Ⅰ类电器 1500 V，Ⅱ类电器 3000 V</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61A3E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33633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561AE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E499C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8A5C2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教学电源</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3187D3E">
            <w:pPr>
              <w:keepNext w:val="0"/>
              <w:keepLines w:val="0"/>
              <w:widowControl/>
              <w:numPr>
                <w:ilvl w:val="0"/>
                <w:numId w:val="11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交流 2 V～12 V，5 A，每 2 V 为一档；直流 1.5 V～12 V，2 A，分为 1.5 V、3 V、4.5 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6 V、9 V、12 V，共 6 档</w:t>
            </w:r>
            <w:r>
              <w:rPr>
                <w:rFonts w:hint="eastAsia" w:ascii="宋体" w:hAnsi="宋体" w:cs="宋体"/>
                <w:i w:val="0"/>
                <w:iCs w:val="0"/>
                <w:color w:val="auto"/>
                <w:kern w:val="0"/>
                <w:sz w:val="22"/>
                <w:szCs w:val="22"/>
                <w:highlight w:val="none"/>
                <w:u w:val="none"/>
                <w:lang w:val="en-US" w:eastAsia="zh-CN" w:bidi="ar"/>
              </w:rPr>
              <w:t>。</w:t>
            </w:r>
          </w:p>
          <w:p w14:paraId="1DAFDF2F">
            <w:pPr>
              <w:keepNext w:val="0"/>
              <w:keepLines w:val="0"/>
              <w:widowControl/>
              <w:numPr>
                <w:ilvl w:val="0"/>
                <w:numId w:val="11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40 A、8 s 自动关断，延时 1 s</w:t>
            </w:r>
            <w:r>
              <w:rPr>
                <w:rFonts w:hint="eastAsia" w:ascii="宋体" w:hAnsi="宋体" w:cs="宋体"/>
                <w:i w:val="0"/>
                <w:iCs w:val="0"/>
                <w:color w:val="auto"/>
                <w:kern w:val="0"/>
                <w:sz w:val="22"/>
                <w:szCs w:val="22"/>
                <w:highlight w:val="none"/>
                <w:u w:val="none"/>
                <w:lang w:val="en-US" w:eastAsia="zh-CN" w:bidi="ar"/>
              </w:rPr>
              <w:t>。</w:t>
            </w:r>
          </w:p>
          <w:p w14:paraId="2DA80126">
            <w:pPr>
              <w:keepNext w:val="0"/>
              <w:keepLines w:val="0"/>
              <w:widowControl/>
              <w:numPr>
                <w:ilvl w:val="0"/>
                <w:numId w:val="11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各档空载电压应≤1.05</w:t>
            </w:r>
            <w:r>
              <w:rPr>
                <w:rFonts w:hint="eastAsia" w:ascii="宋体" w:hAnsi="宋体" w:eastAsia="宋体" w:cs="宋体"/>
                <w:i/>
                <w:iCs/>
                <w:color w:val="auto"/>
                <w:kern w:val="0"/>
                <w:sz w:val="22"/>
                <w:szCs w:val="22"/>
                <w:highlight w:val="none"/>
                <w:u w:val="none"/>
                <w:lang w:val="en-US" w:eastAsia="zh-CN" w:bidi="ar"/>
              </w:rPr>
              <w:t>U</w:t>
            </w:r>
            <w:r>
              <w:rPr>
                <w:rStyle w:val="182"/>
                <w:color w:val="auto"/>
                <w:highlight w:val="none"/>
                <w:lang w:val="en-US" w:eastAsia="zh-CN" w:bidi="ar"/>
              </w:rPr>
              <w:t>标</w:t>
            </w:r>
            <w:r>
              <w:rPr>
                <w:rFonts w:hint="eastAsia" w:ascii="宋体" w:hAnsi="宋体" w:eastAsia="宋体" w:cs="宋体"/>
                <w:i w:val="0"/>
                <w:iCs w:val="0"/>
                <w:color w:val="auto"/>
                <w:kern w:val="0"/>
                <w:sz w:val="22"/>
                <w:szCs w:val="22"/>
                <w:highlight w:val="none"/>
                <w:u w:val="none"/>
                <w:lang w:val="en-US" w:eastAsia="zh-CN" w:bidi="ar"/>
              </w:rPr>
              <w:t>＋0.3 V，各档满载电压应≥0.95</w:t>
            </w:r>
            <w:r>
              <w:rPr>
                <w:rFonts w:hint="eastAsia" w:ascii="宋体" w:hAnsi="宋体" w:eastAsia="宋体" w:cs="宋体"/>
                <w:i/>
                <w:iCs/>
                <w:color w:val="auto"/>
                <w:kern w:val="0"/>
                <w:sz w:val="22"/>
                <w:szCs w:val="22"/>
                <w:highlight w:val="none"/>
                <w:u w:val="none"/>
                <w:lang w:val="en-US" w:eastAsia="zh-CN" w:bidi="ar"/>
              </w:rPr>
              <w:t>U</w:t>
            </w:r>
            <w:r>
              <w:rPr>
                <w:rStyle w:val="182"/>
                <w:color w:val="auto"/>
                <w:highlight w:val="none"/>
                <w:lang w:val="en-US" w:eastAsia="zh-CN" w:bidi="ar"/>
              </w:rPr>
              <w:t>标</w:t>
            </w:r>
            <w:r>
              <w:rPr>
                <w:rFonts w:hint="eastAsia" w:ascii="宋体" w:hAnsi="宋体" w:eastAsia="宋体" w:cs="宋体"/>
                <w:i w:val="0"/>
                <w:iCs w:val="0"/>
                <w:color w:val="auto"/>
                <w:kern w:val="0"/>
                <w:sz w:val="22"/>
                <w:szCs w:val="22"/>
                <w:highlight w:val="none"/>
                <w:u w:val="none"/>
                <w:lang w:val="en-US" w:eastAsia="zh-CN" w:bidi="ar"/>
              </w:rPr>
              <w:t>-0.3 V直流输出时电压偏调±（2％</w:t>
            </w:r>
            <w:r>
              <w:rPr>
                <w:rFonts w:hint="eastAsia" w:ascii="宋体" w:hAnsi="宋体" w:eastAsia="宋体" w:cs="宋体"/>
                <w:i/>
                <w:iCs/>
                <w:color w:val="auto"/>
                <w:kern w:val="0"/>
                <w:sz w:val="22"/>
                <w:szCs w:val="22"/>
                <w:highlight w:val="none"/>
                <w:u w:val="none"/>
                <w:lang w:val="en-US" w:eastAsia="zh-CN" w:bidi="ar"/>
              </w:rPr>
              <w:t>U</w:t>
            </w:r>
            <w:r>
              <w:rPr>
                <w:rStyle w:val="182"/>
                <w:color w:val="auto"/>
                <w:highlight w:val="none"/>
                <w:lang w:val="en-US" w:eastAsia="zh-CN" w:bidi="ar"/>
              </w:rPr>
              <w:t>标</w:t>
            </w:r>
            <w:r>
              <w:rPr>
                <w:rFonts w:hint="eastAsia" w:ascii="宋体" w:hAnsi="宋体" w:eastAsia="宋体" w:cs="宋体"/>
                <w:i w:val="0"/>
                <w:iCs w:val="0"/>
                <w:color w:val="auto"/>
                <w:kern w:val="0"/>
                <w:sz w:val="22"/>
                <w:szCs w:val="22"/>
                <w:highlight w:val="none"/>
                <w:u w:val="none"/>
                <w:lang w:val="en-US" w:eastAsia="zh-CN" w:bidi="ar"/>
              </w:rPr>
              <w:t>＋0.1 V）</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4267B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F441A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5BF9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6EF57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C63BE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电流磁场演示器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6057A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直流导线、圆线圈、螺线管的磁场分布</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A8807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65E4D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F438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0856E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E7F20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蹄形电磁铁</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452DAAB">
            <w:pPr>
              <w:keepNext w:val="0"/>
              <w:keepLines w:val="0"/>
              <w:widowControl/>
              <w:numPr>
                <w:ilvl w:val="0"/>
                <w:numId w:val="11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工作电压：直流，6V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2、由一个U形铁芯，两个线圈和衔铁组成。铁芯插在线圈内，可以拆下。</w:t>
            </w:r>
          </w:p>
          <w:p w14:paraId="257E5123">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铁芯和衔铁装有铁钩可以悬挂。</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41E08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10436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07524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22E65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C1D96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原副线圈</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1C358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1、原副线圈由原线圈、副线圈、软铁芯三部分组成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2、原副线圈骨架用黑色塑料制成，表面光洁，副线圈因底座平整，直立于平面时不应晃动。</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12B48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4BE89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7FEC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D5962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9041D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螺线管</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2C34D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透明底板，纯铜漆包线，单层绕线，线圈绕向清晰可见，宜附带手柄磁针</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EB597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7B9E3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AA22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4D0B6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1E730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充磁器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7EAF6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1、该仪器具有充磁、退磁功能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2、工作电压为交流220V±10%，额定电流3A。</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6D351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5F684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30E05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E250A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21-149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1EA37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演示电磁继电器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4E249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工作电压：直流9V</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电流：60±10mA。尺寸≥155*93*80mm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329CD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774A3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A2DF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BE0DD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C5450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方形线圈</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2E48E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塑料材质≥75*90mm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610CA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1C8ED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F402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1596A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AE9A3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手摇交直流发电机</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A88C1E4">
            <w:pPr>
              <w:keepNext w:val="0"/>
              <w:keepLines w:val="0"/>
              <w:widowControl/>
              <w:numPr>
                <w:ilvl w:val="0"/>
                <w:numId w:val="115"/>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包括定子、转子、整流器、集流环、电刷、灯座（带灯泡）、手摇驱动机构和底板等部分</w:t>
            </w:r>
            <w:r>
              <w:rPr>
                <w:rFonts w:hint="eastAsia" w:ascii="宋体" w:hAnsi="宋体" w:cs="宋体"/>
                <w:i w:val="0"/>
                <w:iCs w:val="0"/>
                <w:color w:val="auto"/>
                <w:kern w:val="0"/>
                <w:sz w:val="22"/>
                <w:szCs w:val="22"/>
                <w:highlight w:val="none"/>
                <w:u w:val="none"/>
                <w:lang w:val="en-US" w:eastAsia="zh-CN" w:bidi="ar"/>
              </w:rPr>
              <w:t>。</w:t>
            </w:r>
          </w:p>
          <w:p w14:paraId="690D4381">
            <w:pPr>
              <w:keepNext w:val="0"/>
              <w:keepLines w:val="0"/>
              <w:widowControl/>
              <w:numPr>
                <w:ilvl w:val="0"/>
                <w:numId w:val="1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定子应由永磁体和极靴组成，转子应由转轴、两极电枢铁芯、电枢线圈以及整流器和集流环组成</w:t>
            </w:r>
            <w:r>
              <w:rPr>
                <w:rFonts w:hint="eastAsia" w:ascii="宋体" w:hAnsi="宋体" w:cs="宋体"/>
                <w:i w:val="0"/>
                <w:iCs w:val="0"/>
                <w:color w:val="auto"/>
                <w:kern w:val="0"/>
                <w:sz w:val="22"/>
                <w:szCs w:val="22"/>
                <w:highlight w:val="none"/>
                <w:u w:val="none"/>
                <w:lang w:val="en-US" w:eastAsia="zh-CN" w:bidi="ar"/>
              </w:rPr>
              <w:t>。</w:t>
            </w:r>
          </w:p>
          <w:p w14:paraId="03AD2E46">
            <w:pPr>
              <w:keepNext w:val="0"/>
              <w:keepLines w:val="0"/>
              <w:widowControl/>
              <w:numPr>
                <w:ilvl w:val="0"/>
                <w:numId w:val="1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整流器在任何位置不应将两电刷短路，电刷与整流器和集流环应使用弹性接触，转动灵活</w:t>
            </w:r>
            <w:r>
              <w:rPr>
                <w:rFonts w:hint="eastAsia" w:ascii="宋体" w:hAnsi="宋体" w:cs="宋体"/>
                <w:i w:val="0"/>
                <w:iCs w:val="0"/>
                <w:color w:val="auto"/>
                <w:kern w:val="0"/>
                <w:sz w:val="22"/>
                <w:szCs w:val="22"/>
                <w:highlight w:val="none"/>
                <w:u w:val="none"/>
                <w:lang w:val="en-US" w:eastAsia="zh-CN" w:bidi="ar"/>
              </w:rPr>
              <w:t>。</w:t>
            </w:r>
          </w:p>
          <w:p w14:paraId="114B2F99">
            <w:pPr>
              <w:keepNext w:val="0"/>
              <w:keepLines w:val="0"/>
              <w:widowControl/>
              <w:numPr>
                <w:ilvl w:val="0"/>
                <w:numId w:val="11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转子转速为 1600 r/min空载时，输出端交流和直流电压均应≥8 V接 16 Ω电阻负载时，输出端交流和直流电压均应≥5 V；不带皮带轮用作电动机使用时启动电压应≤4 V，电流应≤0.4 A</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96537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65394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5B8B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F104A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9B13E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滚摆</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7DE47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滚摆由摆体（摆轮和摆轴）、悬线、支柱、横梁和底座组成。</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C1F0C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B4D49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A6CD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1596DE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FC121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气体做功内能减少演示器1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AFFC93B">
            <w:pPr>
              <w:keepNext w:val="0"/>
              <w:keepLines w:val="0"/>
              <w:widowControl/>
              <w:numPr>
                <w:ilvl w:val="0"/>
                <w:numId w:val="116"/>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由气体做功部分和温度测量部分组成，做功部分应由贮气筒、安全阀、压力表、活塞及活塞筒、进气阀、出气阀等组成，固定在底座上。测量部分应由温度传感器、数显温度表等组成</w:t>
            </w:r>
            <w:r>
              <w:rPr>
                <w:rFonts w:hint="eastAsia" w:ascii="宋体" w:hAnsi="宋体" w:cs="宋体"/>
                <w:i w:val="0"/>
                <w:iCs w:val="0"/>
                <w:color w:val="auto"/>
                <w:kern w:val="0"/>
                <w:sz w:val="22"/>
                <w:szCs w:val="22"/>
                <w:highlight w:val="none"/>
                <w:u w:val="none"/>
                <w:lang w:val="en-US" w:eastAsia="zh-CN" w:bidi="ar"/>
              </w:rPr>
              <w:t>。</w:t>
            </w:r>
          </w:p>
          <w:p w14:paraId="6AA6E60A">
            <w:pPr>
              <w:keepNext w:val="0"/>
              <w:keepLines w:val="0"/>
              <w:widowControl/>
              <w:numPr>
                <w:ilvl w:val="0"/>
                <w:numId w:val="11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电压 6 V，电流≤50 mA</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D4CEE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148E2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88E5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DD45E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4ADA9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气体做功内能减少演示器2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D8D4A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 kΩ的NTC 热敏电阻封在100 mL 注射器内同时可演示内能减少和内能增大，热响应时间≤1 s</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D2AA2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1C274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777B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FE0D9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00436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空气压缩引火仪</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A34D4C4">
            <w:pPr>
              <w:keepNext w:val="0"/>
              <w:keepLines w:val="0"/>
              <w:widowControl/>
              <w:numPr>
                <w:ilvl w:val="0"/>
                <w:numId w:val="117"/>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产品为组合式</w:t>
            </w:r>
            <w:r>
              <w:rPr>
                <w:rFonts w:hint="eastAsia" w:ascii="宋体" w:hAnsi="宋体" w:cs="宋体"/>
                <w:i w:val="0"/>
                <w:iCs w:val="0"/>
                <w:color w:val="auto"/>
                <w:kern w:val="0"/>
                <w:sz w:val="22"/>
                <w:szCs w:val="22"/>
                <w:highlight w:val="none"/>
                <w:u w:val="none"/>
                <w:lang w:val="en-US" w:eastAsia="zh-CN" w:bidi="ar"/>
              </w:rPr>
              <w:t>。</w:t>
            </w:r>
          </w:p>
          <w:p w14:paraId="05563ED4">
            <w:pPr>
              <w:keepNext w:val="0"/>
              <w:keepLines w:val="0"/>
              <w:widowControl/>
              <w:numPr>
                <w:ilvl w:val="0"/>
                <w:numId w:val="117"/>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手柄为塑料制品</w:t>
            </w:r>
            <w:r>
              <w:rPr>
                <w:rFonts w:hint="eastAsia" w:ascii="宋体" w:hAnsi="宋体" w:cs="宋体"/>
                <w:i w:val="0"/>
                <w:iCs w:val="0"/>
                <w:color w:val="auto"/>
                <w:kern w:val="0"/>
                <w:sz w:val="22"/>
                <w:szCs w:val="22"/>
                <w:highlight w:val="none"/>
                <w:u w:val="none"/>
                <w:lang w:val="en-US" w:eastAsia="zh-CN" w:bidi="ar"/>
              </w:rPr>
              <w:t>。</w:t>
            </w:r>
          </w:p>
          <w:p w14:paraId="6BF703B0">
            <w:pPr>
              <w:keepNext w:val="0"/>
              <w:keepLines w:val="0"/>
              <w:widowControl/>
              <w:numPr>
                <w:ilvl w:val="0"/>
                <w:numId w:val="117"/>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连杆为金属制品，防锈处理</w:t>
            </w:r>
            <w:r>
              <w:rPr>
                <w:rFonts w:hint="eastAsia" w:ascii="宋体" w:hAnsi="宋体" w:cs="宋体"/>
                <w:i w:val="0"/>
                <w:iCs w:val="0"/>
                <w:color w:val="auto"/>
                <w:kern w:val="0"/>
                <w:sz w:val="22"/>
                <w:szCs w:val="22"/>
                <w:highlight w:val="none"/>
                <w:u w:val="none"/>
                <w:lang w:val="en-US" w:eastAsia="zh-CN" w:bidi="ar"/>
              </w:rPr>
              <w:t>。</w:t>
            </w:r>
          </w:p>
          <w:p w14:paraId="326C65F9">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4、端差为塑料制品。</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9D199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E8FC3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E7F4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B47C1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21-156</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FD0B3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汽油机模型</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115EF8B">
            <w:pPr>
              <w:keepNext w:val="0"/>
              <w:keepLines w:val="0"/>
              <w:widowControl/>
              <w:numPr>
                <w:ilvl w:val="0"/>
                <w:numId w:val="11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工作电压：直流1.5V～2V</w:t>
            </w:r>
            <w:r>
              <w:rPr>
                <w:rFonts w:hint="eastAsia" w:ascii="宋体" w:hAnsi="宋体" w:cs="宋体"/>
                <w:i w:val="0"/>
                <w:iCs w:val="0"/>
                <w:color w:val="auto"/>
                <w:kern w:val="0"/>
                <w:sz w:val="22"/>
                <w:szCs w:val="22"/>
                <w:highlight w:val="none"/>
                <w:u w:val="none"/>
                <w:lang w:val="en-US" w:eastAsia="zh-CN" w:bidi="ar"/>
              </w:rPr>
              <w:t>。</w:t>
            </w:r>
          </w:p>
          <w:p w14:paraId="4DF30CD5">
            <w:pPr>
              <w:keepNext w:val="0"/>
              <w:keepLines w:val="0"/>
              <w:widowControl/>
              <w:numPr>
                <w:ilvl w:val="0"/>
                <w:numId w:val="118"/>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模型应示汽油机的进气管、进气阀、排气管、排气阀、气缸、活塞、连杆、曲轴、火花塞、齿轮凸轮总成、飞轮、灯光控制器等</w:t>
            </w:r>
            <w:r>
              <w:rPr>
                <w:rFonts w:hint="eastAsia" w:ascii="宋体" w:hAnsi="宋体" w:cs="宋体"/>
                <w:i w:val="0"/>
                <w:iCs w:val="0"/>
                <w:color w:val="auto"/>
                <w:kern w:val="0"/>
                <w:sz w:val="22"/>
                <w:szCs w:val="22"/>
                <w:highlight w:val="none"/>
                <w:u w:val="none"/>
                <w:lang w:val="en-US" w:eastAsia="zh-CN" w:bidi="ar"/>
              </w:rPr>
              <w:t>。</w:t>
            </w:r>
          </w:p>
          <w:p w14:paraId="16301839">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3、模型在演示时，四个冲程工作过程动作准确、前后衔接，并配有指示灯。</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E351A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F1F18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6B81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BCBE2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21-157</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E77BD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柴油机模型</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5FB6166">
            <w:pPr>
              <w:keepNext w:val="0"/>
              <w:keepLines w:val="0"/>
              <w:widowControl/>
              <w:numPr>
                <w:ilvl w:val="0"/>
                <w:numId w:val="11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工作电压：直流1.5V～2V；</w:t>
            </w:r>
          </w:p>
          <w:p w14:paraId="03539C1A">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2、模型应示柴油机的进气管、进气阀、排气管、排气阀、气缸、活塞、连杆、曲轴、喷油嘴、油针、齿轮凸轮总成、飞轮、灯光控制器等组成。</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1341E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841C6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7EC5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225C67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CED77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演示电表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329EEBF">
            <w:pPr>
              <w:keepNext w:val="0"/>
              <w:keepLines w:val="0"/>
              <w:widowControl/>
              <w:numPr>
                <w:ilvl w:val="0"/>
                <w:numId w:val="12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本仪器可作检流计、测量直流电压、电流用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并作为研究磁电式电表结构原理的直观教具</w:t>
            </w:r>
            <w:r>
              <w:rPr>
                <w:rFonts w:hint="eastAsia" w:ascii="宋体" w:hAnsi="宋体" w:cs="宋体"/>
                <w:i w:val="0"/>
                <w:iCs w:val="0"/>
                <w:color w:val="auto"/>
                <w:kern w:val="0"/>
                <w:sz w:val="22"/>
                <w:szCs w:val="22"/>
                <w:highlight w:val="none"/>
                <w:u w:val="none"/>
                <w:lang w:val="en-US" w:eastAsia="zh-CN" w:bidi="ar"/>
              </w:rPr>
              <w:t>。</w:t>
            </w:r>
          </w:p>
          <w:p w14:paraId="115E3633">
            <w:pPr>
              <w:keepNext w:val="0"/>
              <w:keepLines w:val="0"/>
              <w:widowControl/>
              <w:numPr>
                <w:ilvl w:val="0"/>
                <w:numId w:val="120"/>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电表采用磁电式表头，有零位调节钮（可调到中间）。</w:t>
            </w:r>
          </w:p>
          <w:p w14:paraId="76D52ADA">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3、量程范围：100µA－0+100µA。</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38E155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8F1AB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87EC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7AAA0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21-159</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FA0E2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数字演示电表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1CD6441">
            <w:pPr>
              <w:keepNext w:val="0"/>
              <w:keepLines w:val="0"/>
              <w:widowControl/>
              <w:numPr>
                <w:ilvl w:val="0"/>
                <w:numId w:val="12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直流/交流电压、电流，检流</w:t>
            </w:r>
            <w:r>
              <w:rPr>
                <w:rFonts w:hint="eastAsia" w:ascii="宋体" w:hAnsi="宋体" w:cs="宋体"/>
                <w:i w:val="0"/>
                <w:iCs w:val="0"/>
                <w:color w:val="auto"/>
                <w:kern w:val="0"/>
                <w:sz w:val="22"/>
                <w:szCs w:val="22"/>
                <w:highlight w:val="none"/>
                <w:u w:val="none"/>
                <w:lang w:val="en-US" w:eastAsia="zh-CN" w:bidi="ar"/>
              </w:rPr>
              <w:t>。</w:t>
            </w:r>
          </w:p>
          <w:p w14:paraId="2B651A36">
            <w:pPr>
              <w:keepNext w:val="0"/>
              <w:keepLines w:val="0"/>
              <w:widowControl/>
              <w:numPr>
                <w:ilvl w:val="0"/>
                <w:numId w:val="12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4-1/2位数码管，高65mm， 外观为粉色塑料材质 </w:t>
            </w:r>
            <w:r>
              <w:rPr>
                <w:rFonts w:hint="eastAsia" w:ascii="宋体" w:hAnsi="宋体" w:cs="宋体"/>
                <w:i w:val="0"/>
                <w:iCs w:val="0"/>
                <w:color w:val="auto"/>
                <w:kern w:val="0"/>
                <w:sz w:val="22"/>
                <w:szCs w:val="22"/>
                <w:highlight w:val="none"/>
                <w:u w:val="none"/>
                <w:lang w:val="en-US" w:eastAsia="zh-CN" w:bidi="ar"/>
              </w:rPr>
              <w:t>。</w:t>
            </w:r>
          </w:p>
          <w:p w14:paraId="562CB3D1">
            <w:pPr>
              <w:keepNext w:val="0"/>
              <w:keepLines w:val="0"/>
              <w:widowControl/>
              <w:numPr>
                <w:ilvl w:val="0"/>
                <w:numId w:val="12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尺寸≥29*32*4cm</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67E06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DC0E3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4DEC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EC471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21-160</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EBEE2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直流电流表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13C67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0.6 A、3 A 双量程，2.5 级，基本误差、升降变差、平衡误差不超过量程上限的 2.5％</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5A170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7BE37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667D7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B1A91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E15EB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直流电压表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01E58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 V、15 V 双量程，2.5 级，基本误差、升降 变差、平衡误差不超过量程上限的 2.5％</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75B8AD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45377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1E36B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C6EC9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A2CBE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数字低压电压表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5701E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液晶显示，电池供电，采用 4 mm 插头插孔；量程 0 V～40 V，3-3/4 位；1 min 自动关电，过载自恢复</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FDD34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3F368F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49FB9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458C7F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4CCED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多用电表1</w:t>
            </w:r>
          </w:p>
        </w:tc>
        <w:tc>
          <w:tcPr>
            <w:tcW w:w="3225" w:type="pct"/>
            <w:tcBorders>
              <w:top w:val="single" w:color="000000" w:sz="4" w:space="0"/>
              <w:left w:val="single" w:color="000000" w:sz="4" w:space="0"/>
              <w:bottom w:val="single" w:color="000000" w:sz="4" w:space="0"/>
              <w:right w:val="single" w:color="000000" w:sz="4" w:space="0"/>
            </w:tcBorders>
            <w:noWrap/>
            <w:vAlign w:val="center"/>
          </w:tcPr>
          <w:p w14:paraId="565398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指针式，不低于2.5级</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CCE50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2C269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2AC2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F9636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382E1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单刀开关</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56CFCCB">
            <w:pPr>
              <w:keepNext w:val="0"/>
              <w:keepLines w:val="0"/>
              <w:widowControl/>
              <w:numPr>
                <w:ilvl w:val="0"/>
                <w:numId w:val="122"/>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最高工作电压 36 V，额定工作电流 6 A</w:t>
            </w:r>
            <w:r>
              <w:rPr>
                <w:rFonts w:hint="eastAsia" w:ascii="宋体" w:hAnsi="宋体" w:cs="宋体"/>
                <w:i w:val="0"/>
                <w:iCs w:val="0"/>
                <w:color w:val="auto"/>
                <w:kern w:val="0"/>
                <w:sz w:val="22"/>
                <w:szCs w:val="22"/>
                <w:highlight w:val="none"/>
                <w:u w:val="none"/>
                <w:lang w:val="en-US" w:eastAsia="zh-CN" w:bidi="ar"/>
              </w:rPr>
              <w:t>。</w:t>
            </w:r>
          </w:p>
          <w:p w14:paraId="0034165D">
            <w:pPr>
              <w:keepNext w:val="0"/>
              <w:keepLines w:val="0"/>
              <w:widowControl/>
              <w:numPr>
                <w:ilvl w:val="0"/>
                <w:numId w:val="12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开关闸刀、接线柱、垫片均为铜质</w:t>
            </w:r>
            <w:r>
              <w:rPr>
                <w:rFonts w:hint="eastAsia" w:ascii="宋体" w:hAnsi="宋体" w:cs="宋体"/>
                <w:i w:val="0"/>
                <w:iCs w:val="0"/>
                <w:color w:val="auto"/>
                <w:kern w:val="0"/>
                <w:sz w:val="22"/>
                <w:szCs w:val="22"/>
                <w:highlight w:val="none"/>
                <w:u w:val="none"/>
                <w:lang w:val="en-US" w:eastAsia="zh-CN" w:bidi="ar"/>
              </w:rPr>
              <w:t>。</w:t>
            </w:r>
          </w:p>
          <w:p w14:paraId="306671C4">
            <w:pPr>
              <w:keepNext w:val="0"/>
              <w:keepLines w:val="0"/>
              <w:widowControl/>
              <w:numPr>
                <w:ilvl w:val="0"/>
                <w:numId w:val="12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闸刀宽度≥7 mm，闸刀厚度≥0.7 mm</w:t>
            </w:r>
            <w:r>
              <w:rPr>
                <w:rFonts w:hint="eastAsia" w:ascii="宋体" w:hAnsi="宋体" w:cs="宋体"/>
                <w:i w:val="0"/>
                <w:iCs w:val="0"/>
                <w:color w:val="auto"/>
                <w:kern w:val="0"/>
                <w:sz w:val="22"/>
                <w:szCs w:val="22"/>
                <w:highlight w:val="none"/>
                <w:u w:val="none"/>
                <w:lang w:val="en-US" w:eastAsia="zh-CN" w:bidi="ar"/>
              </w:rPr>
              <w:t>。</w:t>
            </w:r>
          </w:p>
          <w:p w14:paraId="19272E86">
            <w:pPr>
              <w:keepNext w:val="0"/>
              <w:keepLines w:val="0"/>
              <w:widowControl/>
              <w:numPr>
                <w:ilvl w:val="0"/>
                <w:numId w:val="12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接线柱直径为4 mm，有效行程≥4 mm。通额定电流，导电部分允许温升≤35 ℃，操作手柄允许温升≤25 ℃</w:t>
            </w:r>
            <w:r>
              <w:rPr>
                <w:rFonts w:hint="eastAsia" w:ascii="宋体" w:hAnsi="宋体" w:cs="宋体"/>
                <w:i w:val="0"/>
                <w:iCs w:val="0"/>
                <w:color w:val="auto"/>
                <w:kern w:val="0"/>
                <w:sz w:val="22"/>
                <w:szCs w:val="22"/>
                <w:highlight w:val="none"/>
                <w:u w:val="none"/>
                <w:lang w:val="en-US" w:eastAsia="zh-CN" w:bidi="ar"/>
              </w:rPr>
              <w:t>。</w:t>
            </w:r>
          </w:p>
          <w:p w14:paraId="3EB1A80A">
            <w:pPr>
              <w:keepNext w:val="0"/>
              <w:keepLines w:val="0"/>
              <w:widowControl/>
              <w:numPr>
                <w:ilvl w:val="0"/>
                <w:numId w:val="12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开关的绝缘强度应能承受 1200 V在额定直流电流工作条件下，接线两端直流电压降≤100 mV</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387F3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5301A8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C451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4C72C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21-165</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42E831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电阻圈</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6BBD7D6A">
            <w:pPr>
              <w:keepNext w:val="0"/>
              <w:keepLines w:val="0"/>
              <w:widowControl/>
              <w:numPr>
                <w:ilvl w:val="0"/>
                <w:numId w:val="12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包括 5Ω、1.5 A，10 Ω、1.0 A，15 Ω、0.6 A 共 3 种规格，阻值误差≤±1%</w:t>
            </w:r>
            <w:r>
              <w:rPr>
                <w:rFonts w:hint="eastAsia" w:ascii="宋体" w:hAnsi="宋体" w:cs="宋体"/>
                <w:i w:val="0"/>
                <w:iCs w:val="0"/>
                <w:color w:val="auto"/>
                <w:kern w:val="0"/>
                <w:sz w:val="22"/>
                <w:szCs w:val="22"/>
                <w:highlight w:val="none"/>
                <w:u w:val="none"/>
                <w:lang w:val="en-US" w:eastAsia="zh-CN" w:bidi="ar"/>
              </w:rPr>
              <w:t>。</w:t>
            </w:r>
          </w:p>
          <w:p w14:paraId="277E224E">
            <w:pPr>
              <w:keepNext w:val="0"/>
              <w:keepLines w:val="0"/>
              <w:widowControl/>
              <w:numPr>
                <w:ilvl w:val="0"/>
                <w:numId w:val="1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电阻丝应采用锰铜线或康铜线绕制；按额定电流连续工作 15 min 后，5Ω、1.5 A，10 Ω、1.0 A，15 Ω、0.6 A 电阻圈外壳两侧温升分别不应高于 60 K、60 K 和 45 K</w:t>
            </w:r>
            <w:r>
              <w:rPr>
                <w:rFonts w:hint="eastAsia" w:ascii="宋体" w:hAnsi="宋体" w:cs="宋体"/>
                <w:i w:val="0"/>
                <w:iCs w:val="0"/>
                <w:color w:val="auto"/>
                <w:kern w:val="0"/>
                <w:sz w:val="22"/>
                <w:szCs w:val="22"/>
                <w:highlight w:val="none"/>
                <w:u w:val="none"/>
                <w:lang w:val="en-US" w:eastAsia="zh-CN" w:bidi="ar"/>
              </w:rPr>
              <w:t>。</w:t>
            </w:r>
          </w:p>
          <w:p w14:paraId="2EFA04DE">
            <w:pPr>
              <w:keepNext w:val="0"/>
              <w:keepLines w:val="0"/>
              <w:widowControl/>
              <w:numPr>
                <w:ilvl w:val="0"/>
                <w:numId w:val="1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按额定电流连续工作 2 h 后外壳不应出现焦灼、熔化变形、冒烟现象</w:t>
            </w:r>
            <w:r>
              <w:rPr>
                <w:rFonts w:hint="eastAsia" w:ascii="宋体" w:hAnsi="宋体" w:cs="宋体"/>
                <w:i w:val="0"/>
                <w:iCs w:val="0"/>
                <w:color w:val="auto"/>
                <w:kern w:val="0"/>
                <w:sz w:val="22"/>
                <w:szCs w:val="22"/>
                <w:highlight w:val="none"/>
                <w:u w:val="none"/>
                <w:lang w:val="en-US" w:eastAsia="zh-CN" w:bidi="ar"/>
              </w:rPr>
              <w:t>。</w:t>
            </w:r>
          </w:p>
          <w:p w14:paraId="040D7DB2">
            <w:pPr>
              <w:keepNext w:val="0"/>
              <w:keepLines w:val="0"/>
              <w:widowControl/>
              <w:numPr>
                <w:ilvl w:val="0"/>
                <w:numId w:val="12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加热后电阻值变化应在1%以内</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E766D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AD6B4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B3CBE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855EA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21-166</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E9662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电阻定律演示器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61BF2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1、由底板及铜、铁、镍铬三种金属导线、接线柱、连接片、支撑架等组成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2、金属导线应精细均匀，在有效长度内不能有弯折、锈蚀现象。</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389E5D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456BC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FAE6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F6EA0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21-167</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15ED3E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插头导线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BD3E0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长度分别为 200 mm、300 mm、400 mm；单芯 4 mm 纯铜插头，纯铜导线；宜用不同线色各2根。</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DBA66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1B158F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w:t>
            </w:r>
          </w:p>
        </w:tc>
      </w:tr>
      <w:tr w14:paraId="19386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9FB8B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21-168</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5CF402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接线夹导线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2FB109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长度分别为 200 mm、300 mm、400 mm；单芯 4 mm 纯铜接线夹，纯铜导线；宜用不同线色各2根。</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9E308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066EE0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w:t>
            </w:r>
          </w:p>
        </w:tc>
      </w:tr>
      <w:tr w14:paraId="706E0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49949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21-169</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C5027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接线叉导线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007CA2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长度分别为 200 mm、300 mm、400 mm；单芯 4 mm 纯铜接线叉，接线叉开口 5.9 mm，纯铜导线；宜用不同线色各2根</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4444AE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D8265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w:t>
            </w:r>
          </w:p>
        </w:tc>
      </w:tr>
      <w:tr w14:paraId="76214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0985E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21-170</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261013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组合接头导线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C2D49A4">
            <w:pPr>
              <w:keepNext w:val="0"/>
              <w:keepLines w:val="0"/>
              <w:widowControl/>
              <w:numPr>
                <w:ilvl w:val="0"/>
                <w:numId w:val="12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长度分别为 200 mm、300 mm、400 mm</w:t>
            </w:r>
            <w:r>
              <w:rPr>
                <w:rFonts w:hint="eastAsia" w:ascii="宋体" w:hAnsi="宋体" w:cs="宋体"/>
                <w:i w:val="0"/>
                <w:iCs w:val="0"/>
                <w:color w:val="auto"/>
                <w:kern w:val="0"/>
                <w:sz w:val="22"/>
                <w:szCs w:val="22"/>
                <w:highlight w:val="none"/>
                <w:u w:val="none"/>
                <w:lang w:val="en-US" w:eastAsia="zh-CN" w:bidi="ar"/>
              </w:rPr>
              <w:t>。</w:t>
            </w:r>
          </w:p>
          <w:p w14:paraId="212DD8B3">
            <w:pPr>
              <w:keepNext w:val="0"/>
              <w:keepLines w:val="0"/>
              <w:widowControl/>
              <w:numPr>
                <w:ilvl w:val="0"/>
                <w:numId w:val="12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一头为单芯 4 mm 纯铜接线叉，一头为接线夹，接线叉开口 5.9 mm，纯铜导线</w:t>
            </w:r>
            <w:r>
              <w:rPr>
                <w:rFonts w:hint="eastAsia" w:ascii="宋体" w:hAnsi="宋体" w:cs="宋体"/>
                <w:i w:val="0"/>
                <w:iCs w:val="0"/>
                <w:color w:val="auto"/>
                <w:kern w:val="0"/>
                <w:sz w:val="22"/>
                <w:szCs w:val="22"/>
                <w:highlight w:val="none"/>
                <w:u w:val="none"/>
                <w:lang w:val="en-US" w:eastAsia="zh-CN" w:bidi="ar"/>
              </w:rPr>
              <w:t>。</w:t>
            </w:r>
          </w:p>
          <w:p w14:paraId="636D1A5A">
            <w:pPr>
              <w:keepNext w:val="0"/>
              <w:keepLines w:val="0"/>
              <w:widowControl/>
              <w:numPr>
                <w:ilvl w:val="0"/>
                <w:numId w:val="12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宜用不同线色各2根</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D7E54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8B1DD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w:t>
            </w:r>
          </w:p>
        </w:tc>
      </w:tr>
      <w:tr w14:paraId="2FE62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34F6B1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21-171</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3470F8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低压测电器1</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0A6CB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笔式，氖泡式，测电极长度不少于 10mm，100V～500V，辉光应稳定不闪烁</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1B56EB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4FCF17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11217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1434C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21-172</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6D4919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低压测电器2</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3D57BA0E">
            <w:pPr>
              <w:keepNext w:val="0"/>
              <w:keepLines w:val="0"/>
              <w:widowControl/>
              <w:numPr>
                <w:ilvl w:val="0"/>
                <w:numId w:val="12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螺钉旋具式，测量范围 100 V～500 V，起辉电压 50 V～90 V，起辉后辉光应稳定不闪烁绝缘电阻：常态≥20 MΩ，潮态≥2 MΩ</w:t>
            </w:r>
            <w:r>
              <w:rPr>
                <w:rFonts w:hint="eastAsia" w:ascii="宋体" w:hAnsi="宋体" w:cs="宋体"/>
                <w:i w:val="0"/>
                <w:iCs w:val="0"/>
                <w:color w:val="auto"/>
                <w:kern w:val="0"/>
                <w:sz w:val="22"/>
                <w:szCs w:val="22"/>
                <w:highlight w:val="none"/>
                <w:u w:val="none"/>
                <w:lang w:val="en-US" w:eastAsia="zh-CN" w:bidi="ar"/>
              </w:rPr>
              <w:t>。</w:t>
            </w:r>
          </w:p>
          <w:p w14:paraId="62685A42">
            <w:pPr>
              <w:keepNext w:val="0"/>
              <w:keepLines w:val="0"/>
              <w:widowControl/>
              <w:numPr>
                <w:ilvl w:val="0"/>
                <w:numId w:val="1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电气强度：常态 2500 V，潮态 2000 V</w:t>
            </w:r>
            <w:r>
              <w:rPr>
                <w:rFonts w:hint="eastAsia" w:ascii="宋体" w:hAnsi="宋体" w:cs="宋体"/>
                <w:i w:val="0"/>
                <w:iCs w:val="0"/>
                <w:color w:val="auto"/>
                <w:kern w:val="0"/>
                <w:sz w:val="22"/>
                <w:szCs w:val="22"/>
                <w:highlight w:val="none"/>
                <w:u w:val="none"/>
                <w:lang w:val="en-US" w:eastAsia="zh-CN" w:bidi="ar"/>
              </w:rPr>
              <w:t>。</w:t>
            </w:r>
          </w:p>
          <w:p w14:paraId="1005007B">
            <w:pPr>
              <w:keepNext w:val="0"/>
              <w:keepLines w:val="0"/>
              <w:widowControl/>
              <w:numPr>
                <w:ilvl w:val="0"/>
                <w:numId w:val="12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兼作螺钉旋具的旋杆端部硬度测 3 点，至少 2 点不低于 HRC48</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07CF39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297EFE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5DC1A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0C584F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21-173</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73F643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家庭电路示教板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514116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电子式</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59A10F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B7E07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79B1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7025E4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21-174</w:t>
            </w:r>
          </w:p>
        </w:tc>
        <w:tc>
          <w:tcPr>
            <w:tcW w:w="587" w:type="pct"/>
            <w:tcBorders>
              <w:top w:val="single" w:color="000000" w:sz="4" w:space="0"/>
              <w:left w:val="single" w:color="000000" w:sz="4" w:space="0"/>
              <w:bottom w:val="single" w:color="000000" w:sz="4" w:space="0"/>
              <w:right w:val="single" w:color="000000" w:sz="4" w:space="0"/>
            </w:tcBorders>
            <w:noWrap w:val="0"/>
            <w:vAlign w:val="center"/>
          </w:tcPr>
          <w:p w14:paraId="0981FA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家庭电路示教板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7A2730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机械式</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7687B8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628CB5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6B71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51B410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21-175</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0F237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安全用电示教板</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47A20C6F">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12 V 供电</w:t>
            </w:r>
            <w:r>
              <w:rPr>
                <w:rFonts w:hint="eastAsia" w:ascii="宋体" w:hAnsi="宋体" w:cs="宋体"/>
                <w:i w:val="0"/>
                <w:iCs w:val="0"/>
                <w:color w:val="auto"/>
                <w:kern w:val="0"/>
                <w:sz w:val="22"/>
                <w:szCs w:val="22"/>
                <w:highlight w:val="none"/>
                <w:u w:val="none"/>
                <w:lang w:val="en-US" w:eastAsia="zh-CN" w:bidi="ar"/>
              </w:rPr>
              <w:t>。</w:t>
            </w:r>
          </w:p>
          <w:p w14:paraId="52C30BEA">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能演示以下模式：一手接触火线，经脚和大地触电</w:t>
            </w:r>
            <w:r>
              <w:rPr>
                <w:rFonts w:hint="eastAsia" w:ascii="宋体" w:hAnsi="宋体" w:cs="宋体"/>
                <w:i w:val="0"/>
                <w:iCs w:val="0"/>
                <w:color w:val="auto"/>
                <w:kern w:val="0"/>
                <w:sz w:val="22"/>
                <w:szCs w:val="22"/>
                <w:highlight w:val="none"/>
                <w:u w:val="none"/>
                <w:lang w:val="en-US" w:eastAsia="zh-CN" w:bidi="ar"/>
              </w:rPr>
              <w:t>。</w:t>
            </w:r>
          </w:p>
          <w:p w14:paraId="3C0182A6">
            <w:pPr>
              <w:keepNext w:val="0"/>
              <w:keepLines w:val="0"/>
              <w:widowControl/>
              <w:numPr>
                <w:ilvl w:val="0"/>
                <w:numId w:val="120"/>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一手接触火线，不经脚和大地安全（脚下绝缘）</w:t>
            </w:r>
            <w:r>
              <w:rPr>
                <w:rFonts w:hint="eastAsia" w:ascii="宋体" w:hAnsi="宋体" w:cs="宋体"/>
                <w:i w:val="0"/>
                <w:iCs w:val="0"/>
                <w:color w:val="auto"/>
                <w:kern w:val="0"/>
                <w:sz w:val="22"/>
                <w:szCs w:val="22"/>
                <w:highlight w:val="none"/>
                <w:u w:val="none"/>
                <w:lang w:val="en-US" w:eastAsia="zh-CN" w:bidi="ar"/>
              </w:rPr>
              <w:t>。</w:t>
            </w:r>
          </w:p>
          <w:p w14:paraId="6F1FEE92">
            <w:pPr>
              <w:keepNext w:val="0"/>
              <w:keepLines w:val="0"/>
              <w:widowControl/>
              <w:numPr>
                <w:ilvl w:val="0"/>
                <w:numId w:val="120"/>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二手分别接触火线和零线触电（脚站在地面或绝缘）</w:t>
            </w:r>
            <w:r>
              <w:rPr>
                <w:rFonts w:hint="eastAsia" w:ascii="宋体" w:hAnsi="宋体" w:cs="宋体"/>
                <w:i w:val="0"/>
                <w:iCs w:val="0"/>
                <w:color w:val="auto"/>
                <w:kern w:val="0"/>
                <w:sz w:val="22"/>
                <w:szCs w:val="22"/>
                <w:highlight w:val="none"/>
                <w:u w:val="none"/>
                <w:lang w:val="en-US" w:eastAsia="zh-CN" w:bidi="ar"/>
              </w:rPr>
              <w:t>。</w:t>
            </w:r>
          </w:p>
          <w:p w14:paraId="21795640">
            <w:pPr>
              <w:keepNext w:val="0"/>
              <w:keepLines w:val="0"/>
              <w:widowControl/>
              <w:numPr>
                <w:ilvl w:val="0"/>
                <w:numId w:val="120"/>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一手接触漏电（连接火线）的设备（例如电动机），经脚和大地触电；跨步电压触电</w:t>
            </w:r>
            <w:r>
              <w:rPr>
                <w:rFonts w:hint="eastAsia" w:ascii="宋体" w:hAnsi="宋体" w:cs="宋体"/>
                <w:i w:val="0"/>
                <w:iCs w:val="0"/>
                <w:color w:val="auto"/>
                <w:kern w:val="0"/>
                <w:sz w:val="22"/>
                <w:szCs w:val="22"/>
                <w:highlight w:val="none"/>
                <w:u w:val="none"/>
                <w:lang w:val="en-US" w:eastAsia="zh-CN" w:bidi="ar"/>
              </w:rPr>
              <w:t>。</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65E110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B86C2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11790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16" w:type="pct"/>
            <w:tcBorders>
              <w:top w:val="single" w:color="000000" w:sz="4" w:space="0"/>
              <w:left w:val="single" w:color="000000" w:sz="4" w:space="0"/>
              <w:bottom w:val="single" w:color="000000" w:sz="4" w:space="0"/>
              <w:right w:val="single" w:color="000000" w:sz="4" w:space="0"/>
            </w:tcBorders>
            <w:noWrap w:val="0"/>
            <w:vAlign w:val="center"/>
          </w:tcPr>
          <w:p w14:paraId="617C3E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21-176</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D8B4F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保险丝作用演示器</w:t>
            </w:r>
          </w:p>
        </w:tc>
        <w:tc>
          <w:tcPr>
            <w:tcW w:w="3225" w:type="pct"/>
            <w:tcBorders>
              <w:top w:val="single" w:color="000000" w:sz="4" w:space="0"/>
              <w:left w:val="single" w:color="000000" w:sz="4" w:space="0"/>
              <w:bottom w:val="single" w:color="000000" w:sz="4" w:space="0"/>
              <w:right w:val="single" w:color="000000" w:sz="4" w:space="0"/>
            </w:tcBorders>
            <w:noWrap w:val="0"/>
            <w:vAlign w:val="center"/>
          </w:tcPr>
          <w:p w14:paraId="143D4A0E">
            <w:pPr>
              <w:keepNext w:val="0"/>
              <w:keepLines w:val="0"/>
              <w:widowControl/>
              <w:numPr>
                <w:ilvl w:val="0"/>
                <w:numId w:val="12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交流12V</w:t>
            </w:r>
            <w:r>
              <w:rPr>
                <w:rFonts w:hint="eastAsia" w:ascii="宋体" w:hAnsi="宋体" w:cs="宋体"/>
                <w:i w:val="0"/>
                <w:iCs w:val="0"/>
                <w:color w:val="auto"/>
                <w:kern w:val="0"/>
                <w:sz w:val="22"/>
                <w:szCs w:val="22"/>
                <w:highlight w:val="none"/>
                <w:u w:val="none"/>
                <w:lang w:val="en-US" w:eastAsia="zh-CN" w:bidi="ar"/>
              </w:rPr>
              <w:t>。</w:t>
            </w:r>
          </w:p>
          <w:p w14:paraId="5C77E356">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2、三根保险丝组成，正面有相应的实验电路图，电路图绘制应正确、清晰、不易脱落。</w:t>
            </w:r>
          </w:p>
        </w:tc>
        <w:tc>
          <w:tcPr>
            <w:tcW w:w="359" w:type="pct"/>
            <w:tcBorders>
              <w:top w:val="single" w:color="000000" w:sz="4" w:space="0"/>
              <w:left w:val="single" w:color="000000" w:sz="4" w:space="0"/>
              <w:bottom w:val="single" w:color="000000" w:sz="4" w:space="0"/>
              <w:right w:val="single" w:color="000000" w:sz="4" w:space="0"/>
            </w:tcBorders>
            <w:noWrap w:val="0"/>
            <w:vAlign w:val="center"/>
          </w:tcPr>
          <w:p w14:paraId="26194C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0" w:type="pct"/>
            <w:tcBorders>
              <w:top w:val="single" w:color="000000" w:sz="4" w:space="0"/>
              <w:left w:val="single" w:color="000000" w:sz="4" w:space="0"/>
              <w:bottom w:val="single" w:color="000000" w:sz="4" w:space="0"/>
              <w:right w:val="single" w:color="000000" w:sz="4" w:space="0"/>
            </w:tcBorders>
            <w:noWrap/>
            <w:vAlign w:val="center"/>
          </w:tcPr>
          <w:p w14:paraId="752CE1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5BCEBB73">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5992" w:type="pct"/>
        <w:tblInd w:w="-86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97"/>
        <w:gridCol w:w="1194"/>
        <w:gridCol w:w="6813"/>
        <w:gridCol w:w="744"/>
        <w:gridCol w:w="862"/>
      </w:tblGrid>
      <w:tr w14:paraId="1D8B4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632A79C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生物实验室</w:t>
            </w:r>
          </w:p>
        </w:tc>
      </w:tr>
      <w:tr w14:paraId="221C8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32C03B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68" w:type="pct"/>
            <w:tcBorders>
              <w:top w:val="single" w:color="000000" w:sz="4" w:space="0"/>
              <w:left w:val="single" w:color="000000" w:sz="4" w:space="0"/>
              <w:bottom w:val="single" w:color="000000" w:sz="4" w:space="0"/>
              <w:right w:val="single" w:color="000000" w:sz="4" w:space="0"/>
            </w:tcBorders>
            <w:noWrap/>
            <w:vAlign w:val="center"/>
          </w:tcPr>
          <w:p w14:paraId="6B2DF9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41" w:type="pct"/>
            <w:tcBorders>
              <w:top w:val="single" w:color="000000" w:sz="4" w:space="0"/>
              <w:left w:val="single" w:color="000000" w:sz="4" w:space="0"/>
              <w:bottom w:val="single" w:color="000000" w:sz="4" w:space="0"/>
              <w:right w:val="single" w:color="000000" w:sz="4" w:space="0"/>
            </w:tcBorders>
            <w:noWrap/>
            <w:vAlign w:val="center"/>
          </w:tcPr>
          <w:p w14:paraId="48D7E0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54" w:type="pct"/>
            <w:tcBorders>
              <w:top w:val="single" w:color="000000" w:sz="4" w:space="0"/>
              <w:left w:val="single" w:color="000000" w:sz="4" w:space="0"/>
              <w:bottom w:val="single" w:color="000000" w:sz="4" w:space="0"/>
              <w:right w:val="single" w:color="000000" w:sz="4" w:space="0"/>
            </w:tcBorders>
            <w:noWrap/>
            <w:vAlign w:val="center"/>
          </w:tcPr>
          <w:p w14:paraId="130263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06" w:type="pct"/>
            <w:tcBorders>
              <w:top w:val="single" w:color="000000" w:sz="4" w:space="0"/>
              <w:left w:val="single" w:color="000000" w:sz="4" w:space="0"/>
              <w:bottom w:val="single" w:color="000000" w:sz="4" w:space="0"/>
              <w:right w:val="single" w:color="000000" w:sz="4" w:space="0"/>
            </w:tcBorders>
            <w:noWrap/>
            <w:vAlign w:val="center"/>
          </w:tcPr>
          <w:p w14:paraId="061DEC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34578A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17C308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22-1</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672F70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学生实验桌</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4F1C32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参数同序号19-1一致。</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364920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79ADA1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211C8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37C95C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22-2</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47B860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学生实验凳</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2181AF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参数同序号19-2一致。</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401C4D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1137B0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r w14:paraId="72BC0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177473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22-3</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6B7233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学生电源</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2DE38D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1、主要功能：用于在实验室教学过程中提供稳定的电源供应，支持教师远程控制功能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2、整体规格：外尺寸≥300×185×155mm；（长×宽×高）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3、电源指示：通过红色指示灯显示设备通电状态，亮起表示已通电</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4、保险丝：配备保险丝，用于在电路过载或短路时自动熔断，保护电路及连接设备安全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5、电源输出：具备 2 组国标三孔插座，可提供 220V 交流电输出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6、安装方式：通过螺丝固定在学生实验桌的桌面下方。</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1E7FEB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008C27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6349D4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1A91B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22-4</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422B66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生物灯</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1D5515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【整体描述】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1、产品整体包含灯管、底座、灯管支架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2、可以对生物显微镜起到补光作用，满足教学需求，通过光学平板散光片投射令光线均匀柔和不刺眼</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3、灯具外壳采用ABS工程塑料，有独立开关控制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【灯管】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4、灯管规格≥590mm（±5mm），灯管照明高度距离安装桌面≥175mm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5、灯芯组件：采用2835型LED灯珠铝基板灯条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6、产品整体功率≤7w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7、光通量≤350lm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8、色温：4500k-6000k</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【灯管支架】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9、灯管支架采用转轴设计，具有≥1个转动轴，可调节灯管的俯仰角度</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【底座】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10、底座规格≥250mm×50mm×30mm（长×宽×高）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11、安装方式：采用桌面开孔安装，直接接入220V交流电即可使用。</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4EDB87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7CFF9D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316CD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F2F92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22-5</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1DD7BD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水槽柜</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6FB24B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【整体描述】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1、采用分体式设计，用于稳固地承载和安装实验室水槽、水龙头、洗眼器等供水与安全设施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2、柜体采用ABS材质，部分结构辅以五金配件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3、整体规格≥500mm×600mm×845mm（长×宽×高）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4、水槽柜由柜体、水槽盆、检修门构成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【主体】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5、主体材料主承载壁基材厚度（不含表面处理层）≥2.5mm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6、底部设有 4 个安装孔，可以通过螺丝将功能柱固定到地面，增强安装后的稳定性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【检修门】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7、水槽柜正确安装后，正面和背面均具有检修门，检修门数量≥2个</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8、检修门规格：≥345×320mm（长×宽）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9、检修门材料主承载壁基材厚度（不含表面处理层）≥2.0mm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10、至少一个检修门配有专用锁具，防止非专业人士开启，便于技术人员进行安装和检修。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【水槽盆】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11、材质：高密度聚丙烯（PP）材料，一体注塑成型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12、排水设计： 设计排水斜面导向Φ50mm大口径排水口，排水迅速无残留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13、防溢流：配备独立防溢流口，直通下水管</w:t>
            </w:r>
            <w:r>
              <w:rPr>
                <w:rFonts w:hint="eastAsia" w:ascii="宋体" w:hAnsi="宋体" w:cs="宋体"/>
                <w:i w:val="0"/>
                <w:iCs w:val="0"/>
                <w:color w:val="auto"/>
                <w:kern w:val="0"/>
                <w:sz w:val="22"/>
                <w:szCs w:val="22"/>
                <w:highlight w:val="none"/>
                <w:u w:val="none"/>
                <w:lang w:val="en-US" w:eastAsia="zh-CN" w:bidi="ar"/>
              </w:rPr>
              <w:t>。</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069BD0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3A3659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14</w:t>
            </w:r>
          </w:p>
        </w:tc>
      </w:tr>
      <w:tr w14:paraId="579D79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1F6D2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22-6</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08B3E6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三联水嘴（强制采购节水产品）</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75071F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【整体描述】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1、整体构成：包含≥1个高位水嘴、≥2个低位水嘴、≥3个开关旋钮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2、整体规格：≥240mm×195mm×580mm（长×宽×高）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3、出水高度适宜，便于清洗各类实验器皿、满足多种用途使用需求；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4、涂层工艺：表面覆盖高亮度环氧树脂涂层具有一定防锈、防酸碱（弱酸弱碱）的性能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5、主要材质：采用铜合金或纯铜材质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6、防护性能：具备防锈、防虹吸、防阻塞多重防护功能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7、配件：配备≥1条软进水管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【高位水嘴】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8、外观设计：采用鹅颈管设计，最高处距离安装桌面≥650mm且≤700mm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9、高位水嘴出水位置距离安装桌面≥450mm且≤500mm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10、自由旋转：采用螺纹旋转设计，支持≥360°自由旋转，能够满足实验时不同角度、不同位置的用水需求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【低位水嘴】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11、数量：≥2个，水嘴间距≥260mm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12、外观设计：采用弯管设计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13、低位水嘴出水位置距离安装桌面≥100mm且≤120mm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【开关旋钮】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14、数量：≥3个，可对≥1个高位水嘴、≥2个低位水嘴进行独立控制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15、旋钮材质：采用高密度 PP 材料制作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16、阀芯材质：陶瓷阀芯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17、开关类型：旋钮式开关。</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505971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付</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676245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w:t>
            </w:r>
          </w:p>
        </w:tc>
      </w:tr>
      <w:tr w14:paraId="21233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0A8210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22-7</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52458E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教师演示台</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1277D5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【整体架构】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1、规格：≥2400*700*850mm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2、整体构造：含台面、柜门、抽屉、脚垫等组合式全钢结构</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【台面】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3、采用≥13mm优抗板制作，侧面边缘打磨平整，线条流畅、表面平整光滑，台面转角位置做倒角处理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【桌架】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4、桌身：整体采用≥0.8mm厚优质冷轧钢板，全部钢制件纳米陶瓷镀膜防锈处理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5、整体讲台由≥3个独立的柜体组合而成，柜体中预留了教师主控电源、电脑键盘、水槽安装等位置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6、布线布管：在柜体的底部预留了电路、水路、气路的布线布管可拆除的板，便于安装讲台时的水、电、气安装，避免现场开孔</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7、拉手：在柜门或抽屉正面上方处一体折弯而成，外观整体流畅，造型独特美观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8、防撞胶垫：装于抽屉及门板内侧，减缓碰撞，保护柜体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9、门板及抽面：采用双层钢板，必须两层组装式设计，保证两层双面都经过喷涂处理，保证门板和抽面具备较强硬度，不轻易出现凹陷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10、铰链：采用优质铰链，或升级为优质304不锈钢铰链</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11、滑轨：三节重型滚珠滑轨，承重性强，滑动性能良好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12、固定桌脚：采用柜体内置可调PP塑料调整脚，保证调整脚前后都可以调节高低。</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【水槽盆】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13、水槽盆规格：≥550*450*290mm，水槽采用高密度聚丙烯（PP）材料经模具高压注塑成型。</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163B5A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2994DA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00751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3F9C1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22-8</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229C7E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教师转椅</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4C4E30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参数同序号19-6一致。</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1D74B8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592090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DDE2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7AE956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22-9</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6BE05D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教师主控电源</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55481941">
            <w:pPr>
              <w:keepNext w:val="0"/>
              <w:keepLines w:val="0"/>
              <w:widowControl/>
              <w:numPr>
                <w:ilvl w:val="0"/>
                <w:numId w:val="12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操作面板：采用钢化玻璃材质，规格：≥长 418±3mm× 宽 218±3mm× 高≥3mm，搭配抽屉式设计，兼具美观与实用特性，既保证面板的耐用性和视觉效果，又便于日常操作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2、机身结构：运用钣金加强工艺打造，有效增强机身强度，确保在按压操作过程中稳固可靠，彻底消除塌陷风险，保障设备长期稳定使用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3、电路保护与控制：配备≥1 路漏电保护器，可对整个教室的学生电源和老师电源进行统一管控；同时设有≥4 路空气开关，能够将学生电源分为 4 组分别控制，实现灵活的电路管理与安全防护</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4、学生端控制功能：支持学生端批量操作控制，配备≥3 个触摸式按钮，分别为 “锁定同步”、“高压电”、“低压电”，方便教师快速对学生端电源进行多种模式的操作与管理</w:t>
            </w:r>
            <w:r>
              <w:rPr>
                <w:rFonts w:hint="eastAsia" w:ascii="宋体" w:hAnsi="宋体" w:cs="宋体"/>
                <w:i w:val="0"/>
                <w:iCs w:val="0"/>
                <w:color w:val="auto"/>
                <w:kern w:val="0"/>
                <w:sz w:val="22"/>
                <w:szCs w:val="22"/>
                <w:highlight w:val="none"/>
                <w:u w:val="none"/>
                <w:lang w:val="en-US" w:eastAsia="zh-CN" w:bidi="ar"/>
              </w:rPr>
              <w:t>。</w:t>
            </w:r>
          </w:p>
          <w:p w14:paraId="2C7B52E4">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5、直流稳压输出：具备≥2 组独立的 9V40A 直流稳压输出，与教师电源输出相互独立，互不干扰，满足不同实验设备的用电需求，确保供电稳定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6、教师电源输出控制：采用液晶智能旋钮控制教师电源输出，设有≥1 组标准香蕉接口用于输出稳压直流电，≥1组标准香蕉接口用于输出稳压交流电，可按需灵活切换交直流输出模式，满足多样化实验教学需求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7、液晶智能旋钮参数：液晶智能旋钮外尺寸≥49mm，旋钮中心配置 2 个≥3 位 LED 数码管显示屏，可实时显示电压和电流数值；通过旋钮可调节电压输出，并同步查看电流情况，方便教师精准控制电源输出参数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8、调压电源功率与电流：调压电源总功率≥90W，直流和交流输出在 0 至 18V 区间时，最大电流可达 6A；在 18V 至 30V 区间时，最大电流为 3A，适应不同电压和电流需求的实验设备运行</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9、电压精度：在无负载状态下，输出电压误差≤0.2V，确保电源输出电压的精准度，为实验提供稳定可靠的电力支持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10、交流插座配置：设有≥2 路五孔 220V 国标交流插座（二三插），适配多种常用电器设备，满足教室日常用电及实验设备的交流供电需求。</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31DE9E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4F45CD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99B2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7" w:type="pct"/>
            <w:tcBorders>
              <w:top w:val="single" w:color="000000" w:sz="4" w:space="0"/>
              <w:left w:val="single" w:color="000000" w:sz="4" w:space="0"/>
              <w:bottom w:val="single" w:color="000000" w:sz="4" w:space="0"/>
              <w:right w:val="single" w:color="000000" w:sz="4" w:space="0"/>
            </w:tcBorders>
            <w:noWrap/>
            <w:vAlign w:val="center"/>
          </w:tcPr>
          <w:p w14:paraId="5E1DC1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22-10</w:t>
            </w:r>
          </w:p>
        </w:tc>
        <w:tc>
          <w:tcPr>
            <w:tcW w:w="568" w:type="pct"/>
            <w:tcBorders>
              <w:top w:val="single" w:color="000000" w:sz="4" w:space="0"/>
              <w:left w:val="single" w:color="000000" w:sz="4" w:space="0"/>
              <w:bottom w:val="single" w:color="000000" w:sz="4" w:space="0"/>
              <w:right w:val="single" w:color="000000" w:sz="4" w:space="0"/>
            </w:tcBorders>
            <w:noWrap w:val="0"/>
            <w:vAlign w:val="center"/>
          </w:tcPr>
          <w:p w14:paraId="59FBA8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41" w:type="pct"/>
            <w:tcBorders>
              <w:top w:val="single" w:color="000000" w:sz="4" w:space="0"/>
              <w:left w:val="single" w:color="000000" w:sz="4" w:space="0"/>
              <w:bottom w:val="single" w:color="000000" w:sz="4" w:space="0"/>
              <w:right w:val="single" w:color="000000" w:sz="4" w:space="0"/>
            </w:tcBorders>
            <w:noWrap w:val="0"/>
            <w:vAlign w:val="center"/>
          </w:tcPr>
          <w:p w14:paraId="63314F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普通类实验室全套设备设施安装包含：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1、桌椅讲台功能柱水槽柜水嘴洗眼器风罩等设备安装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2、电线：国标优质铜芯线4mm²电线、2.5mm²电线（仅限实验室内）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3、pvc线管、金属吊架及五金件；配套电工胶布，护套管等辅助材料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4、给水管：主管选用Ф25PPR水管，支管Ф20PPR水管（仅限实验室内）。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5、排水管：UPVC材质排水管为Ф50mm，排水管接头要求螺纹口、PVC胶水等（仅限实验室内）。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6、地上明管线的安装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7、讲台学生位给排水点位安装及测试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8、讲台学生位接线及调试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9、安装完成后的场室清洁工作。</w:t>
            </w:r>
          </w:p>
        </w:tc>
        <w:tc>
          <w:tcPr>
            <w:tcW w:w="354" w:type="pct"/>
            <w:tcBorders>
              <w:top w:val="single" w:color="000000" w:sz="4" w:space="0"/>
              <w:left w:val="single" w:color="000000" w:sz="4" w:space="0"/>
              <w:bottom w:val="single" w:color="000000" w:sz="4" w:space="0"/>
              <w:right w:val="single" w:color="000000" w:sz="4" w:space="0"/>
            </w:tcBorders>
            <w:noWrap w:val="0"/>
            <w:vAlign w:val="center"/>
          </w:tcPr>
          <w:p w14:paraId="445716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06" w:type="pct"/>
            <w:tcBorders>
              <w:top w:val="single" w:color="000000" w:sz="4" w:space="0"/>
              <w:left w:val="single" w:color="000000" w:sz="4" w:space="0"/>
              <w:bottom w:val="single" w:color="000000" w:sz="4" w:space="0"/>
              <w:right w:val="single" w:color="000000" w:sz="4" w:space="0"/>
            </w:tcBorders>
            <w:noWrap w:val="0"/>
            <w:vAlign w:val="center"/>
          </w:tcPr>
          <w:p w14:paraId="774B2F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0A7C6211">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6002" w:type="pct"/>
        <w:tblInd w:w="-8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86"/>
        <w:gridCol w:w="1234"/>
        <w:gridCol w:w="6816"/>
        <w:gridCol w:w="703"/>
        <w:gridCol w:w="889"/>
      </w:tblGrid>
      <w:tr w14:paraId="2C986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76697F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生物准备室</w:t>
            </w:r>
          </w:p>
        </w:tc>
      </w:tr>
      <w:tr w14:paraId="38CA9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2FA199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86" w:type="pct"/>
            <w:tcBorders>
              <w:top w:val="single" w:color="000000" w:sz="4" w:space="0"/>
              <w:left w:val="single" w:color="000000" w:sz="4" w:space="0"/>
              <w:bottom w:val="single" w:color="000000" w:sz="4" w:space="0"/>
              <w:right w:val="single" w:color="000000" w:sz="4" w:space="0"/>
            </w:tcBorders>
            <w:noWrap/>
            <w:vAlign w:val="center"/>
          </w:tcPr>
          <w:p w14:paraId="23E9FF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37" w:type="pct"/>
            <w:tcBorders>
              <w:top w:val="single" w:color="000000" w:sz="4" w:space="0"/>
              <w:left w:val="single" w:color="000000" w:sz="4" w:space="0"/>
              <w:bottom w:val="single" w:color="000000" w:sz="4" w:space="0"/>
              <w:right w:val="single" w:color="000000" w:sz="4" w:space="0"/>
            </w:tcBorders>
            <w:noWrap/>
            <w:vAlign w:val="center"/>
          </w:tcPr>
          <w:p w14:paraId="1688F1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34" w:type="pct"/>
            <w:tcBorders>
              <w:top w:val="single" w:color="000000" w:sz="4" w:space="0"/>
              <w:left w:val="single" w:color="000000" w:sz="4" w:space="0"/>
              <w:bottom w:val="single" w:color="000000" w:sz="4" w:space="0"/>
              <w:right w:val="single" w:color="000000" w:sz="4" w:space="0"/>
            </w:tcBorders>
            <w:noWrap/>
            <w:vAlign w:val="center"/>
          </w:tcPr>
          <w:p w14:paraId="0F4CFC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20" w:type="pct"/>
            <w:tcBorders>
              <w:top w:val="single" w:color="000000" w:sz="4" w:space="0"/>
              <w:left w:val="single" w:color="000000" w:sz="4" w:space="0"/>
              <w:bottom w:val="single" w:color="000000" w:sz="4" w:space="0"/>
              <w:right w:val="single" w:color="000000" w:sz="4" w:space="0"/>
            </w:tcBorders>
            <w:noWrap/>
            <w:vAlign w:val="center"/>
          </w:tcPr>
          <w:p w14:paraId="1417D9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1B998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6FFB82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23-1</w:t>
            </w:r>
          </w:p>
        </w:tc>
        <w:tc>
          <w:tcPr>
            <w:tcW w:w="586" w:type="pct"/>
            <w:tcBorders>
              <w:top w:val="single" w:color="000000" w:sz="4" w:space="0"/>
              <w:left w:val="single" w:color="000000" w:sz="4" w:space="0"/>
              <w:bottom w:val="single" w:color="000000" w:sz="4" w:space="0"/>
              <w:right w:val="single" w:color="000000" w:sz="4" w:space="0"/>
            </w:tcBorders>
            <w:noWrap w:val="0"/>
            <w:vAlign w:val="center"/>
          </w:tcPr>
          <w:p w14:paraId="0D1CB3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仪器柜</w:t>
            </w:r>
          </w:p>
        </w:tc>
        <w:tc>
          <w:tcPr>
            <w:tcW w:w="3237" w:type="pct"/>
            <w:tcBorders>
              <w:top w:val="single" w:color="000000" w:sz="4" w:space="0"/>
              <w:left w:val="single" w:color="000000" w:sz="4" w:space="0"/>
              <w:bottom w:val="single" w:color="000000" w:sz="4" w:space="0"/>
              <w:right w:val="single" w:color="000000" w:sz="4" w:space="0"/>
            </w:tcBorders>
            <w:noWrap w:val="0"/>
            <w:vAlign w:val="center"/>
          </w:tcPr>
          <w:p w14:paraId="20BE76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参数同序号20-1一致。</w:t>
            </w:r>
          </w:p>
        </w:tc>
        <w:tc>
          <w:tcPr>
            <w:tcW w:w="334" w:type="pct"/>
            <w:tcBorders>
              <w:top w:val="single" w:color="000000" w:sz="4" w:space="0"/>
              <w:left w:val="single" w:color="000000" w:sz="4" w:space="0"/>
              <w:bottom w:val="single" w:color="000000" w:sz="4" w:space="0"/>
              <w:right w:val="single" w:color="000000" w:sz="4" w:space="0"/>
            </w:tcBorders>
            <w:noWrap/>
            <w:vAlign w:val="center"/>
          </w:tcPr>
          <w:p w14:paraId="7B8FF1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0" w:type="pct"/>
            <w:tcBorders>
              <w:top w:val="single" w:color="000000" w:sz="4" w:space="0"/>
              <w:left w:val="single" w:color="000000" w:sz="4" w:space="0"/>
              <w:bottom w:val="single" w:color="000000" w:sz="4" w:space="0"/>
              <w:right w:val="single" w:color="000000" w:sz="4" w:space="0"/>
            </w:tcBorders>
            <w:noWrap/>
            <w:vAlign w:val="center"/>
          </w:tcPr>
          <w:p w14:paraId="226CF8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r>
      <w:tr w14:paraId="764B9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58FE3B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23-2</w:t>
            </w:r>
          </w:p>
        </w:tc>
        <w:tc>
          <w:tcPr>
            <w:tcW w:w="586" w:type="pct"/>
            <w:tcBorders>
              <w:top w:val="single" w:color="000000" w:sz="4" w:space="0"/>
              <w:left w:val="single" w:color="000000" w:sz="4" w:space="0"/>
              <w:bottom w:val="single" w:color="000000" w:sz="4" w:space="0"/>
              <w:right w:val="single" w:color="000000" w:sz="4" w:space="0"/>
            </w:tcBorders>
            <w:noWrap w:val="0"/>
            <w:vAlign w:val="center"/>
          </w:tcPr>
          <w:p w14:paraId="70F052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药品柜</w:t>
            </w:r>
          </w:p>
        </w:tc>
        <w:tc>
          <w:tcPr>
            <w:tcW w:w="3237" w:type="pct"/>
            <w:tcBorders>
              <w:top w:val="single" w:color="000000" w:sz="4" w:space="0"/>
              <w:left w:val="single" w:color="000000" w:sz="4" w:space="0"/>
              <w:bottom w:val="single" w:color="000000" w:sz="4" w:space="0"/>
              <w:right w:val="single" w:color="000000" w:sz="4" w:space="0"/>
            </w:tcBorders>
            <w:noWrap w:val="0"/>
            <w:vAlign w:val="center"/>
          </w:tcPr>
          <w:p w14:paraId="10C35F94">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【整体功能】​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1、主要用于实验室仪器设备、试剂药品的存放，具备防腐、防尘、通风等特性，适用于理化生实验室、洁净室等环境，可保护仪器免受腐蚀和污染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2、整体规格：≥1000mm×500mm×2000mm（长×宽×高）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3、安装方式：落地式放置，无需额外固定，适配常规实验室地面布局</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4、整体包含柜体、层板及配件系统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【柜体】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5、侧板与层板：采用环保型PP改性材料一次注塑成型，表面经磨砂处理；采用榫卯结构配合专用塑料紧固件连接，确保柜体稳固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6、上柜门：采用增强型PP材质一体注塑成型，后嵌≥4mm钢化玻璃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7、下柜门：采用增强型PP材质一体注塑成型，后嵌≥4mm钢化玻璃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8、门把手：采用增强型PP材质一次注塑成型，安装于两门接缝处，便于开关</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【层板】​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9、层板配置：上柜配≥2块活动阶梯层板，下柜配≥1块活动层板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10、层板规格：宽度≥420mm（±5%），厚度≥22mm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11、层板结构：采用工程塑料经模具注塑成型，中空双层结构，内部嵌有≥2条镀锌钢管加强筋</w:t>
            </w:r>
            <w:r>
              <w:rPr>
                <w:rFonts w:hint="eastAsia" w:ascii="宋体" w:hAnsi="宋体" w:cs="宋体"/>
                <w:i w:val="0"/>
                <w:iCs w:val="0"/>
                <w:color w:val="auto"/>
                <w:kern w:val="0"/>
                <w:sz w:val="22"/>
                <w:szCs w:val="22"/>
                <w:highlight w:val="none"/>
                <w:u w:val="none"/>
                <w:lang w:val="en-US" w:eastAsia="zh-CN" w:bidi="ar"/>
              </w:rPr>
              <w:t>。</w:t>
            </w:r>
          </w:p>
          <w:p w14:paraId="7CD262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12、承重能力：每层承重≥50kg，满足各类仪器设备存放需求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13、阶梯：上柜配置两块药品阶梯，采用中空双层塑料型材拼装而成，两端用一次注塑成型的堵头加固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【配件系统】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14、门铰链：采用改性PP材料模具一次成型，可伸缩旋转门轴，内嵌式安装，开关顺畅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15、紧固件：柜子内部储物空间无裸露金属材料，若采用金属螺丝的需用塑料盖子将其隐藏，确保柜子的耐腐蚀性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16、通风系统：柜子顶部和底部均预留通风系统接口，可与通风管路连接，风口处配备手动调节风门，可打开或关闭通风口。</w:t>
            </w:r>
          </w:p>
        </w:tc>
        <w:tc>
          <w:tcPr>
            <w:tcW w:w="334" w:type="pct"/>
            <w:tcBorders>
              <w:top w:val="single" w:color="000000" w:sz="4" w:space="0"/>
              <w:left w:val="single" w:color="000000" w:sz="4" w:space="0"/>
              <w:bottom w:val="single" w:color="000000" w:sz="4" w:space="0"/>
              <w:right w:val="single" w:color="000000" w:sz="4" w:space="0"/>
            </w:tcBorders>
            <w:noWrap/>
            <w:vAlign w:val="center"/>
          </w:tcPr>
          <w:p w14:paraId="59260D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0" w:type="pct"/>
            <w:tcBorders>
              <w:top w:val="single" w:color="000000" w:sz="4" w:space="0"/>
              <w:left w:val="single" w:color="000000" w:sz="4" w:space="0"/>
              <w:bottom w:val="single" w:color="000000" w:sz="4" w:space="0"/>
              <w:right w:val="single" w:color="000000" w:sz="4" w:space="0"/>
            </w:tcBorders>
            <w:noWrap/>
            <w:vAlign w:val="center"/>
          </w:tcPr>
          <w:p w14:paraId="1F09A0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4A1D1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41BC63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23-3</w:t>
            </w:r>
          </w:p>
        </w:tc>
        <w:tc>
          <w:tcPr>
            <w:tcW w:w="586" w:type="pct"/>
            <w:tcBorders>
              <w:top w:val="single" w:color="000000" w:sz="4" w:space="0"/>
              <w:left w:val="single" w:color="000000" w:sz="4" w:space="0"/>
              <w:bottom w:val="single" w:color="000000" w:sz="4" w:space="0"/>
              <w:right w:val="single" w:color="000000" w:sz="4" w:space="0"/>
            </w:tcBorders>
            <w:noWrap w:val="0"/>
            <w:vAlign w:val="center"/>
          </w:tcPr>
          <w:p w14:paraId="780D59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单面标本柜</w:t>
            </w:r>
          </w:p>
        </w:tc>
        <w:tc>
          <w:tcPr>
            <w:tcW w:w="3237" w:type="pct"/>
            <w:tcBorders>
              <w:top w:val="single" w:color="000000" w:sz="4" w:space="0"/>
              <w:left w:val="single" w:color="000000" w:sz="4" w:space="0"/>
              <w:bottom w:val="single" w:color="000000" w:sz="4" w:space="0"/>
              <w:right w:val="single" w:color="000000" w:sz="4" w:space="0"/>
            </w:tcBorders>
            <w:noWrap w:val="0"/>
            <w:vAlign w:val="center"/>
          </w:tcPr>
          <w:p w14:paraId="6F74A86E">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【整体功能】​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1、主要用于实验室标本的存放与展示，具备防尘、易观察特性，适用于理化生实验室、标本存储区域，可清晰呈现内部陈列标本，同时保护标本免受灰尘污染</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2、整体规格：≥1000×500×2000mm（长×宽×高）</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3、安装方式：落地式放置，无需额外固定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4、整体包含柜体、层板及配件系统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【柜体】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5、柜体构造：采用上下分段式结构</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6、上柜：框架采用铝镁合金材质，柜体采用5mm±0.5mm白玻，趟门式设计</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7、下柜：采用≥16mm 厚三聚氰胺双面贴面板制作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8、连接工艺：柜体连接采用 ABS 工程注塑连接组件，一体化成型，与铝合金框架精密套接，确保结构稳固且不遮挡内部视野，可完全观察到内部陈列标本</w:t>
            </w:r>
            <w:r>
              <w:rPr>
                <w:rFonts w:hint="eastAsia" w:ascii="宋体" w:hAnsi="宋体" w:cs="宋体"/>
                <w:i w:val="0"/>
                <w:iCs w:val="0"/>
                <w:color w:val="auto"/>
                <w:kern w:val="0"/>
                <w:sz w:val="22"/>
                <w:szCs w:val="22"/>
                <w:highlight w:val="none"/>
                <w:u w:val="none"/>
                <w:lang w:val="en-US" w:eastAsia="zh-CN" w:bidi="ar"/>
              </w:rPr>
              <w:t>。</w:t>
            </w:r>
          </w:p>
          <w:p w14:paraId="39345D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【层板】​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9、层板配置：上柜配≥2块活动阶梯层板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10、层板结构：隔板采用白玻材质，厚度为 ≥8mm，边缘经磨边处理，层板为活动设计，可根据标本高度需求调整层间距离，适配不同尺寸标本的陈列</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【配件系统】​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11、趟门配件：配备专用滑动组件，确保趟门推拉顺畅，具备一定防尘密封性能。</w:t>
            </w:r>
          </w:p>
        </w:tc>
        <w:tc>
          <w:tcPr>
            <w:tcW w:w="334" w:type="pct"/>
            <w:tcBorders>
              <w:top w:val="single" w:color="000000" w:sz="4" w:space="0"/>
              <w:left w:val="single" w:color="000000" w:sz="4" w:space="0"/>
              <w:bottom w:val="single" w:color="000000" w:sz="4" w:space="0"/>
              <w:right w:val="single" w:color="000000" w:sz="4" w:space="0"/>
            </w:tcBorders>
            <w:noWrap/>
            <w:vAlign w:val="center"/>
          </w:tcPr>
          <w:p w14:paraId="399447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0" w:type="pct"/>
            <w:tcBorders>
              <w:top w:val="single" w:color="000000" w:sz="4" w:space="0"/>
              <w:left w:val="single" w:color="000000" w:sz="4" w:space="0"/>
              <w:bottom w:val="single" w:color="000000" w:sz="4" w:space="0"/>
              <w:right w:val="single" w:color="000000" w:sz="4" w:space="0"/>
            </w:tcBorders>
            <w:noWrap/>
            <w:vAlign w:val="center"/>
          </w:tcPr>
          <w:p w14:paraId="43B2AA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247BB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61A236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23-4</w:t>
            </w:r>
          </w:p>
        </w:tc>
        <w:tc>
          <w:tcPr>
            <w:tcW w:w="586" w:type="pct"/>
            <w:tcBorders>
              <w:top w:val="single" w:color="000000" w:sz="4" w:space="0"/>
              <w:left w:val="single" w:color="000000" w:sz="4" w:space="0"/>
              <w:bottom w:val="single" w:color="000000" w:sz="4" w:space="0"/>
              <w:right w:val="single" w:color="000000" w:sz="4" w:space="0"/>
            </w:tcBorders>
            <w:noWrap w:val="0"/>
            <w:vAlign w:val="center"/>
          </w:tcPr>
          <w:p w14:paraId="129940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准备台</w:t>
            </w:r>
          </w:p>
        </w:tc>
        <w:tc>
          <w:tcPr>
            <w:tcW w:w="3237" w:type="pct"/>
            <w:tcBorders>
              <w:top w:val="single" w:color="000000" w:sz="4" w:space="0"/>
              <w:left w:val="single" w:color="000000" w:sz="4" w:space="0"/>
              <w:bottom w:val="single" w:color="000000" w:sz="4" w:space="0"/>
              <w:right w:val="single" w:color="000000" w:sz="4" w:space="0"/>
            </w:tcBorders>
            <w:noWrap w:val="0"/>
            <w:vAlign w:val="center"/>
          </w:tcPr>
          <w:p w14:paraId="14050B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参数同序号20-3一致。</w:t>
            </w:r>
          </w:p>
        </w:tc>
        <w:tc>
          <w:tcPr>
            <w:tcW w:w="334" w:type="pct"/>
            <w:tcBorders>
              <w:top w:val="single" w:color="000000" w:sz="4" w:space="0"/>
              <w:left w:val="single" w:color="000000" w:sz="4" w:space="0"/>
              <w:bottom w:val="single" w:color="000000" w:sz="4" w:space="0"/>
              <w:right w:val="single" w:color="000000" w:sz="4" w:space="0"/>
            </w:tcBorders>
            <w:noWrap/>
            <w:vAlign w:val="center"/>
          </w:tcPr>
          <w:p w14:paraId="11C254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20" w:type="pct"/>
            <w:tcBorders>
              <w:top w:val="single" w:color="000000" w:sz="4" w:space="0"/>
              <w:left w:val="single" w:color="000000" w:sz="4" w:space="0"/>
              <w:bottom w:val="single" w:color="000000" w:sz="4" w:space="0"/>
              <w:right w:val="single" w:color="000000" w:sz="4" w:space="0"/>
            </w:tcBorders>
            <w:noWrap/>
            <w:vAlign w:val="center"/>
          </w:tcPr>
          <w:p w14:paraId="1FEBD8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CE27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52B758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23-5</w:t>
            </w:r>
          </w:p>
        </w:tc>
        <w:tc>
          <w:tcPr>
            <w:tcW w:w="586" w:type="pct"/>
            <w:tcBorders>
              <w:top w:val="single" w:color="000000" w:sz="4" w:space="0"/>
              <w:left w:val="single" w:color="000000" w:sz="4" w:space="0"/>
              <w:bottom w:val="single" w:color="000000" w:sz="4" w:space="0"/>
              <w:right w:val="single" w:color="000000" w:sz="4" w:space="0"/>
            </w:tcBorders>
            <w:noWrap w:val="0"/>
            <w:vAlign w:val="center"/>
          </w:tcPr>
          <w:p w14:paraId="65BA37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三联水嘴（强制采购节能产品）</w:t>
            </w:r>
          </w:p>
        </w:tc>
        <w:tc>
          <w:tcPr>
            <w:tcW w:w="3237" w:type="pct"/>
            <w:tcBorders>
              <w:top w:val="single" w:color="000000" w:sz="4" w:space="0"/>
              <w:left w:val="single" w:color="000000" w:sz="4" w:space="0"/>
              <w:bottom w:val="single" w:color="000000" w:sz="4" w:space="0"/>
              <w:right w:val="single" w:color="000000" w:sz="4" w:space="0"/>
            </w:tcBorders>
            <w:noWrap w:val="0"/>
            <w:vAlign w:val="center"/>
          </w:tcPr>
          <w:p w14:paraId="0D9EA4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参数同序号22-6一致。</w:t>
            </w:r>
          </w:p>
        </w:tc>
        <w:tc>
          <w:tcPr>
            <w:tcW w:w="334" w:type="pct"/>
            <w:tcBorders>
              <w:top w:val="single" w:color="000000" w:sz="4" w:space="0"/>
              <w:left w:val="single" w:color="000000" w:sz="4" w:space="0"/>
              <w:bottom w:val="single" w:color="000000" w:sz="4" w:space="0"/>
              <w:right w:val="single" w:color="000000" w:sz="4" w:space="0"/>
            </w:tcBorders>
            <w:noWrap w:val="0"/>
            <w:vAlign w:val="center"/>
          </w:tcPr>
          <w:p w14:paraId="33B2CC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付</w:t>
            </w:r>
          </w:p>
        </w:tc>
        <w:tc>
          <w:tcPr>
            <w:tcW w:w="420" w:type="pct"/>
            <w:tcBorders>
              <w:top w:val="single" w:color="000000" w:sz="4" w:space="0"/>
              <w:left w:val="single" w:color="000000" w:sz="4" w:space="0"/>
              <w:bottom w:val="single" w:color="000000" w:sz="4" w:space="0"/>
              <w:right w:val="single" w:color="000000" w:sz="4" w:space="0"/>
            </w:tcBorders>
            <w:noWrap w:val="0"/>
            <w:vAlign w:val="center"/>
          </w:tcPr>
          <w:p w14:paraId="009628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DA0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2ECA1F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23-6</w:t>
            </w:r>
          </w:p>
        </w:tc>
        <w:tc>
          <w:tcPr>
            <w:tcW w:w="586" w:type="pct"/>
            <w:tcBorders>
              <w:top w:val="single" w:color="000000" w:sz="4" w:space="0"/>
              <w:left w:val="single" w:color="000000" w:sz="4" w:space="0"/>
              <w:bottom w:val="single" w:color="000000" w:sz="4" w:space="0"/>
              <w:right w:val="single" w:color="000000" w:sz="4" w:space="0"/>
            </w:tcBorders>
            <w:noWrap w:val="0"/>
            <w:vAlign w:val="center"/>
          </w:tcPr>
          <w:p w14:paraId="513E01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小推车</w:t>
            </w:r>
          </w:p>
        </w:tc>
        <w:tc>
          <w:tcPr>
            <w:tcW w:w="3237" w:type="pct"/>
            <w:tcBorders>
              <w:top w:val="single" w:color="000000" w:sz="4" w:space="0"/>
              <w:left w:val="single" w:color="000000" w:sz="4" w:space="0"/>
              <w:bottom w:val="single" w:color="000000" w:sz="4" w:space="0"/>
              <w:right w:val="single" w:color="000000" w:sz="4" w:space="0"/>
            </w:tcBorders>
            <w:noWrap w:val="0"/>
            <w:vAlign w:val="center"/>
          </w:tcPr>
          <w:p w14:paraId="51691A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参数同序号22-5一致。</w:t>
            </w:r>
          </w:p>
        </w:tc>
        <w:tc>
          <w:tcPr>
            <w:tcW w:w="334" w:type="pct"/>
            <w:tcBorders>
              <w:top w:val="single" w:color="000000" w:sz="4" w:space="0"/>
              <w:left w:val="single" w:color="000000" w:sz="4" w:space="0"/>
              <w:bottom w:val="single" w:color="000000" w:sz="4" w:space="0"/>
              <w:right w:val="single" w:color="000000" w:sz="4" w:space="0"/>
            </w:tcBorders>
            <w:noWrap w:val="0"/>
            <w:vAlign w:val="center"/>
          </w:tcPr>
          <w:p w14:paraId="7E9ACC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20" w:type="pct"/>
            <w:tcBorders>
              <w:top w:val="single" w:color="000000" w:sz="4" w:space="0"/>
              <w:left w:val="single" w:color="000000" w:sz="4" w:space="0"/>
              <w:bottom w:val="single" w:color="000000" w:sz="4" w:space="0"/>
              <w:right w:val="single" w:color="000000" w:sz="4" w:space="0"/>
            </w:tcBorders>
            <w:noWrap w:val="0"/>
            <w:vAlign w:val="center"/>
          </w:tcPr>
          <w:p w14:paraId="7D589B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C1FE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421" w:type="pct"/>
            <w:tcBorders>
              <w:top w:val="single" w:color="000000" w:sz="4" w:space="0"/>
              <w:left w:val="single" w:color="000000" w:sz="4" w:space="0"/>
              <w:bottom w:val="single" w:color="000000" w:sz="4" w:space="0"/>
              <w:right w:val="single" w:color="000000" w:sz="4" w:space="0"/>
            </w:tcBorders>
            <w:noWrap/>
            <w:vAlign w:val="center"/>
          </w:tcPr>
          <w:p w14:paraId="3DAD1A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23-7</w:t>
            </w:r>
          </w:p>
        </w:tc>
        <w:tc>
          <w:tcPr>
            <w:tcW w:w="586" w:type="pct"/>
            <w:tcBorders>
              <w:top w:val="single" w:color="000000" w:sz="4" w:space="0"/>
              <w:left w:val="single" w:color="000000" w:sz="4" w:space="0"/>
              <w:bottom w:val="single" w:color="000000" w:sz="4" w:space="0"/>
              <w:right w:val="single" w:color="000000" w:sz="4" w:space="0"/>
            </w:tcBorders>
            <w:noWrap w:val="0"/>
            <w:vAlign w:val="center"/>
          </w:tcPr>
          <w:p w14:paraId="379468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37" w:type="pct"/>
            <w:tcBorders>
              <w:top w:val="single" w:color="000000" w:sz="4" w:space="0"/>
              <w:left w:val="single" w:color="000000" w:sz="4" w:space="0"/>
              <w:bottom w:val="single" w:color="000000" w:sz="4" w:space="0"/>
              <w:right w:val="single" w:color="000000" w:sz="4" w:space="0"/>
            </w:tcBorders>
            <w:noWrap w:val="0"/>
            <w:vAlign w:val="center"/>
          </w:tcPr>
          <w:p w14:paraId="78C4D5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1、地上部分接线安装调试：合理规划线路走向，采用标准化接线方式，确保接线牢固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2、水管：给水选用Ф25PPR水管，排水管Ф50PPR水管；配套总开关阀门、丝连接件等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3、地上部分水路系统安装调试：合理设计排水管道，确保排水顺畅、管道无渗漏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4、柜子设备安装：合理规划设备摆放位置，确保操作方。</w:t>
            </w:r>
          </w:p>
        </w:tc>
        <w:tc>
          <w:tcPr>
            <w:tcW w:w="334" w:type="pct"/>
            <w:tcBorders>
              <w:top w:val="single" w:color="000000" w:sz="4" w:space="0"/>
              <w:left w:val="single" w:color="000000" w:sz="4" w:space="0"/>
              <w:bottom w:val="single" w:color="000000" w:sz="4" w:space="0"/>
              <w:right w:val="single" w:color="000000" w:sz="4" w:space="0"/>
            </w:tcBorders>
            <w:noWrap w:val="0"/>
            <w:vAlign w:val="center"/>
          </w:tcPr>
          <w:p w14:paraId="49B1C0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20" w:type="pct"/>
            <w:tcBorders>
              <w:top w:val="single" w:color="000000" w:sz="4" w:space="0"/>
              <w:left w:val="single" w:color="000000" w:sz="4" w:space="0"/>
              <w:bottom w:val="single" w:color="000000" w:sz="4" w:space="0"/>
              <w:right w:val="single" w:color="000000" w:sz="4" w:space="0"/>
            </w:tcBorders>
            <w:noWrap w:val="0"/>
            <w:vAlign w:val="center"/>
          </w:tcPr>
          <w:p w14:paraId="2AF887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77E4AE13">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6009" w:type="pct"/>
        <w:tblInd w:w="-89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92"/>
        <w:gridCol w:w="1192"/>
        <w:gridCol w:w="6854"/>
        <w:gridCol w:w="709"/>
        <w:gridCol w:w="893"/>
      </w:tblGrid>
      <w:tr w14:paraId="54B91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0D1794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生物仪器室+仪器</w:t>
            </w:r>
          </w:p>
        </w:tc>
      </w:tr>
      <w:tr w14:paraId="68CAE4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ign w:val="center"/>
          </w:tcPr>
          <w:p w14:paraId="07DEAA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65" w:type="pct"/>
            <w:tcBorders>
              <w:top w:val="single" w:color="000000" w:sz="4" w:space="0"/>
              <w:left w:val="single" w:color="000000" w:sz="4" w:space="0"/>
              <w:bottom w:val="single" w:color="000000" w:sz="4" w:space="0"/>
              <w:right w:val="single" w:color="000000" w:sz="4" w:space="0"/>
            </w:tcBorders>
            <w:noWrap/>
            <w:vAlign w:val="center"/>
          </w:tcPr>
          <w:p w14:paraId="742CC5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51" w:type="pct"/>
            <w:tcBorders>
              <w:top w:val="single" w:color="000000" w:sz="4" w:space="0"/>
              <w:left w:val="single" w:color="000000" w:sz="4" w:space="0"/>
              <w:bottom w:val="single" w:color="000000" w:sz="4" w:space="0"/>
              <w:right w:val="single" w:color="000000" w:sz="4" w:space="0"/>
            </w:tcBorders>
            <w:noWrap/>
            <w:vAlign w:val="center"/>
          </w:tcPr>
          <w:p w14:paraId="3CEBCE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36" w:type="pct"/>
            <w:tcBorders>
              <w:top w:val="single" w:color="000000" w:sz="4" w:space="0"/>
              <w:left w:val="single" w:color="000000" w:sz="4" w:space="0"/>
              <w:bottom w:val="single" w:color="000000" w:sz="4" w:space="0"/>
              <w:right w:val="single" w:color="000000" w:sz="4" w:space="0"/>
            </w:tcBorders>
            <w:noWrap/>
            <w:vAlign w:val="center"/>
          </w:tcPr>
          <w:p w14:paraId="13F8DF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23" w:type="pct"/>
            <w:tcBorders>
              <w:top w:val="single" w:color="000000" w:sz="4" w:space="0"/>
              <w:left w:val="single" w:color="000000" w:sz="4" w:space="0"/>
              <w:bottom w:val="single" w:color="000000" w:sz="4" w:space="0"/>
              <w:right w:val="single" w:color="000000" w:sz="4" w:space="0"/>
            </w:tcBorders>
            <w:noWrap/>
            <w:vAlign w:val="center"/>
          </w:tcPr>
          <w:p w14:paraId="1B1F37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0474A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FA5B2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0BDBA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仪器柜</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FB594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参数同序号20-1一致。</w:t>
            </w:r>
          </w:p>
        </w:tc>
        <w:tc>
          <w:tcPr>
            <w:tcW w:w="336" w:type="pct"/>
            <w:tcBorders>
              <w:top w:val="single" w:color="000000" w:sz="4" w:space="0"/>
              <w:left w:val="single" w:color="000000" w:sz="4" w:space="0"/>
              <w:bottom w:val="single" w:color="000000" w:sz="4" w:space="0"/>
              <w:right w:val="single" w:color="000000" w:sz="4" w:space="0"/>
            </w:tcBorders>
            <w:noWrap/>
            <w:vAlign w:val="center"/>
          </w:tcPr>
          <w:p w14:paraId="047B30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ign w:val="center"/>
          </w:tcPr>
          <w:p w14:paraId="09B40A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r>
      <w:tr w14:paraId="42D2B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04783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DAC5C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9C947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1、地上部分接线安装调试：合理规划线路走向，采用标准化接线方式，确保接线牢固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2、柜子设备安装：合理规划设备摆放位置，确保操作方便。</w:t>
            </w:r>
          </w:p>
        </w:tc>
        <w:tc>
          <w:tcPr>
            <w:tcW w:w="336" w:type="pct"/>
            <w:tcBorders>
              <w:top w:val="single" w:color="000000" w:sz="4" w:space="0"/>
              <w:left w:val="single" w:color="000000" w:sz="4" w:space="0"/>
              <w:bottom w:val="single" w:color="000000" w:sz="4" w:space="0"/>
              <w:right w:val="single" w:color="000000" w:sz="4" w:space="0"/>
            </w:tcBorders>
            <w:noWrap/>
            <w:vAlign w:val="center"/>
          </w:tcPr>
          <w:p w14:paraId="1CC830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23" w:type="pct"/>
            <w:tcBorders>
              <w:top w:val="single" w:color="000000" w:sz="4" w:space="0"/>
              <w:left w:val="single" w:color="000000" w:sz="4" w:space="0"/>
              <w:bottom w:val="single" w:color="000000" w:sz="4" w:space="0"/>
              <w:right w:val="single" w:color="000000" w:sz="4" w:space="0"/>
            </w:tcBorders>
            <w:noWrap/>
            <w:vAlign w:val="center"/>
          </w:tcPr>
          <w:p w14:paraId="4EECFB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847D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BF8CC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6BBA7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实验服</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CE541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可分为大中小号</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62846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133A5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0277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25BC6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1C7A3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护目镜</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61DFD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侧面完全遮挡，耐酸碱，抗冲击，耐磨，便于清洗</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E91FD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A817C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C37D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1066E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2C265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乳胶手套</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EEA5A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耐酸碱</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62956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副</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AE634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2797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1103F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F2134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一次性PE手套</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13607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塑料材质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28992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215F7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554B8C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38EF7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FB4C1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仪器车</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42787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参数同序号21-9一致。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74803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辆</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F031F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4949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C32CF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0A1A4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整理箱</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4F581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PP材质，储存及分发试剂用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A5C07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8CBDC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0736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2B006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AC425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大托盘</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9DDFA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参数同序号21-11一致。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A011D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8D03C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65DD0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291EF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EEA06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小托盘</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FEA9D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300mm×200mm×40mm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27342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BC652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65AD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F1973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31BCF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实验用品提篮</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4B913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木制，配有提手，</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490mm×360mm×290mm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0F35C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80401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AFF15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548B8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30589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打孔器</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1F90E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刀口式，材质为不锈钢管、钢管或黄铜管，每组不少于4支，外径分别为9mm、8mm、7mm、6mm，并配一支带柄金属通扦</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7B9C8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9F719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D60B0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3CA22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39746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打孔夹板</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FC168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参数同序号21-28一致。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A125C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9F835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ED24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4488B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A5EB6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打孔器刮刀</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816876A">
            <w:pPr>
              <w:keepNext w:val="0"/>
              <w:keepLines w:val="0"/>
              <w:widowControl/>
              <w:numPr>
                <w:ilvl w:val="0"/>
                <w:numId w:val="12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刮刀宜用65M板制成，表面热处理，55HRC～60HRC，总长为 70mm±0.5mm，宽14.5mm±0.1mm，厚1.8mm±0.5mm</w:t>
            </w:r>
            <w:r>
              <w:rPr>
                <w:rFonts w:hint="eastAsia" w:ascii="宋体" w:hAnsi="宋体" w:cs="宋体"/>
                <w:i w:val="0"/>
                <w:iCs w:val="0"/>
                <w:color w:val="auto"/>
                <w:kern w:val="0"/>
                <w:sz w:val="22"/>
                <w:szCs w:val="22"/>
                <w:highlight w:val="none"/>
                <w:u w:val="none"/>
                <w:lang w:val="en-US" w:eastAsia="zh-CN" w:bidi="ar"/>
              </w:rPr>
              <w:t>。</w:t>
            </w:r>
          </w:p>
          <w:p w14:paraId="1A92CE54">
            <w:pPr>
              <w:keepNext w:val="0"/>
              <w:keepLines w:val="0"/>
              <w:widowControl/>
              <w:numPr>
                <w:ilvl w:val="0"/>
                <w:numId w:val="12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刀口角度宜为60°±5°，锋刃＜0.1mm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CD398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95842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A374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B0181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35584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低压测电器</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EC435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笔式，氖泡式，测电极长≤10mm，测量范围100V～500V，辉光应稳定不闪烁</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0E664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D9C20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016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12A4F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C587C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一字螺丝刀</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C6AFB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参数同序号21-13一致。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AF9BF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BD304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74DD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613E6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024C8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十字螺丝刀</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51754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参数同序号21-14一致。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C2DB7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72C0A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A86D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D0C46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78BF2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钢手锯</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10C5221">
            <w:pPr>
              <w:keepNext w:val="0"/>
              <w:keepLines w:val="0"/>
              <w:widowControl/>
              <w:numPr>
                <w:ilvl w:val="0"/>
                <w:numId w:val="12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A型（单面）300mm，齿数：18（每25mm）</w:t>
            </w:r>
            <w:r>
              <w:rPr>
                <w:rFonts w:hint="eastAsia" w:ascii="宋体" w:hAnsi="宋体" w:cs="宋体"/>
                <w:i w:val="0"/>
                <w:iCs w:val="0"/>
                <w:color w:val="auto"/>
                <w:kern w:val="0"/>
                <w:sz w:val="22"/>
                <w:szCs w:val="22"/>
                <w:highlight w:val="none"/>
                <w:u w:val="none"/>
                <w:lang w:val="en-US" w:eastAsia="zh-CN" w:bidi="ar"/>
              </w:rPr>
              <w:t>。</w:t>
            </w:r>
          </w:p>
          <w:p w14:paraId="3405F19C">
            <w:pPr>
              <w:keepNext w:val="0"/>
              <w:keepLines w:val="0"/>
              <w:widowControl/>
              <w:numPr>
                <w:ilvl w:val="0"/>
                <w:numId w:val="12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可调钢锯架，前后固定销与相应孔的配合间隙≤0.3mm；安装锯条后，锯条中心平面与锯架中心平面的平行度≤2mm</w:t>
            </w:r>
            <w:r>
              <w:rPr>
                <w:rFonts w:hint="eastAsia" w:ascii="宋体" w:hAnsi="宋体" w:cs="宋体"/>
                <w:i w:val="0"/>
                <w:iCs w:val="0"/>
                <w:color w:val="auto"/>
                <w:kern w:val="0"/>
                <w:sz w:val="22"/>
                <w:szCs w:val="22"/>
                <w:highlight w:val="none"/>
                <w:u w:val="none"/>
                <w:lang w:val="en-US" w:eastAsia="zh-CN" w:bidi="ar"/>
              </w:rPr>
              <w:t>。</w:t>
            </w:r>
          </w:p>
          <w:p w14:paraId="10C3747B">
            <w:pPr>
              <w:keepNext w:val="0"/>
              <w:keepLines w:val="0"/>
              <w:widowControl/>
              <w:numPr>
                <w:ilvl w:val="0"/>
                <w:numId w:val="12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钢锯在达到 99N拉力后经1min，不应有永久变形，拉钉不得松动脱落</w:t>
            </w:r>
            <w:r>
              <w:rPr>
                <w:rFonts w:hint="eastAsia" w:ascii="宋体" w:hAnsi="宋体" w:cs="宋体"/>
                <w:i w:val="0"/>
                <w:iCs w:val="0"/>
                <w:color w:val="auto"/>
                <w:kern w:val="0"/>
                <w:sz w:val="22"/>
                <w:szCs w:val="22"/>
                <w:highlight w:val="none"/>
                <w:u w:val="none"/>
                <w:lang w:val="en-US" w:eastAsia="zh-CN" w:bidi="ar"/>
              </w:rPr>
              <w:t>。</w:t>
            </w:r>
          </w:p>
          <w:p w14:paraId="4FF4361E">
            <w:pPr>
              <w:keepNext w:val="0"/>
              <w:keepLines w:val="0"/>
              <w:widowControl/>
              <w:numPr>
                <w:ilvl w:val="0"/>
                <w:numId w:val="12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钢板制锯架在达到900N张力时，侧弯不得超过1.8mm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A3105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545A8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B438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966A8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ECCAE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剥线钳</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4EFF1B4">
            <w:pPr>
              <w:keepNext w:val="0"/>
              <w:keepLines w:val="0"/>
              <w:widowControl/>
              <w:numPr>
                <w:ilvl w:val="0"/>
                <w:numId w:val="13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自动剥线钳，</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0.5mm～</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2.5mm</w:t>
            </w:r>
            <w:r>
              <w:rPr>
                <w:rFonts w:hint="eastAsia" w:ascii="宋体" w:hAnsi="宋体" w:cs="宋体"/>
                <w:i w:val="0"/>
                <w:iCs w:val="0"/>
                <w:color w:val="auto"/>
                <w:kern w:val="0"/>
                <w:sz w:val="22"/>
                <w:szCs w:val="22"/>
                <w:highlight w:val="none"/>
                <w:u w:val="none"/>
                <w:lang w:val="en-US" w:eastAsia="zh-CN" w:bidi="ar"/>
              </w:rPr>
              <w:t>。</w:t>
            </w:r>
          </w:p>
          <w:p w14:paraId="60CC371B">
            <w:pPr>
              <w:keepNext w:val="0"/>
              <w:keepLines w:val="0"/>
              <w:widowControl/>
              <w:numPr>
                <w:ilvl w:val="0"/>
                <w:numId w:val="13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刃口在闭合状态，刃口间隙应≤0.3mm</w:t>
            </w:r>
            <w:r>
              <w:rPr>
                <w:rFonts w:hint="eastAsia" w:ascii="宋体" w:hAnsi="宋体" w:cs="宋体"/>
                <w:i w:val="0"/>
                <w:iCs w:val="0"/>
                <w:color w:val="auto"/>
                <w:kern w:val="0"/>
                <w:sz w:val="22"/>
                <w:szCs w:val="22"/>
                <w:highlight w:val="none"/>
                <w:u w:val="none"/>
                <w:lang w:val="en-US" w:eastAsia="zh-CN" w:bidi="ar"/>
              </w:rPr>
              <w:t>。</w:t>
            </w:r>
          </w:p>
          <w:p w14:paraId="5DA23992">
            <w:pPr>
              <w:keepNext w:val="0"/>
              <w:keepLines w:val="0"/>
              <w:widowControl/>
              <w:numPr>
                <w:ilvl w:val="0"/>
                <w:numId w:val="13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刃口错位应≤0.2mm</w:t>
            </w:r>
            <w:r>
              <w:rPr>
                <w:rFonts w:hint="eastAsia" w:ascii="宋体" w:hAnsi="宋体" w:cs="宋体"/>
                <w:i w:val="0"/>
                <w:iCs w:val="0"/>
                <w:color w:val="auto"/>
                <w:kern w:val="0"/>
                <w:sz w:val="22"/>
                <w:szCs w:val="22"/>
                <w:highlight w:val="none"/>
                <w:u w:val="none"/>
                <w:lang w:val="en-US" w:eastAsia="zh-CN" w:bidi="ar"/>
              </w:rPr>
              <w:t>。</w:t>
            </w:r>
          </w:p>
          <w:p w14:paraId="638DB891">
            <w:pPr>
              <w:keepNext w:val="0"/>
              <w:keepLines w:val="0"/>
              <w:widowControl/>
              <w:numPr>
                <w:ilvl w:val="0"/>
                <w:numId w:val="13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钳口硬度应≥65 HRA或30HRC</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E704F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B84E7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85A27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6AF5B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14382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钢丝钳</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6C36E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参数同序号21-16一致。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726BC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A5AA7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40D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E5B42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8F0DD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钢锤</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37CB1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0.25 kg，羊角锤</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BE9C3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2D1DD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CB3D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6507B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9019B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活扳手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5B5D0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200mm，活动扳口和扳体头部以及蜗杆的硬度≥40HRC</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AEE44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0EBF3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F811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140DB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2938E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砂轮片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D87D982">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20mm～</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30mm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7F6FC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B01FC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691F5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8EB4D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B298A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软尺</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347AF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1500mm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BA97B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06DF3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63229D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D8BE9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B1298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托盘天平</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3A897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200g，0.2</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BA258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78A27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61C25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6D1BD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BE741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电子天平3</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7E391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500g， 0.01g</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34DC0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20453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9B05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241AE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99753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电子秒表</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67BDB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参数同序号21-63一致。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C8BB4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A3C39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18C54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C7B5A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483D3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红液温度计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22B9D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0℃～ 100℃，分度值1℃，示值误差＜1.5℃</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69152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C7CE3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3B9EA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FECDF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24-29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B124C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干湿球温度计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75A59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零下25℃至50℃，分度值0.2℃，观测湿度0%-100%</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F1487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A8987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34A8C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6C3A3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52CEF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计数器</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151F7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手持式</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9E4EB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B0817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30AAB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5EC06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20B56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双面刀片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6EA2B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43mm×22mm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7F0A7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E10D1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0538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81131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5606C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镊子1</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11ADF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尖头，140mm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6577F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AB80D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5AE8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890A9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714C2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镊子2</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BDA21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弯头，140mm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5A480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A2640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33F9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E128F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4154F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教学支架</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64162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方形座，含铁夹、复夹、铁圈，重心稳定不晃动，夹持器内侧应有垫衬</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C82D3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8E350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105F4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F4F9F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7A38A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三脚架</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E9D09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铁质，环内径75mm，高150mm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9EE67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BD2D4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603734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32450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07610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试管架</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F9D80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木质或塑料质，8孔，孔径21mm，立柱黏结牢固</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24E2A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8EF4D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1411E1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7AD7C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1A02F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量筒（10ml）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AF21A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5B8FD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98FE1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C99B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7BBEE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8A7E3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量筒（50ml）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7C4A4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D1E14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4E226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A22A6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E4BD1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24-39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402D7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量筒（100ml）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FECD7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F8F3C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3B92D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E93BE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6B4B0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8C37F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量筒（500ml）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24F55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56512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A7844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0200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C1264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AEADA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容量瓶</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D801A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45177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5105A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5F31A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BE185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6AE0B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试管1</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BCF1847">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12mm×70mm，透明硼硅酸盐玻璃制</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18337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26262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33031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816D6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37972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试管2</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740483A">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15mm×150mm，透明硼硅酸盐玻璃制</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CE58BC4">
            <w:pPr>
              <w:jc w:val="left"/>
              <w:rPr>
                <w:rFonts w:hint="eastAsia" w:ascii="宋体" w:hAnsi="宋体" w:eastAsia="宋体" w:cs="宋体"/>
                <w:i w:val="0"/>
                <w:iCs w:val="0"/>
                <w:color w:val="auto"/>
                <w:sz w:val="22"/>
                <w:szCs w:val="22"/>
                <w:highlight w:val="none"/>
                <w:u w:val="none"/>
              </w:rPr>
            </w:pP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A981C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AABF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4B3C4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BB6DA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烧杯（50ml）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C0AFA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E47D2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D19BF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432F3E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5F1AF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6175A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烧杯（100ml）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E45BB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F56C2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8657A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08E96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88475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416B1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烧杯（250ml）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B60A9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7A817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6F898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3A805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4CD12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144D1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烧杯（500ml）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FE610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EE2EE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0B254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49CCCD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B6991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CD05B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锥形瓶（100ml）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AF19E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2A025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B9001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3D40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B5579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24-49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C60D6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锥形瓶（250ml）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3A013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C39CD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7F9EF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w:t>
            </w:r>
          </w:p>
        </w:tc>
      </w:tr>
      <w:tr w14:paraId="79E71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56D22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2525A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广口瓶（60ml）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AE8AE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84473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540D6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FE51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09D28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D15A2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广口瓶（125ml）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F669E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60237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C6BA2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EF655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80420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31C69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广口瓶（250ml）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DA85F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AFF21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10553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051A1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BD91E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9DAC2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广口瓶（500ml）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FCE40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5E1C0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A0757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D378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0E7A1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0075B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细口瓶(60ml)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F7412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B3130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489FC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1C19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5AD60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E0307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细口瓶(125ml)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C9ABF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245CD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9286B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6F91B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4D6B1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78B4B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细口瓶(250ml)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06262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31BC6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4009A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72D60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30FE1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4300A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细口瓶(500ml)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F90D5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1365F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8DC8D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54D99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00204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D7214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细口瓶(1000ml)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A5794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0531C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A5D99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2921E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30523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24-59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36E3A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细口瓶(3000ml)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DA114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3000mL，黄棕色钠钙玻璃制，瓶塞与瓶口紧实，不晃动；口部应圆整光滑，底部应平整，放置平台上不应摇晃或转动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CFF32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99BBA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96A5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8F67D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88ABD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滴瓶(30ml)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83099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87E41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9F965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22BC4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7B130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43CFF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滴瓶(60ml)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3F368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9D0B9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3763E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7854AD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489A1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A8B30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茶色滴瓶(30ml)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348D7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D72D3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4B5A1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710F9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1B546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3505D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茶色滴瓶(60ml)</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8282A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85D82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E4B4F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1C4B7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1B548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DF812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培养皿(60mm)</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F6B07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60mm</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41AC0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C5D3C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02B9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23A48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F3DF6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培养皿(90mm)</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473D4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90mm</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A87E3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613D5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76A5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F1492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4BD50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干燥器</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D45E7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磨口平整，密封严实，隔板大小合适，不少于5个圆孔</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A60E3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125DD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0D69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336F9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C8AAD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干燥管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BD535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U型，</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15mm×150mm，硼硅酸盐玻璃制，玻璃壁厚度适中，球体圆润，导气管长度≥2cm，最好有防滑脱沟槽</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96F1A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50F32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7585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87E2E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9B4CB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漏斗</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476BA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60mm，直径准确，锥度适中</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9E3C4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BDF3D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467E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F63BF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24-69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7D71F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三通连接管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E47F5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Y形，</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7mm～</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8mm，连接完好，管口应作打磨或烧结处理</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CDCBE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DA34D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D6EE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CEB18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72C19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39FB4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150mm，直形，滴管尖嘴口径1mm，上端有防滑脱翻口，翻口处直径比滴管直径略多1mm～2mm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1A3D3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88BF9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w:t>
            </w:r>
          </w:p>
        </w:tc>
      </w:tr>
      <w:tr w14:paraId="7DEA9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25D8A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56C27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玻璃钟罩</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AA4C087">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150mm×280mm，玻璃壁厚度＞3mm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44055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1D3B4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154E2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46060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968F4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载玻片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3CE25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无色透明，平整</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36964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1157C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44246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E0154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4B767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盖玻片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DA9B9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无色透明，平整</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A6B99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30DBB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0B80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B6B0C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698A4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酒精灯</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1B110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参数同序号21-41一致。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50E20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19927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3D83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0EB99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3DE89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E99AFCA">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5mm～</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6mm，中性料，管口应打磨或烧结，避免划伤事故</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5935C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F0551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03A9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973EE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3C01F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玻璃弯管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2862F25">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7mm～</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8mm，一端长度为6cm～7cm，一端长度约20cm，形状为直角和钝角两种，管口应打磨或烧结，避免划伤事故</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80A37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2F4B1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0.5</w:t>
            </w:r>
          </w:p>
        </w:tc>
      </w:tr>
      <w:tr w14:paraId="6763F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8FC7E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37E32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玻璃棒</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9752AA4">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3mm～</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4mm，粗细均匀</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06471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4A0DD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566A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C9F9E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C8729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试管夹</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0E8B7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木制或竹制，长度≥200mm，宽度20mm，厚度20mm；试管夹闭口缝≤1mm，开口距≥25mm；毡块黏结牢固，试管夹弹簧作防锈处理，试管夹持部位圆弧内径≤15mm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296C3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ED9FB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5C47A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02A4B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24-79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F4BCA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止水皮管夹</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60D9B44">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3mm 钢丝制成，作防锈处理，夹持角度≥60º，弹性好，不漏液</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B851C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41ACE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5A052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2C6F0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AFA9A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陶土网</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0F8D2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参数同序号21-44一致。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470F8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51CD7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3A1EF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2F90F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1C17E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燃烧匙</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10736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铜勺，勺</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18mm，深10mm，铁柄，柄长300mm，长柄和铜勺连接稳定结实</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75A8C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F8054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64DCB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2C272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C542D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药匙</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B7AF7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长度≥13cm， 带小勺，材质可选金属、牛角、塑料</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313A2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0B2DC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2D7D4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550DF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E5F76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橡胶塞</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ABED0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参数同序号21-35一致。</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73CD3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5BF68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4FC9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6376A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4137F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橡胶管</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3F50C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外径9mm，内径6mm，乳白色，具有耐油、耐酸碱、耐压等特性</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B6B66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D7386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6E21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BDB79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0AE9B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试管刷（Φ12mm）</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B077ABA">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12mm</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FF8FB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A0FD5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9378D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D020C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46421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试管刷（Φ18mm）</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9243046">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18mm</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52F2C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99ADC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C7973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4629D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24FF1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研钵</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93FEC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90mm，瓷制</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027BC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74127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8DCE5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6BB32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B2CDB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记数载玻片（计数板）</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F1512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计数区边长为1mm，由400个小方格组成</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61F39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BD4E8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50D7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15AEB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24-89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1CFD5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枝剪</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FF1EB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高碳钢</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09F47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ACF8A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4843D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A25AF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C0971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水网</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A0B1D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网口内径50cm，网身长145cm，网目孔径≤1mm</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1E9A2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48055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62A2F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71BD3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3F5FC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保温桶</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AFAE6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1L～2L</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AE6BB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3741C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F4A7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AEE6E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D6D26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标记笔</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ED2F1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双头，油性墨水</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46969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D2482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296E7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ABE3B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69814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字母装片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ACA16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“e”或“b”，多重染色</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4B56F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782E4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1B22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98AEF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B2EFA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生物显微镜</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C0C0162">
            <w:pP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目镜：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①宽视野WF10X目镜；视野直径18mm,工作距离24.95mm。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②目镜放大率准确度不超过±1.2%。</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2.物镜：  ①齐焦：10X➝ 4X: ≤±0.048；10X➝ 40X: ≤±0.032；40X➝100X: ≤±0.012。</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②10倍物镜景深范围内像面偏摆：≤0.08mm。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3.物镜共轭距离：195mm。</w:t>
            </w:r>
          </w:p>
          <w:p w14:paraId="0FCFD55B">
            <w:pP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5.转换器：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① 滚动轴承结构，定位准确保证显微镜齐焦和中心统一。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②转换器定位稳定性：≤0.020mm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6.载物台：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① 双层机械式载物台；面积115*125mm。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② X,Y方向移动范围40*60mm; 移动精度0.1mm。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③载物台侧向受5N水平方向作用力最大位移≤0.004mm；不重复性≤0.002mm。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7.调焦系统：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①符合人体工程学的大手轮低手位粗、微同轴的齿轮齿条调焦机构，粗调范围≥30mm，微调≤0.2mm。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②微调机构空回≤0.008mm。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8.聚光镜：聚光镜(N.A:1.25)。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9.光源系统：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① 独立开关5V/0.1W LED光源，亮度连续可调， LED灯光柔和寿命长（约100000小时）安全性好，发热少。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②照明系统与观察系统光轴应一致；照明均匀，无一边亮一边暗或拦光现象。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10.双目系统</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①双目系统左右视场像面方位差≤</w:t>
            </w:r>
            <w:r>
              <w:rPr>
                <w:rFonts w:hint="eastAsia" w:ascii="宋体" w:hAnsi="宋体" w:cs="宋体"/>
                <w:i w:val="0"/>
                <w:iCs w:val="0"/>
                <w:color w:val="auto"/>
                <w:kern w:val="0"/>
                <w:sz w:val="22"/>
                <w:szCs w:val="22"/>
                <w:highlight w:val="none"/>
                <w:u w:val="none"/>
                <w:lang w:val="en-US" w:eastAsia="zh-CN" w:bidi="ar"/>
              </w:rPr>
              <w:t>40</w:t>
            </w: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②双目系统左右视场中心偏差(mm)上下≤</w:t>
            </w:r>
            <w:r>
              <w:rPr>
                <w:rFonts w:hint="eastAsia" w:ascii="宋体" w:hAnsi="宋体" w:cs="宋体"/>
                <w:i w:val="0"/>
                <w:iCs w:val="0"/>
                <w:color w:val="auto"/>
                <w:kern w:val="0"/>
                <w:sz w:val="22"/>
                <w:szCs w:val="22"/>
                <w:highlight w:val="none"/>
                <w:u w:val="none"/>
                <w:lang w:val="en-US" w:eastAsia="zh-CN" w:bidi="ar"/>
              </w:rPr>
              <w:t>0.5</w:t>
            </w:r>
            <w:r>
              <w:rPr>
                <w:rFonts w:hint="eastAsia" w:ascii="宋体" w:hAnsi="宋体" w:eastAsia="宋体" w:cs="宋体"/>
                <w:i w:val="0"/>
                <w:iCs w:val="0"/>
                <w:color w:val="auto"/>
                <w:kern w:val="0"/>
                <w:sz w:val="22"/>
                <w:szCs w:val="22"/>
                <w:highlight w:val="none"/>
                <w:u w:val="none"/>
                <w:lang w:val="en-US" w:eastAsia="zh-CN" w:bidi="ar"/>
              </w:rPr>
              <w:t>；左右外侧≤</w:t>
            </w:r>
            <w:r>
              <w:rPr>
                <w:rFonts w:hint="eastAsia" w:ascii="宋体" w:hAnsi="宋体" w:cs="宋体"/>
                <w:i w:val="0"/>
                <w:iCs w:val="0"/>
                <w:color w:val="auto"/>
                <w:kern w:val="0"/>
                <w:sz w:val="22"/>
                <w:szCs w:val="22"/>
                <w:highlight w:val="none"/>
                <w:u w:val="none"/>
                <w:lang w:val="en-US" w:eastAsia="zh-CN" w:bidi="ar"/>
              </w:rPr>
              <w:t>0.5</w:t>
            </w:r>
            <w:r>
              <w:rPr>
                <w:rFonts w:hint="eastAsia" w:ascii="宋体" w:hAnsi="宋体" w:eastAsia="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1BA43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D39D0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63BB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44A86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6EED3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放大镜</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9107E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手持式，有效通光孔径≥40mm，5倍</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2B7CD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978BE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676E9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85FC9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39EDA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洋葱鳞片叶表皮装片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0D090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细胞质着色均匀，细胞核明显，细胞界限清晰</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6D121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41D28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6999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CD011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0AC32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植物细胞模型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126E8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以洋葱表皮细胞为参考材料，示细胞壁、细胞膜、细胞质、细胞核、核仁和液泡等结构</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C3B1B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C1E73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367A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46885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295B7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动物细胞模型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616B9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示细胞膜、细胞质、细胞核、核仁等结构</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1E8AD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41981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E8406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E6540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24-99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31ADB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草履虫模型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83EE1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草履虫纵剖模型，各部着色应协调，并能相互区分</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5E20B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DC970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5AF7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66C20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5B774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植物细胞有丝分裂切片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9A376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洋葱根尖纵切，应显示处于分裂前期、中期、后期、末期的细胞，分裂各期染色体的形态特征典型，分裂中期和后期纺锤丝隐约可见，细胞核、核仁、染色体应着色明显，细胞质色淡</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3B941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83E05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5CAD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4046B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78E72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单层扁平上皮装片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704B6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取材于动物的肠系膜等，应能看清由边缘不规则而呈锯齿状的扁平细胞组成的单层上皮</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0ED7A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8966F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F446D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54BD0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4DA5E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纤维结缔组织切片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BADD5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腱纵切，取材于哺乳动物或两栖动物的跟腱或尾腱，应能看清平行排列的胶原纤维束和呈不规则四边形的腱细胞</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1D379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F82AE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1866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40002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70E01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疏松结缔组织装片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77E6D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取材于哺乳细胞的皮下结缔组织，应能看清纵横交错的胶原纤维和弹力纤维以及大量的成纤维细胞</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8089B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E039A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12DC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B6E2F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FBBE0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骨骼肌纵横切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324E6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取材于哺乳动物的膈肌，应能看清肌外膜、肌束膜、肌纤维膜、肌纤维及其细胞核和小血管等</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C5DB4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ABD10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D97F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9D07E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3D640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平滑肌分离装片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C76D7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取材于两栖动物或哺乳动物消化管的基层，应能看清大部分被分离成单个的长梭形平滑肌细胞</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B5D49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36733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F377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73429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D2E28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心肌切片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62ADE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取材于哺乳动物的心脏，应能看清柱状并具有分枝的肌纤维（肌细胞）</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4E6CF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BFE47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F13D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6DB7A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5F52E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运动神经元装片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14B1F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应能看清运动神经元的细胞体和突起、细胞核以及少量的神经纤维</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64D27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16FA4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BC35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7AAA0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B6B23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玉米种子纵切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AB426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应显示子叶、胚芽、胚芽鞘、胚轴、胚根和胚根鞘</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4206A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D22CB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1ED6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7E4D6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24-109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170BF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根纵剖模型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7A048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应以单子叶植物玉米的根尖为参考材料，示根尖的解剖结构，根尖中部做不同方向的纵剖面，突出维管柱，示根冠、分生区、伸长区、成熟区和原形成层等</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95881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B8DEF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2369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FD256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F7A99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植物根尖纵切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64F34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应取材于玉米根，取材部位为根冠至根毛区，应明显显示根冠、分生区、伸长区、根毛区和原形成层等</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55FEC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677DF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5EB0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2D448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3E63E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顶芽纵切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D0BA2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应取材于黑藻顶芽，应能看清生长锥、叶原基、幼叶、腋芽原基和芽轴，生长锥及幼叶处细胞不应有明显的“质壁分离”现象</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D8126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B6ED1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17FB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746F6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24087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桃花模型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F4726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放大的盛开状态的桃花模型，花冠的直径200mm±15mm，示花柄、花托、花萼、花冠、雄蕊和雌蕊，花瓣、雌蕊可拆装，子房做纵剖</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49821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BD08D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30FD7A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ADDB3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73A25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单子叶植物茎模型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95795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应明显显示表皮、机械组织、薄壁细胞、维管束、维管束鞘、环纹导管、螺纹导管、孔纹导管、筛管和伴胞、气道，各结构应位置准确，修饰自然、正确</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99F22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D1FBC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0224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54018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29523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双子叶草本植物茎模型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DF9AE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应以向日葵茎为参考材料，示双子叶草本植物茎纵、横切面的结构，应示角质层、表皮、厚角组织、薄壁组织、维管束、髓、髓射线、环纹导管、螺纹导管、孔纹导管、筛管和伴胞、形成层各部位</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F73E4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ECE3B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8B713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3B0FB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A2217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导管、筛管结构模型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6A4CF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显微结构的立体放大模型，包括环纹导管、螺纹导管、网纹导管、孔纹导管及筛管，形态结构应正确、自然</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98E7A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CFEB3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5B3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299FD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1FF7A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木本双子叶植物茎横切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598A8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取材于三年生椴木枝，应能看清表皮、木栓层、厚角组织、皮层、韧皮部、形成层、木质部、髓部和髓射线</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EA8C0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83C9A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7F37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48424E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8683C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南瓜茎纵切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C988E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应能看清皮层、机械组织、薄壁组织、双韧维管束和髓腔，在双韧维管束的纵断面上应能看清网纹导管或环纹导管或螺纹导管中的两种和筛管、筛板等结构</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E7A3C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30062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E440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A6E03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BB2F4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叶构造模型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CC547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以蚕豆叶为参考材料，示双子叶植物叶的构造，示上表皮、下表皮、栅栏组织、海绵组织、主脉、侧脉、木质部、韧皮部、形成层、气孔等部位</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40899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D07AF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92B4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81531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24-119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FED8C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迎春叶横切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8CFE7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应显示叶片横断面的上下表皮、栅栏组织、海绵组织及叶脉等</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2CBD8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9D1C6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4C51A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5F9CA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5A99C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人体半身模型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98CE9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自然大，橡胶制，示消化系统、呼吸系统、泌尿系统</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C402B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8E4A7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B3D82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3E111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209C2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小肠切片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6DFA3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应能看清粘膜，包括绒毛、粘膜肌层和肠腺，粘膜下层、肌层和浆膜等</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D96D6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72BF0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66F5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7BCC8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5F0E8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喉解剖模型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3B994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应正确显示喉软骨、喉肌、喉腔、喉口等结构特征</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AF425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8A42C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53EC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7A79A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298D7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肺泡模型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4FD7A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应正确显示细支气管、呼吸性细支气管、肺泡管、肺泡囊、肺泡、肺泡隔、肺动脉、肺静脉、肺泡毛细血管网、支气管动脉、支气管静脉、平滑肌、弹性纤维等结构特征</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8A24B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B5AD0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D1F8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D0689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D9BCA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膈肌运动模拟器</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38466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高度250mm±15mm，宽度或直径220mm±15mm，膈的直径（或长径）≥170mm；应模拟显示胸腔、膈、气管、支气管、肺（或肺泡）等结构</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0B7CB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73D54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AFED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02CCA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93F45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人血涂片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86397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染色均匀，能看清红血细胞和白血细胞，细胞不重叠、无变形和自溶现象</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77909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9711F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19EEC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32043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82602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动静脉血管横切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6AD86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取材于哺乳动物的腹主动脉和下腔静脉，内皮应 90%以上完整</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B5EB6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7F1C9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50FC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3432F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C55EB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心脏解剖模型1</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84659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三倍自然大，示上腔静脉、下腔静脉、主动脉、肺动脉、动脉韧带、左冠状动脉、右冠状动脉、冠状窦，左心房、右心房、左心室、右心室、二尖瓣、三尖瓣、主动脉瓣、肺动脉瓣、卵圆窝、冠状窦口</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197DC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176A5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9126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C64A3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98955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心脏解剖模型2</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75554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自然大，示上腔静脉、下腔静脉、主动脉、肺动脉、左心房、右心房、左心室、右心室</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40520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5EA68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6ADFBD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57A27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24-129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26148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男性泌尿生殖系统模型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61986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自然大，结构清晰，位置精准，比例适宜</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D1708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CC01D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48F0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C5750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ABA23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女性泌尿生殖系统模型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B438F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自然大，结构清晰，位置精准，比例适宜</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4A67B5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6A38A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165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22DF3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E1BCB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肾单位、肾小体模型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87A67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肾单位模型≥400mm×240mm，示肾小体、肾小管和集合管等；肾小体模型直径≥100mm，半剖，示肾小球、肾小囊、入球小动脉和出球小动脉等</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ECF24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26780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949B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DC09F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4A468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眼球解剖模型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97E80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6倍自然大，应采用硬质热塑性塑料制作，角膜、虹膜应完整显示，两者和眼球内的晶状体、玻璃体分别可拆下，各部的肌肉、膜壁、血管和神经等的形态结构、位置、比例、颜色均应正确自然</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5284F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889B5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6C2C9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33CD1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CA52B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眼球仪</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20CA7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由放大的成人眼球模型、晶状体曲度调节器、光源、矫正镜盘、视网膜成像显示屏及手持式显示屏等组成</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816E6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D3CAE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34F4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8B905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49A28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耳解剖模型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30155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5倍自然大1、各部分的形态、位置、比例和颜色等均应正确自然；为了防止变形或脆裂，应采用硬塑或混合树脂制作，不得采用软塑料。</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892EE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F9244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4C7C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986A9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FF94B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脑解剖模型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EEABB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自然大，大脑做正中矢状切面，左侧脑半球经外侧沟向枕部再做水平切面，并保留完整的脑干形态，应示大脑、小脑、延髓、脑桥、上下丘、胼胝体、透明隔、嗅球、视神经、动眼神经等部位</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D9C8B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76DCB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EFE5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077E8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00342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脊髓横切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D3AFD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应能看清被膜、灰质和白质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0BE32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17ED6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5155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C455A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BCD20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橡皮锤</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6A82F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膝跳反射用</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8417A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A49A4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0EAEE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2401C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022BF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人体骨骼模型1</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12DA2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850mm，各部分骨的形态特征，应正确清晰，富有真实感，骨缝应清楚，骨性鼻腔，眶及所有孔，管、沟、裂显示应正确自然</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64E89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EC5E4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2E6A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8E14C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24-139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4CA39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人体肌肉模型</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38342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850mm全身，示浅层肌及部分深层肌</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E641A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FA9A0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4C8D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16C95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9EDFC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家蚕生活史标本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38B66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E29D3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59426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4F8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75AEEA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3768D5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蝗虫生活史标本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3DAA4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49C37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0853A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5FF2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6D227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7A7D28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蜜蜂生活史标本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6C9459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A14B4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BEBAF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2A0E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42D4B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A2043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菜粉蝶生活史标本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5D9326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9D193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D80D6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1732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22BE5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53EC3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蛙发育顺序标本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2CDBC5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浸制或包埋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F1D7C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瓶/块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4AC17A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623EE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58531C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24-145</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A42BA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正常人染色体装片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503F0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多重染色</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6A8658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3386FF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AE1E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622161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24-146</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E8882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蛔虫标本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0E8060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雌、雄各一条，浸制或包埋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0F4258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瓶/块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114B6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3F97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C9828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24-147</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5DFE0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节肢动物标本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B424B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常见六种以上，干制或包埋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2E601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3C4CB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416F9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1BC19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24-148</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B1C4F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昆虫标本</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45BADA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常见六种以上，干制或包埋</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770169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盒/块</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6D9743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7007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189CB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24-149</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54F240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细菌三型涂片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127259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示球菌、杆菌、螺旋菌三种形态</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4140F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F45CF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4D34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30C147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24-150</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189764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酵母菌装片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52936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应能看清细胞壁、细胞核、细胞质、液泡和细胞膜等结构，可见芽体</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2075BC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1749E6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A1BB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6A745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24-151</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401262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青霉装片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968E4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应能看清分生孢子梗和顶端的扫帚枝，菌丝、孢子梗、孢子应无收缩</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7834F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7C9B66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ABA3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2CB023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24-152</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02E109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曲霉装片</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36281B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应能看清营养菌丝及其上的分生孢子梗、顶囊和顶端的分生孢子</w:t>
            </w:r>
            <w:r>
              <w:rPr>
                <w:rFonts w:hint="eastAsia" w:ascii="宋体" w:hAnsi="宋体" w:cs="宋体"/>
                <w:i w:val="0"/>
                <w:iCs w:val="0"/>
                <w:color w:val="auto"/>
                <w:kern w:val="0"/>
                <w:sz w:val="22"/>
                <w:szCs w:val="22"/>
                <w:highlight w:val="none"/>
                <w:u w:val="none"/>
                <w:lang w:val="en-US" w:eastAsia="zh-CN" w:bidi="ar"/>
              </w:rPr>
              <w:t>。。</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3DF328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5235F6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3B1EF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1DF5F1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24-153</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6EC71E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pH 广泛试纸</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61F4A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1～14</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15F769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08B246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w:t>
            </w:r>
          </w:p>
        </w:tc>
      </w:tr>
      <w:tr w14:paraId="4EA97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3" w:type="pct"/>
            <w:tcBorders>
              <w:top w:val="single" w:color="000000" w:sz="4" w:space="0"/>
              <w:left w:val="single" w:color="000000" w:sz="4" w:space="0"/>
              <w:bottom w:val="single" w:color="000000" w:sz="4" w:space="0"/>
              <w:right w:val="single" w:color="000000" w:sz="4" w:space="0"/>
            </w:tcBorders>
            <w:noWrap w:val="0"/>
            <w:vAlign w:val="center"/>
          </w:tcPr>
          <w:p w14:paraId="0F74FC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24-154</w:t>
            </w:r>
          </w:p>
        </w:tc>
        <w:tc>
          <w:tcPr>
            <w:tcW w:w="565" w:type="pct"/>
            <w:tcBorders>
              <w:top w:val="single" w:color="000000" w:sz="4" w:space="0"/>
              <w:left w:val="single" w:color="000000" w:sz="4" w:space="0"/>
              <w:bottom w:val="single" w:color="000000" w:sz="4" w:space="0"/>
              <w:right w:val="single" w:color="000000" w:sz="4" w:space="0"/>
            </w:tcBorders>
            <w:noWrap w:val="0"/>
            <w:vAlign w:val="center"/>
          </w:tcPr>
          <w:p w14:paraId="26AC5A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定性滤纸</w:t>
            </w:r>
          </w:p>
        </w:tc>
        <w:tc>
          <w:tcPr>
            <w:tcW w:w="3251" w:type="pct"/>
            <w:tcBorders>
              <w:top w:val="single" w:color="000000" w:sz="4" w:space="0"/>
              <w:left w:val="single" w:color="000000" w:sz="4" w:space="0"/>
              <w:bottom w:val="single" w:color="000000" w:sz="4" w:space="0"/>
              <w:right w:val="single" w:color="000000" w:sz="4" w:space="0"/>
            </w:tcBorders>
            <w:noWrap w:val="0"/>
            <w:vAlign w:val="center"/>
          </w:tcPr>
          <w:p w14:paraId="76FBCD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125mm</w:t>
            </w:r>
          </w:p>
        </w:tc>
        <w:tc>
          <w:tcPr>
            <w:tcW w:w="336" w:type="pct"/>
            <w:tcBorders>
              <w:top w:val="single" w:color="000000" w:sz="4" w:space="0"/>
              <w:left w:val="single" w:color="000000" w:sz="4" w:space="0"/>
              <w:bottom w:val="single" w:color="000000" w:sz="4" w:space="0"/>
              <w:right w:val="single" w:color="000000" w:sz="4" w:space="0"/>
            </w:tcBorders>
            <w:noWrap w:val="0"/>
            <w:vAlign w:val="center"/>
          </w:tcPr>
          <w:p w14:paraId="568511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23" w:type="pct"/>
            <w:tcBorders>
              <w:top w:val="single" w:color="000000" w:sz="4" w:space="0"/>
              <w:left w:val="single" w:color="000000" w:sz="4" w:space="0"/>
              <w:bottom w:val="single" w:color="000000" w:sz="4" w:space="0"/>
              <w:right w:val="single" w:color="000000" w:sz="4" w:space="0"/>
            </w:tcBorders>
            <w:noWrap w:val="0"/>
            <w:vAlign w:val="center"/>
          </w:tcPr>
          <w:p w14:paraId="224EED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bl>
    <w:p w14:paraId="7D2A0764">
      <w:pPr>
        <w:pStyle w:val="33"/>
        <w:rPr>
          <w:rFonts w:hint="eastAsia"/>
          <w:color w:val="auto"/>
          <w:highlight w:val="none"/>
        </w:rPr>
      </w:pPr>
    </w:p>
    <w:tbl>
      <w:tblPr>
        <w:tblStyle w:val="43"/>
        <w:tblW w:w="6009" w:type="pct"/>
        <w:tblInd w:w="-89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4"/>
        <w:gridCol w:w="1132"/>
        <w:gridCol w:w="6887"/>
        <w:gridCol w:w="736"/>
        <w:gridCol w:w="881"/>
      </w:tblGrid>
      <w:tr w14:paraId="00D3E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337C23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化学实验室</w:t>
            </w:r>
          </w:p>
        </w:tc>
      </w:tr>
      <w:tr w14:paraId="093FD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2899B3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37" w:type="pct"/>
            <w:tcBorders>
              <w:top w:val="single" w:color="000000" w:sz="4" w:space="0"/>
              <w:left w:val="single" w:color="000000" w:sz="4" w:space="0"/>
              <w:bottom w:val="single" w:color="000000" w:sz="4" w:space="0"/>
              <w:right w:val="single" w:color="000000" w:sz="4" w:space="0"/>
            </w:tcBorders>
            <w:noWrap/>
            <w:vAlign w:val="center"/>
          </w:tcPr>
          <w:p w14:paraId="6B1061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67" w:type="pct"/>
            <w:tcBorders>
              <w:top w:val="single" w:color="000000" w:sz="4" w:space="0"/>
              <w:left w:val="single" w:color="000000" w:sz="4" w:space="0"/>
              <w:bottom w:val="single" w:color="000000" w:sz="4" w:space="0"/>
              <w:right w:val="single" w:color="000000" w:sz="4" w:space="0"/>
            </w:tcBorders>
            <w:noWrap/>
            <w:vAlign w:val="center"/>
          </w:tcPr>
          <w:p w14:paraId="2E1A71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49" w:type="pct"/>
            <w:tcBorders>
              <w:top w:val="single" w:color="000000" w:sz="4" w:space="0"/>
              <w:left w:val="single" w:color="000000" w:sz="4" w:space="0"/>
              <w:bottom w:val="single" w:color="000000" w:sz="4" w:space="0"/>
              <w:right w:val="single" w:color="000000" w:sz="4" w:space="0"/>
            </w:tcBorders>
            <w:noWrap/>
            <w:vAlign w:val="center"/>
          </w:tcPr>
          <w:p w14:paraId="5A7018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24BF7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0FD5F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197016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3FE200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学生实验桌</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45D7FD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参数同序号19-1一致。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9747C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6574BF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2887C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5618F9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25-2</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2B7C13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学生实验凳</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4592C5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参数同序号19-2一致。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8D41C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2B2569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r w14:paraId="099CE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016538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25-3</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7F99F4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学生电源</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3709D6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参数同序号22-3一致。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DD127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41153A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w:t>
            </w:r>
          </w:p>
        </w:tc>
      </w:tr>
      <w:tr w14:paraId="3DE45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0C005D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25-4</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48A756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水槽柜</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697F55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参数同序号22-4一致。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AF70B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03BBE2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14</w:t>
            </w:r>
          </w:p>
        </w:tc>
      </w:tr>
      <w:tr w14:paraId="14FC8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10B87B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25-5</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3BACD9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三联水嘴（强制采购节能产品）</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7CAB2A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参数同序号22-6一致。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81968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付</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3A2B8C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w:t>
            </w:r>
          </w:p>
        </w:tc>
      </w:tr>
      <w:tr w14:paraId="7EEF9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7372D5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25-6</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289F41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教师演示台</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18C6AB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参数同序号22-7一致。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2CA5F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051AD4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483F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5AAD05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25-7</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30129E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教师转椅</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402BFE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参数同序号19-6一致。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C0E63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03C0B0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3BF4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75F603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25-8</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745305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教师主控电源</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2A765218">
            <w:pPr>
              <w:keepNext w:val="0"/>
              <w:keepLines w:val="0"/>
              <w:widowControl/>
              <w:numPr>
                <w:ilvl w:val="0"/>
                <w:numId w:val="131"/>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操作面板：采用钢化玻璃材质，规格：≥长 418±3mm× 宽 218±3mm× 高≥3mm，搭配抽屉式设计，兼具美观与实用特性，既保证面板的耐用性和视觉效果，又便于日常操作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2、机身结构：运用钣金加强工艺打造，有效增强机身强度，确保在按压操作过程中稳固可靠，彻底消除塌陷风险，保障设备长期稳定使用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3、电路保护与控制：配备≥1 路漏电保护器，可对整个教室的学生电源和老师电源进行统一管控；同时设有≥4 路空气开关，能够将学生电源分为 4 组分别控制，实现灵活的电路管理与安全防护</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4、学生端控制功能：支持学生端批量操作控制，配备≥3 个触摸式按钮，分别为 “锁定同步”、“高压电”、“低压电”，方便教师快速对学生端电源进行多种模式的操作与管理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5、直流稳压输出：具备≥2 组独立的 9V40A 直流稳压输出，与教师电源输出相互独立，互不干扰，满足不同实验设备的用电需求，确保供电稳定</w:t>
            </w:r>
            <w:r>
              <w:rPr>
                <w:rFonts w:hint="eastAsia" w:ascii="宋体" w:hAnsi="宋体" w:cs="宋体"/>
                <w:i w:val="0"/>
                <w:iCs w:val="0"/>
                <w:color w:val="auto"/>
                <w:kern w:val="0"/>
                <w:sz w:val="22"/>
                <w:szCs w:val="22"/>
                <w:highlight w:val="none"/>
                <w:u w:val="none"/>
                <w:lang w:val="en-US" w:eastAsia="zh-CN" w:bidi="ar"/>
              </w:rPr>
              <w:t>。</w:t>
            </w:r>
          </w:p>
          <w:p w14:paraId="797C85BF">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6、教师电源输出控制：采用液晶智能旋钮控制教师电源输出，设有≥1 组标准香蕉接口用于输出稳压直流电，≥1组标准香蕉接口用于输出稳压交流电，可按需灵活切换交直流输出模式，满足多样化实验教学需求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7、液晶智能旋钮参数：液晶智能旋钮外尺寸≥49mm，旋钮中心配置 2 个≥3 位 LED 数码管显示屏，可实时显示电压和电流数值；通过旋钮可调节电压输出，并同步查看电流情况，方便教师精准控制电源输出参数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8、调压电源功率与电流：调压电源总功率≥90W，直流和交流输出在 0 至 18V 区间时，最大电流可达 6A；在 18V 至 30V 区间时，最大电流为 3A，适应不同电压和电流需求的实验设备运行</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9、电压精度：在无负载状态下，输出电压误差≤0.2V，确保电源输出电压的精准度，为实验提供稳定可靠的电力支持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10、交流插座配置：设有≥2 路五孔 220V 国标交流插座（二三插），适配多种常用电器设备，满足教室日常用电及实验设备的交流供电需求。</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6C3BE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707091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3688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04122A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25-9</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63140D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万向吸风罩</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52F7CE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1、主要用于实验室教学过程中，对化学实验产生的有害气体、粉尘等进行局部排风收集，通过管道将污染物排至室外，保护实验人员呼吸系统健康，适用于理化生实验室各类挥发性实验操作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2、采用可伸缩式活动关节设计，支持360°全方位旋转调节，便于精准定位</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3、安装方式：悬挂式安装，底座固定于天花板上</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【主体结构】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4、关节：采用高密度PP聚丙烯材质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5、关节密封圈：采用高密度橡胶材质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6、关节连接杆：采用304不锈钢材质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7、关节松紧旋钮：以高密度PP制成，内部嵌有不锈钢轴承，用于与连接杆锁合，调节及固定便捷</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8、气流调节阀：方手动调节外部阀门旋钮，控制进入之气流量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9、集气罩：材质为PP，集气罩开口直径≥335mm，提供有效集气范围</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10、固定底座：采用模具一次注塑成型，非粘接结构，整体牢固可靠，无脱底风险。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EA575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5CB027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w:t>
            </w:r>
          </w:p>
        </w:tc>
      </w:tr>
      <w:tr w14:paraId="7352B2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3DCE15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25-10</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53A768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室内通风系统</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3BC0A2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1、主风管：采用具有耐酸碱性能PVC/pp，规格≥200mm、支分管Ф≥160mm，Ф≥110mm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2、管卡采用碳钢制作，表面经镀铬处理，具有耐腐蚀、防火、防潮等功能。</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0450C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1B1DAA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9F5A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6A71A6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25-11</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4CDB4F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室外通风系统</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432133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1、材质：PVC/PP风管，具有耐酸碱性能</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2、规格：主风管Ф≥300mm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3、管卡采用碳钢制作，表面经镀铬处理，具有耐腐蚀、防火、防潮等功能。</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6110F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1A3E98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05B4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04CEDF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25-12</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7D8D01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离心式风机</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226A64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1、离心风机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2、材料：PVC板材料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3、电机功率：三相5.5KW</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4、技术要求：风量12700m3/h，全压800Pa，功率5.5kW，转速1440r/min。</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A4FA8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2C3E47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BC7D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5AE576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25-13</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2FD175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风机配件</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5D5C6D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【整体组合】</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1、整体由风机减震器、风机消音器、风机进出口软连接、风机出风口防雨帽组合而成</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【风机减震器】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2、功能：离心风机弹簧减震器，弹簧材料为60Si2Mn弹簧钢线，耐疲劳，强度高，承载力大，使用寿命长等特点。可直接将ZD型减振器置放于设备的机座下</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3、工作环境：在-40℃-110℃环境下正常工作，上下座分别设有螺栓与地基螺栓孔，可上下固定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【风机消音器】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4、材料：PP材质，内置隔音棉等隔音装置</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5、技术要求：消声频率30-60（Hz），耐温特性60（℃），防腐蚀、耐酸碱</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【风机进出口软连接】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6、进风口：采用PVC柔性材料制作，规格：Ф300-400mm，因风机震动引起的消除震音传递和消除微量错位对风机的影响。出风口：材料PP，规格方转圆地方风机接口</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【风机出风口接头】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7、出风口：材料PP/pvc，方转圆结构</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【风机出风口防雨帽】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8、材质：材料PP/pvc，伞型结构。</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AE8B5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0760FC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A7CC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0F3527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25-14</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4FEE51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风机控制线</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08A118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1、规格：4*4.0mm² 电线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2、线芯材质：高纯度铜，无氧化铜芯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3、绝缘护套：耐磨、耐老化、耐腐蚀、柔软</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橡皮绝缘</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A56C8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3D117C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B6D3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6B42AE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25-15</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6C3FA6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风机控制变频器</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29A513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1、类型：重载矢量控制变频器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2、功率：5.5KVA</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3、额定输入电压：三相380V，±15%</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4、额定输入频率：50/60HZ。</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5499C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3B6C2A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18F8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462862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25-16</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4B5B29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风机地台</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27559A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规格：≥1200mm×1200mm×250mm（长宽高），具体规格组成按现场情况定制。</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A85B3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340D43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F2DA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29" w:type="pct"/>
            <w:tcBorders>
              <w:top w:val="single" w:color="000000" w:sz="4" w:space="0"/>
              <w:left w:val="single" w:color="000000" w:sz="4" w:space="0"/>
              <w:bottom w:val="single" w:color="000000" w:sz="4" w:space="0"/>
              <w:right w:val="single" w:color="000000" w:sz="4" w:space="0"/>
            </w:tcBorders>
            <w:noWrap w:val="0"/>
            <w:vAlign w:val="center"/>
          </w:tcPr>
          <w:p w14:paraId="52E968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25-17</w:t>
            </w:r>
          </w:p>
        </w:tc>
        <w:tc>
          <w:tcPr>
            <w:tcW w:w="537" w:type="pct"/>
            <w:tcBorders>
              <w:top w:val="single" w:color="000000" w:sz="4" w:space="0"/>
              <w:left w:val="single" w:color="000000" w:sz="4" w:space="0"/>
              <w:bottom w:val="single" w:color="000000" w:sz="4" w:space="0"/>
              <w:right w:val="single" w:color="000000" w:sz="4" w:space="0"/>
            </w:tcBorders>
            <w:noWrap w:val="0"/>
            <w:vAlign w:val="center"/>
          </w:tcPr>
          <w:p w14:paraId="3FC72F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67" w:type="pct"/>
            <w:tcBorders>
              <w:top w:val="single" w:color="000000" w:sz="4" w:space="0"/>
              <w:left w:val="single" w:color="000000" w:sz="4" w:space="0"/>
              <w:bottom w:val="single" w:color="000000" w:sz="4" w:space="0"/>
              <w:right w:val="single" w:color="000000" w:sz="4" w:space="0"/>
            </w:tcBorders>
            <w:noWrap w:val="0"/>
            <w:vAlign w:val="center"/>
          </w:tcPr>
          <w:p w14:paraId="0822EB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普通类实验室全套设备设施安装包含：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1、桌椅讲台功能柱水槽柜水嘴洗眼器风罩等设备安装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2、电线：国标优质铜芯线4mm²电线、2.5mm²电线（仅限实验室内）。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3、pvc线管、金属吊架及五金件；配套电工胶布，护套管等辅助材料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4、给水管：主管选用Ф25PPR水管，支管Ф20PPR水管（仅限实验室内）。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5、排水管：UPVC材质排水管为Ф50mm，排水管接头要求螺纹口、PVC胶水等（仅限实验室内）。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6、地上明管线的安装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7、讲台学生位给排水点位安装及测试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8、讲台学生位接线及调试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9、风管及风机安装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10、安装完成后的场室清洁工作。</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03BBD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6" w:type="pct"/>
            <w:tcBorders>
              <w:top w:val="single" w:color="000000" w:sz="4" w:space="0"/>
              <w:left w:val="single" w:color="000000" w:sz="4" w:space="0"/>
              <w:bottom w:val="single" w:color="000000" w:sz="4" w:space="0"/>
              <w:right w:val="single" w:color="000000" w:sz="4" w:space="0"/>
            </w:tcBorders>
            <w:noWrap w:val="0"/>
            <w:vAlign w:val="center"/>
          </w:tcPr>
          <w:p w14:paraId="7424DB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41363CDB">
      <w:pPr>
        <w:pStyle w:val="33"/>
        <w:rPr>
          <w:rFonts w:hint="eastAsia"/>
          <w:color w:val="auto"/>
          <w:highlight w:val="none"/>
        </w:rPr>
      </w:pPr>
    </w:p>
    <w:tbl>
      <w:tblPr>
        <w:tblStyle w:val="43"/>
        <w:tblW w:w="6009" w:type="pct"/>
        <w:tblInd w:w="-91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6"/>
        <w:gridCol w:w="1128"/>
        <w:gridCol w:w="6906"/>
        <w:gridCol w:w="717"/>
        <w:gridCol w:w="873"/>
      </w:tblGrid>
      <w:tr w14:paraId="286B4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63237A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化学准备室</w:t>
            </w:r>
          </w:p>
        </w:tc>
      </w:tr>
      <w:tr w14:paraId="37F11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ign w:val="center"/>
          </w:tcPr>
          <w:p w14:paraId="196303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35" w:type="pct"/>
            <w:tcBorders>
              <w:top w:val="single" w:color="000000" w:sz="4" w:space="0"/>
              <w:left w:val="single" w:color="000000" w:sz="4" w:space="0"/>
              <w:bottom w:val="single" w:color="000000" w:sz="4" w:space="0"/>
              <w:right w:val="single" w:color="000000" w:sz="4" w:space="0"/>
            </w:tcBorders>
            <w:noWrap/>
            <w:vAlign w:val="center"/>
          </w:tcPr>
          <w:p w14:paraId="570730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76" w:type="pct"/>
            <w:tcBorders>
              <w:top w:val="single" w:color="000000" w:sz="4" w:space="0"/>
              <w:left w:val="single" w:color="000000" w:sz="4" w:space="0"/>
              <w:bottom w:val="single" w:color="000000" w:sz="4" w:space="0"/>
              <w:right w:val="single" w:color="000000" w:sz="4" w:space="0"/>
            </w:tcBorders>
            <w:noWrap/>
            <w:vAlign w:val="center"/>
          </w:tcPr>
          <w:p w14:paraId="757DD3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40" w:type="pct"/>
            <w:tcBorders>
              <w:top w:val="single" w:color="000000" w:sz="4" w:space="0"/>
              <w:left w:val="single" w:color="000000" w:sz="4" w:space="0"/>
              <w:bottom w:val="single" w:color="000000" w:sz="4" w:space="0"/>
              <w:right w:val="single" w:color="000000" w:sz="4" w:space="0"/>
            </w:tcBorders>
            <w:noWrap/>
            <w:vAlign w:val="center"/>
          </w:tcPr>
          <w:p w14:paraId="004B22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12" w:type="pct"/>
            <w:tcBorders>
              <w:top w:val="single" w:color="000000" w:sz="4" w:space="0"/>
              <w:left w:val="single" w:color="000000" w:sz="4" w:space="0"/>
              <w:bottom w:val="single" w:color="000000" w:sz="4" w:space="0"/>
              <w:right w:val="single" w:color="000000" w:sz="4" w:space="0"/>
            </w:tcBorders>
            <w:noWrap/>
            <w:vAlign w:val="center"/>
          </w:tcPr>
          <w:p w14:paraId="1D37A8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6EE9E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0"/>
            <w:vAlign w:val="center"/>
          </w:tcPr>
          <w:p w14:paraId="78FA0D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26-1</w:t>
            </w:r>
          </w:p>
        </w:tc>
        <w:tc>
          <w:tcPr>
            <w:tcW w:w="535" w:type="pct"/>
            <w:tcBorders>
              <w:top w:val="single" w:color="000000" w:sz="4" w:space="0"/>
              <w:left w:val="single" w:color="000000" w:sz="4" w:space="0"/>
              <w:bottom w:val="single" w:color="000000" w:sz="4" w:space="0"/>
              <w:right w:val="single" w:color="000000" w:sz="4" w:space="0"/>
            </w:tcBorders>
            <w:noWrap w:val="0"/>
            <w:vAlign w:val="center"/>
          </w:tcPr>
          <w:p w14:paraId="1728A7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仪器柜</w:t>
            </w:r>
          </w:p>
        </w:tc>
        <w:tc>
          <w:tcPr>
            <w:tcW w:w="3276" w:type="pct"/>
            <w:tcBorders>
              <w:top w:val="single" w:color="000000" w:sz="4" w:space="0"/>
              <w:left w:val="single" w:color="000000" w:sz="4" w:space="0"/>
              <w:bottom w:val="single" w:color="000000" w:sz="4" w:space="0"/>
              <w:right w:val="single" w:color="000000" w:sz="4" w:space="0"/>
            </w:tcBorders>
            <w:noWrap w:val="0"/>
            <w:vAlign w:val="center"/>
          </w:tcPr>
          <w:p w14:paraId="0C3ACC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参数同序号20-1一致。</w:t>
            </w:r>
          </w:p>
        </w:tc>
        <w:tc>
          <w:tcPr>
            <w:tcW w:w="340" w:type="pct"/>
            <w:tcBorders>
              <w:top w:val="single" w:color="000000" w:sz="4" w:space="0"/>
              <w:left w:val="single" w:color="000000" w:sz="4" w:space="0"/>
              <w:bottom w:val="single" w:color="000000" w:sz="4" w:space="0"/>
              <w:right w:val="single" w:color="000000" w:sz="4" w:space="0"/>
            </w:tcBorders>
            <w:noWrap/>
            <w:vAlign w:val="center"/>
          </w:tcPr>
          <w:p w14:paraId="10832F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2" w:type="pct"/>
            <w:tcBorders>
              <w:top w:val="single" w:color="000000" w:sz="4" w:space="0"/>
              <w:left w:val="single" w:color="000000" w:sz="4" w:space="0"/>
              <w:bottom w:val="single" w:color="000000" w:sz="4" w:space="0"/>
              <w:right w:val="single" w:color="000000" w:sz="4" w:space="0"/>
            </w:tcBorders>
            <w:noWrap/>
            <w:vAlign w:val="center"/>
          </w:tcPr>
          <w:p w14:paraId="724053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12185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0"/>
            <w:vAlign w:val="center"/>
          </w:tcPr>
          <w:p w14:paraId="47A4AB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26-2</w:t>
            </w:r>
          </w:p>
        </w:tc>
        <w:tc>
          <w:tcPr>
            <w:tcW w:w="535" w:type="pct"/>
            <w:tcBorders>
              <w:top w:val="single" w:color="000000" w:sz="4" w:space="0"/>
              <w:left w:val="single" w:color="000000" w:sz="4" w:space="0"/>
              <w:bottom w:val="single" w:color="000000" w:sz="4" w:space="0"/>
              <w:right w:val="single" w:color="000000" w:sz="4" w:space="0"/>
            </w:tcBorders>
            <w:noWrap w:val="0"/>
            <w:vAlign w:val="center"/>
          </w:tcPr>
          <w:p w14:paraId="1630BA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药品柜</w:t>
            </w:r>
          </w:p>
        </w:tc>
        <w:tc>
          <w:tcPr>
            <w:tcW w:w="3276" w:type="pct"/>
            <w:tcBorders>
              <w:top w:val="single" w:color="000000" w:sz="4" w:space="0"/>
              <w:left w:val="single" w:color="000000" w:sz="4" w:space="0"/>
              <w:bottom w:val="single" w:color="000000" w:sz="4" w:space="0"/>
              <w:right w:val="single" w:color="000000" w:sz="4" w:space="0"/>
            </w:tcBorders>
            <w:noWrap w:val="0"/>
            <w:vAlign w:val="center"/>
          </w:tcPr>
          <w:p w14:paraId="5F3C75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参数同序号23-2一致。</w:t>
            </w:r>
          </w:p>
        </w:tc>
        <w:tc>
          <w:tcPr>
            <w:tcW w:w="340" w:type="pct"/>
            <w:tcBorders>
              <w:top w:val="single" w:color="000000" w:sz="4" w:space="0"/>
              <w:left w:val="single" w:color="000000" w:sz="4" w:space="0"/>
              <w:bottom w:val="single" w:color="000000" w:sz="4" w:space="0"/>
              <w:right w:val="single" w:color="000000" w:sz="4" w:space="0"/>
            </w:tcBorders>
            <w:noWrap/>
            <w:vAlign w:val="center"/>
          </w:tcPr>
          <w:p w14:paraId="52AA5D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2" w:type="pct"/>
            <w:tcBorders>
              <w:top w:val="single" w:color="000000" w:sz="4" w:space="0"/>
              <w:left w:val="single" w:color="000000" w:sz="4" w:space="0"/>
              <w:bottom w:val="single" w:color="000000" w:sz="4" w:space="0"/>
              <w:right w:val="single" w:color="000000" w:sz="4" w:space="0"/>
            </w:tcBorders>
            <w:noWrap/>
            <w:vAlign w:val="center"/>
          </w:tcPr>
          <w:p w14:paraId="2677E9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12D1F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0"/>
            <w:vAlign w:val="center"/>
          </w:tcPr>
          <w:p w14:paraId="1BB44F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26-3</w:t>
            </w:r>
          </w:p>
        </w:tc>
        <w:tc>
          <w:tcPr>
            <w:tcW w:w="535" w:type="pct"/>
            <w:tcBorders>
              <w:top w:val="single" w:color="000000" w:sz="4" w:space="0"/>
              <w:left w:val="single" w:color="000000" w:sz="4" w:space="0"/>
              <w:bottom w:val="single" w:color="000000" w:sz="4" w:space="0"/>
              <w:right w:val="single" w:color="000000" w:sz="4" w:space="0"/>
            </w:tcBorders>
            <w:noWrap w:val="0"/>
            <w:vAlign w:val="center"/>
          </w:tcPr>
          <w:p w14:paraId="627A9C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准备台</w:t>
            </w:r>
          </w:p>
        </w:tc>
        <w:tc>
          <w:tcPr>
            <w:tcW w:w="3276" w:type="pct"/>
            <w:tcBorders>
              <w:top w:val="single" w:color="000000" w:sz="4" w:space="0"/>
              <w:left w:val="single" w:color="000000" w:sz="4" w:space="0"/>
              <w:bottom w:val="single" w:color="000000" w:sz="4" w:space="0"/>
              <w:right w:val="single" w:color="000000" w:sz="4" w:space="0"/>
            </w:tcBorders>
            <w:noWrap w:val="0"/>
            <w:vAlign w:val="center"/>
          </w:tcPr>
          <w:p w14:paraId="7964C5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参数同序号20-3一致。</w:t>
            </w:r>
          </w:p>
        </w:tc>
        <w:tc>
          <w:tcPr>
            <w:tcW w:w="340" w:type="pct"/>
            <w:tcBorders>
              <w:top w:val="single" w:color="000000" w:sz="4" w:space="0"/>
              <w:left w:val="single" w:color="000000" w:sz="4" w:space="0"/>
              <w:bottom w:val="single" w:color="000000" w:sz="4" w:space="0"/>
              <w:right w:val="single" w:color="000000" w:sz="4" w:space="0"/>
            </w:tcBorders>
            <w:noWrap/>
            <w:vAlign w:val="center"/>
          </w:tcPr>
          <w:p w14:paraId="025330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12" w:type="pct"/>
            <w:tcBorders>
              <w:top w:val="single" w:color="000000" w:sz="4" w:space="0"/>
              <w:left w:val="single" w:color="000000" w:sz="4" w:space="0"/>
              <w:bottom w:val="single" w:color="000000" w:sz="4" w:space="0"/>
              <w:right w:val="single" w:color="000000" w:sz="4" w:space="0"/>
            </w:tcBorders>
            <w:noWrap/>
            <w:vAlign w:val="center"/>
          </w:tcPr>
          <w:p w14:paraId="6450BA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F000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0"/>
            <w:vAlign w:val="center"/>
          </w:tcPr>
          <w:p w14:paraId="692228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26-4</w:t>
            </w:r>
          </w:p>
        </w:tc>
        <w:tc>
          <w:tcPr>
            <w:tcW w:w="535" w:type="pct"/>
            <w:tcBorders>
              <w:top w:val="single" w:color="000000" w:sz="4" w:space="0"/>
              <w:left w:val="single" w:color="000000" w:sz="4" w:space="0"/>
              <w:bottom w:val="single" w:color="000000" w:sz="4" w:space="0"/>
              <w:right w:val="single" w:color="000000" w:sz="4" w:space="0"/>
            </w:tcBorders>
            <w:noWrap w:val="0"/>
            <w:vAlign w:val="center"/>
          </w:tcPr>
          <w:p w14:paraId="48A545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三联水嘴（强制采购节能产品）</w:t>
            </w:r>
          </w:p>
        </w:tc>
        <w:tc>
          <w:tcPr>
            <w:tcW w:w="3276" w:type="pct"/>
            <w:tcBorders>
              <w:top w:val="single" w:color="000000" w:sz="4" w:space="0"/>
              <w:left w:val="single" w:color="000000" w:sz="4" w:space="0"/>
              <w:bottom w:val="single" w:color="000000" w:sz="4" w:space="0"/>
              <w:right w:val="single" w:color="000000" w:sz="4" w:space="0"/>
            </w:tcBorders>
            <w:noWrap w:val="0"/>
            <w:vAlign w:val="center"/>
          </w:tcPr>
          <w:p w14:paraId="6F54C6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参数同序号22-6一致。</w:t>
            </w:r>
          </w:p>
        </w:tc>
        <w:tc>
          <w:tcPr>
            <w:tcW w:w="340" w:type="pct"/>
            <w:tcBorders>
              <w:top w:val="single" w:color="000000" w:sz="4" w:space="0"/>
              <w:left w:val="single" w:color="000000" w:sz="4" w:space="0"/>
              <w:bottom w:val="single" w:color="000000" w:sz="4" w:space="0"/>
              <w:right w:val="single" w:color="000000" w:sz="4" w:space="0"/>
            </w:tcBorders>
            <w:noWrap w:val="0"/>
            <w:vAlign w:val="center"/>
          </w:tcPr>
          <w:p w14:paraId="5DCA8E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付</w:t>
            </w:r>
          </w:p>
        </w:tc>
        <w:tc>
          <w:tcPr>
            <w:tcW w:w="412" w:type="pct"/>
            <w:tcBorders>
              <w:top w:val="single" w:color="000000" w:sz="4" w:space="0"/>
              <w:left w:val="single" w:color="000000" w:sz="4" w:space="0"/>
              <w:bottom w:val="single" w:color="000000" w:sz="4" w:space="0"/>
              <w:right w:val="single" w:color="000000" w:sz="4" w:space="0"/>
            </w:tcBorders>
            <w:noWrap w:val="0"/>
            <w:vAlign w:val="center"/>
          </w:tcPr>
          <w:p w14:paraId="2D6D5D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AABC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0"/>
            <w:vAlign w:val="center"/>
          </w:tcPr>
          <w:p w14:paraId="34DEB4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26-5</w:t>
            </w:r>
          </w:p>
        </w:tc>
        <w:tc>
          <w:tcPr>
            <w:tcW w:w="535" w:type="pct"/>
            <w:tcBorders>
              <w:top w:val="single" w:color="000000" w:sz="4" w:space="0"/>
              <w:left w:val="single" w:color="000000" w:sz="4" w:space="0"/>
              <w:bottom w:val="single" w:color="000000" w:sz="4" w:space="0"/>
              <w:right w:val="single" w:color="000000" w:sz="4" w:space="0"/>
            </w:tcBorders>
            <w:noWrap w:val="0"/>
            <w:vAlign w:val="center"/>
          </w:tcPr>
          <w:p w14:paraId="54A02A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通风操作柜</w:t>
            </w:r>
          </w:p>
        </w:tc>
        <w:tc>
          <w:tcPr>
            <w:tcW w:w="3276" w:type="pct"/>
            <w:tcBorders>
              <w:top w:val="single" w:color="000000" w:sz="4" w:space="0"/>
              <w:left w:val="single" w:color="000000" w:sz="4" w:space="0"/>
              <w:bottom w:val="single" w:color="000000" w:sz="4" w:space="0"/>
              <w:right w:val="single" w:color="000000" w:sz="4" w:space="0"/>
            </w:tcBorders>
            <w:noWrap w:val="0"/>
            <w:vAlign w:val="center"/>
          </w:tcPr>
          <w:p w14:paraId="5CC7A5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1、整体规格：（长×宽×高）≥1200×850×2350mm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2、主体左右旁板、前钢板、背板、顶板、下柜体采用1.0~1.2mm厚钢板，2000W全自动数控激光切割机下料，折弯采用全自动数控折弯机一次性一体折弯成型，表面经环氧树脂粉末，静电流水线自动化喷涂及高温固化</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内衬板、导流板采用≥5mm厚实芯抗倍特板，具有防腐蚀、化学抗性。导流板固定件使用PP材质制作一体成型。移动视窗玻璃两侧PP夹条包裹，拉手PP一体成型，嵌入≥5mm钢化玻璃，门开启高度为700mm，自由升降，移门上下滑动装置采用同步带轮结构，无级任意停留，移门导向装置由抗腐蚀的聚乙稀材质构成。固定视窗框架为钢板制作环氧树脂喷涂，框内嵌入≥5mm厚钢化玻璃</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4、台面采用国产实芯理化板≥12.7mm厚耐酸碱，耐冲击，耐腐蚀，甲醛达到E1级别标准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5、连接部分所有的内部连接装置都需隐藏布置和抗腐蚀，没有外露的螺钉，外部连接装置都抗化学腐蚀的不锈钢部件与非金属材料</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6、排气出口采用与顶板一体成型集气罩，出风口直径≥250mm圆孔，套管连接，减少气体扰流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7、配件：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7.1、水路配有一次性成型PP小杯槽，耐酸碱、耐腐蚀。单口水龙头由黄铜构成并安装在通风柜内台面上</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7.2、电路控制面板采用液晶显示屏面板8个按键：电源、设置、确定、照明、备用、风机、风阀+\-键。照明LED白光灯快速启动类型，安装置通风柜顶部。插座配有四个10A220V五孔多功能插座。线路使用2、5平方铜芯电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7.3、下柜门铰链采用110度直弯铰链，使用寿命高，拆装方便。</w:t>
            </w:r>
          </w:p>
        </w:tc>
        <w:tc>
          <w:tcPr>
            <w:tcW w:w="340" w:type="pct"/>
            <w:tcBorders>
              <w:top w:val="single" w:color="000000" w:sz="4" w:space="0"/>
              <w:left w:val="single" w:color="000000" w:sz="4" w:space="0"/>
              <w:bottom w:val="single" w:color="000000" w:sz="4" w:space="0"/>
              <w:right w:val="single" w:color="000000" w:sz="4" w:space="0"/>
            </w:tcBorders>
            <w:noWrap/>
            <w:vAlign w:val="center"/>
          </w:tcPr>
          <w:p w14:paraId="51B35C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2" w:type="pct"/>
            <w:tcBorders>
              <w:top w:val="single" w:color="000000" w:sz="4" w:space="0"/>
              <w:left w:val="single" w:color="000000" w:sz="4" w:space="0"/>
              <w:bottom w:val="single" w:color="000000" w:sz="4" w:space="0"/>
              <w:right w:val="single" w:color="000000" w:sz="4" w:space="0"/>
            </w:tcBorders>
            <w:noWrap/>
            <w:vAlign w:val="center"/>
          </w:tcPr>
          <w:p w14:paraId="35E1A9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A6A3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0"/>
            <w:vAlign w:val="center"/>
          </w:tcPr>
          <w:p w14:paraId="47CEC9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26-6</w:t>
            </w:r>
          </w:p>
        </w:tc>
        <w:tc>
          <w:tcPr>
            <w:tcW w:w="535" w:type="pct"/>
            <w:tcBorders>
              <w:top w:val="single" w:color="000000" w:sz="4" w:space="0"/>
              <w:left w:val="single" w:color="000000" w:sz="4" w:space="0"/>
              <w:bottom w:val="single" w:color="000000" w:sz="4" w:space="0"/>
              <w:right w:val="single" w:color="000000" w:sz="4" w:space="0"/>
            </w:tcBorders>
            <w:noWrap w:val="0"/>
            <w:vAlign w:val="center"/>
          </w:tcPr>
          <w:p w14:paraId="64C150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小推车</w:t>
            </w:r>
          </w:p>
        </w:tc>
        <w:tc>
          <w:tcPr>
            <w:tcW w:w="3276" w:type="pct"/>
            <w:tcBorders>
              <w:top w:val="single" w:color="000000" w:sz="4" w:space="0"/>
              <w:left w:val="single" w:color="000000" w:sz="4" w:space="0"/>
              <w:bottom w:val="single" w:color="000000" w:sz="4" w:space="0"/>
              <w:right w:val="single" w:color="000000" w:sz="4" w:space="0"/>
            </w:tcBorders>
            <w:noWrap w:val="0"/>
            <w:vAlign w:val="center"/>
          </w:tcPr>
          <w:p w14:paraId="3F098D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参数同序号22-5一致。</w:t>
            </w:r>
          </w:p>
        </w:tc>
        <w:tc>
          <w:tcPr>
            <w:tcW w:w="340" w:type="pct"/>
            <w:tcBorders>
              <w:top w:val="single" w:color="000000" w:sz="4" w:space="0"/>
              <w:left w:val="single" w:color="000000" w:sz="4" w:space="0"/>
              <w:bottom w:val="single" w:color="000000" w:sz="4" w:space="0"/>
              <w:right w:val="single" w:color="000000" w:sz="4" w:space="0"/>
            </w:tcBorders>
            <w:noWrap/>
            <w:vAlign w:val="center"/>
          </w:tcPr>
          <w:p w14:paraId="3C7E76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2" w:type="pct"/>
            <w:tcBorders>
              <w:top w:val="single" w:color="000000" w:sz="4" w:space="0"/>
              <w:left w:val="single" w:color="000000" w:sz="4" w:space="0"/>
              <w:bottom w:val="single" w:color="000000" w:sz="4" w:space="0"/>
              <w:right w:val="single" w:color="000000" w:sz="4" w:space="0"/>
            </w:tcBorders>
            <w:noWrap/>
            <w:vAlign w:val="center"/>
          </w:tcPr>
          <w:p w14:paraId="433FFA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65F0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35" w:type="pct"/>
            <w:tcBorders>
              <w:top w:val="single" w:color="000000" w:sz="4" w:space="0"/>
              <w:left w:val="single" w:color="000000" w:sz="4" w:space="0"/>
              <w:bottom w:val="single" w:color="000000" w:sz="4" w:space="0"/>
              <w:right w:val="single" w:color="000000" w:sz="4" w:space="0"/>
            </w:tcBorders>
            <w:noWrap w:val="0"/>
            <w:vAlign w:val="center"/>
          </w:tcPr>
          <w:p w14:paraId="0B26DD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26-7</w:t>
            </w:r>
          </w:p>
        </w:tc>
        <w:tc>
          <w:tcPr>
            <w:tcW w:w="535" w:type="pct"/>
            <w:tcBorders>
              <w:top w:val="single" w:color="000000" w:sz="4" w:space="0"/>
              <w:left w:val="single" w:color="000000" w:sz="4" w:space="0"/>
              <w:bottom w:val="single" w:color="000000" w:sz="4" w:space="0"/>
              <w:right w:val="single" w:color="000000" w:sz="4" w:space="0"/>
            </w:tcBorders>
            <w:noWrap w:val="0"/>
            <w:vAlign w:val="center"/>
          </w:tcPr>
          <w:p w14:paraId="547A60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76" w:type="pct"/>
            <w:tcBorders>
              <w:top w:val="single" w:color="000000" w:sz="4" w:space="0"/>
              <w:left w:val="single" w:color="000000" w:sz="4" w:space="0"/>
              <w:bottom w:val="single" w:color="000000" w:sz="4" w:space="0"/>
              <w:right w:val="single" w:color="000000" w:sz="4" w:space="0"/>
            </w:tcBorders>
            <w:noWrap w:val="0"/>
            <w:vAlign w:val="center"/>
          </w:tcPr>
          <w:p w14:paraId="740494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1、通风管道铺设：合理规划管道走向，尽量减少弯头，降低风阻，确保气流顺畅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2、地上部分接线安装调试：合理规划线路走向，采用标准化接线方式，确保接线牢固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3、水管：给水选用Ф25PPR水管，排水管Ф50PPR水管；配套总开关阀门、丝连接件等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4、地上部分水路系统安装调试：合理设计排水管道，确保排水顺畅、管道无渗漏</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5、准备室排风系统：轴流风机交流220V，功率28W，风量210m³/h，静压163pa,风机外壳和叶轮均采用模具一次成型；采用PVC材质，排风口接≥100mm管道，按需配置接口配件</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6、柜子设备安装：合理规划设备摆放位置，确保操作方便，通风良好</w:t>
            </w:r>
            <w:r>
              <w:rPr>
                <w:rFonts w:hint="eastAsia" w:ascii="宋体" w:hAnsi="宋体" w:cs="宋体"/>
                <w:i w:val="0"/>
                <w:iCs w:val="0"/>
                <w:color w:val="auto"/>
                <w:kern w:val="0"/>
                <w:sz w:val="22"/>
                <w:szCs w:val="22"/>
                <w:highlight w:val="none"/>
                <w:u w:val="none"/>
                <w:lang w:val="en-US" w:eastAsia="zh-CN" w:bidi="ar"/>
              </w:rPr>
              <w:t>。</w:t>
            </w:r>
          </w:p>
        </w:tc>
        <w:tc>
          <w:tcPr>
            <w:tcW w:w="340" w:type="pct"/>
            <w:tcBorders>
              <w:top w:val="single" w:color="000000" w:sz="4" w:space="0"/>
              <w:left w:val="single" w:color="000000" w:sz="4" w:space="0"/>
              <w:bottom w:val="single" w:color="000000" w:sz="4" w:space="0"/>
              <w:right w:val="single" w:color="000000" w:sz="4" w:space="0"/>
            </w:tcBorders>
            <w:noWrap/>
            <w:vAlign w:val="center"/>
          </w:tcPr>
          <w:p w14:paraId="51E0C1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2" w:type="pct"/>
            <w:tcBorders>
              <w:top w:val="single" w:color="000000" w:sz="4" w:space="0"/>
              <w:left w:val="single" w:color="000000" w:sz="4" w:space="0"/>
              <w:bottom w:val="single" w:color="000000" w:sz="4" w:space="0"/>
              <w:right w:val="single" w:color="000000" w:sz="4" w:space="0"/>
            </w:tcBorders>
            <w:noWrap w:val="0"/>
            <w:vAlign w:val="center"/>
          </w:tcPr>
          <w:p w14:paraId="287026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61831844">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eastAsia"/>
          <w:color w:val="auto"/>
          <w:sz w:val="28"/>
          <w:szCs w:val="32"/>
          <w:highlight w:val="none"/>
        </w:rPr>
      </w:pPr>
    </w:p>
    <w:tbl>
      <w:tblPr>
        <w:tblStyle w:val="43"/>
        <w:tblW w:w="6019" w:type="pct"/>
        <w:tblInd w:w="-91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06"/>
        <w:gridCol w:w="1144"/>
        <w:gridCol w:w="6903"/>
        <w:gridCol w:w="725"/>
        <w:gridCol w:w="879"/>
      </w:tblGrid>
      <w:tr w14:paraId="1347B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5B9B61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化学仪器室</w:t>
            </w:r>
          </w:p>
        </w:tc>
      </w:tr>
      <w:tr w14:paraId="1D6E0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ign w:val="center"/>
          </w:tcPr>
          <w:p w14:paraId="3E9D44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41" w:type="pct"/>
            <w:tcBorders>
              <w:top w:val="single" w:color="000000" w:sz="4" w:space="0"/>
              <w:left w:val="single" w:color="000000" w:sz="4" w:space="0"/>
              <w:bottom w:val="single" w:color="000000" w:sz="4" w:space="0"/>
              <w:right w:val="single" w:color="000000" w:sz="4" w:space="0"/>
            </w:tcBorders>
            <w:noWrap/>
            <w:vAlign w:val="center"/>
          </w:tcPr>
          <w:p w14:paraId="5DCF7B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69" w:type="pct"/>
            <w:tcBorders>
              <w:top w:val="single" w:color="000000" w:sz="4" w:space="0"/>
              <w:left w:val="single" w:color="000000" w:sz="4" w:space="0"/>
              <w:bottom w:val="single" w:color="000000" w:sz="4" w:space="0"/>
              <w:right w:val="single" w:color="000000" w:sz="4" w:space="0"/>
            </w:tcBorders>
            <w:noWrap/>
            <w:vAlign w:val="center"/>
          </w:tcPr>
          <w:p w14:paraId="591031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43" w:type="pct"/>
            <w:tcBorders>
              <w:top w:val="single" w:color="000000" w:sz="4" w:space="0"/>
              <w:left w:val="single" w:color="000000" w:sz="4" w:space="0"/>
              <w:bottom w:val="single" w:color="000000" w:sz="4" w:space="0"/>
              <w:right w:val="single" w:color="000000" w:sz="4" w:space="0"/>
            </w:tcBorders>
            <w:noWrap/>
            <w:vAlign w:val="center"/>
          </w:tcPr>
          <w:p w14:paraId="3398C2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BF588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3AAC5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9BA76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59D11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仪器柜</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AF3CC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参数同序号20-1一致。</w:t>
            </w:r>
          </w:p>
        </w:tc>
        <w:tc>
          <w:tcPr>
            <w:tcW w:w="343" w:type="pct"/>
            <w:tcBorders>
              <w:top w:val="single" w:color="000000" w:sz="4" w:space="0"/>
              <w:left w:val="single" w:color="000000" w:sz="4" w:space="0"/>
              <w:bottom w:val="single" w:color="000000" w:sz="4" w:space="0"/>
              <w:right w:val="single" w:color="000000" w:sz="4" w:space="0"/>
            </w:tcBorders>
            <w:noWrap/>
            <w:vAlign w:val="center"/>
          </w:tcPr>
          <w:p w14:paraId="2A7D3D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840F0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r>
      <w:tr w14:paraId="4D911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152A5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C974D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7718B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1、地上部分接线安装调试：合理规划线路走向，采用标准化接线方式，确保接线牢固；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2、柜子设备安装：合理规划设备摆放位置，确保操作方便。</w:t>
            </w:r>
          </w:p>
        </w:tc>
        <w:tc>
          <w:tcPr>
            <w:tcW w:w="343" w:type="pct"/>
            <w:tcBorders>
              <w:top w:val="single" w:color="000000" w:sz="4" w:space="0"/>
              <w:left w:val="single" w:color="000000" w:sz="4" w:space="0"/>
              <w:bottom w:val="single" w:color="000000" w:sz="4" w:space="0"/>
              <w:right w:val="single" w:color="000000" w:sz="4" w:space="0"/>
            </w:tcBorders>
            <w:noWrap/>
            <w:vAlign w:val="center"/>
          </w:tcPr>
          <w:p w14:paraId="389509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67D62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D2B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946CD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5DA4C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实验服</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4D295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参数同序号24-3一致。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EF8E0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82650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A880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56BC9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269EE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护目镜</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D6873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4D7D0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29DA9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61C6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668DE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D0549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防护面罩</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07F00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防冲击面屏，聚碳酸酯材质，耐 45 m/s 粒子冲击，通过弹簧箍与安全帽相连，面屏可更换，起到头部与面部双重保护作用，光洁，透明度高</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F7E29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61230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E3FB8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774E7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B6D1E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耐酸手套</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276DA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机械性能不低于3级，无破损，手套应有长度≥15cm的套袖</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70630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双</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D185B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1043C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0493B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38721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化学实验废水处理装置</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86D7FD9">
            <w:pPr>
              <w:keepNext w:val="0"/>
              <w:keepLines w:val="0"/>
              <w:widowControl/>
              <w:numPr>
                <w:ilvl w:val="0"/>
                <w:numId w:val="132"/>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产品有试剂瓶、搅拌机、pH计、水阀、反应槽、过滤槽、活性炭槽等部分组成</w:t>
            </w:r>
            <w:r>
              <w:rPr>
                <w:rFonts w:hint="eastAsia" w:ascii="宋体" w:hAnsi="宋体" w:cs="宋体"/>
                <w:i w:val="0"/>
                <w:iCs w:val="0"/>
                <w:color w:val="auto"/>
                <w:kern w:val="0"/>
                <w:sz w:val="22"/>
                <w:szCs w:val="22"/>
                <w:highlight w:val="none"/>
                <w:u w:val="none"/>
                <w:lang w:val="en-US" w:eastAsia="zh-CN" w:bidi="ar"/>
              </w:rPr>
              <w:t>；</w:t>
            </w:r>
          </w:p>
          <w:p w14:paraId="6498D776">
            <w:pPr>
              <w:keepNext w:val="0"/>
              <w:keepLines w:val="0"/>
              <w:widowControl/>
              <w:numPr>
                <w:ilvl w:val="0"/>
                <w:numId w:val="13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可处理包括酸碱废液、含汞、铬、铅、镍、铜、锰、锌等重金属离子的废液；可处理部分含有机污染物的废液；</w:t>
            </w:r>
          </w:p>
          <w:p w14:paraId="5697C5C0">
            <w:pPr>
              <w:keepNext w:val="0"/>
              <w:keepLines w:val="0"/>
              <w:widowControl/>
              <w:numPr>
                <w:ilvl w:val="0"/>
                <w:numId w:val="13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处理废液采取间歇式批处理的方式，每次可处理的废液量不小于6升；</w:t>
            </w:r>
          </w:p>
          <w:p w14:paraId="1538E8CE">
            <w:pPr>
              <w:keepNext w:val="0"/>
              <w:keepLines w:val="0"/>
              <w:widowControl/>
              <w:numPr>
                <w:ilvl w:val="0"/>
                <w:numId w:val="13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箱体用耐腐蚀材料制成；4、带一个无级变速搅拌机。</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B2BF2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EBD2C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A82E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4F4AD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7BFE0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废液分类回收桶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DFF99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高密度聚乙烯PE材质脚踏式带盖结构，20L</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77DDE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9BD77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288B0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C2DF5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883C5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教学电源</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F2E1E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交流 2 V～12 V，5 A，每 2 V 一档；直流 1.5 V～ 12 V，2 A，分为 1.5 V、3 V、4.5 V、6 V、9 V、12 V，共 6 档</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31B4B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80732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2DABF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86F9E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439A3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仪器车</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72FAC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参数同序号21-9一致。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878B1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辆</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F1568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1B72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EDAF9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7EE71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试剂瓶托盘</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D7950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搪瓷材质，内沿≥400mm×290mm×50mm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1FCB6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2FF43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E1059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F25CC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30916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实验用品提篮</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920B7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木制，配有提手，≥490mm×360mm×290mm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A3C1A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985D1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CA54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4BC08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DD3E1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一字螺丝刀</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3FC8F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参数同序号21-13一致。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751A8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64984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DFC0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02B6D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DCD53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十字螺丝刀</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8E7FE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参数同序号21-14一致。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2999A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DD28A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1700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20AD5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E297A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钢丝钳</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36022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160mm</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7EA12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9FE07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72400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F410D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2C50A0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钢锤</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9CD6F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参数同序号24-21一致。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CE233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DE45F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EACDE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5E827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D1A62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三角锉</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D0F8D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250mm，带柄</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E0C1D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3588B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5D4CC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2F8C8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50161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民用剪刀</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95B6F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参数同序号21-12一致。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6B984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把</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63AA0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79FBBE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F6FFC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C3671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E580F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参数同序号24-12一致。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727F7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4C3F8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26B0E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BB96C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97C3C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打孔夹板</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E953F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参数同序号21-28一致。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89E88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449FA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F8DC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2D2A0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C0CB7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打孔器刮刀</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B0A51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刮刀宜用65M 板制成，表面热处理，55HRC～60HRC，总长为70mm±0.5 mm，宽14.5mm±0.1mm，厚1.8mm±0.5 mm，刀口角度宜为 60°±5°，锋刃＜0.1mm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B59B1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0D273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326EE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F757D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DBD39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托盘天平1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ED0B9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100g，0.1g</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DAE2D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AC127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F069D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E8112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3E9CE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托盘天平2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60A4E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500g，0.5 g</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4EE69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70BAC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856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DAF1C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5C752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电子天平3</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C09E4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1000g，0.1g</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769EC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124CD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E676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85DB0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D83C1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多用电表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A0A48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直流电流、电压、电阻 2.5 级，交流电压5级</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9FEDA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FBDFA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5E83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73663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D9C77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酸度计</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F9431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笔式，pH 测量范围0～14，分辨力 0.1，读数清晰，有自动关机节电模式，配校准试剂</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0EC0B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27D51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9B65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1E482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43002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教学支架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BEF01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参数同序号24-34一致。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84066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1326D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2F2B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0BCC4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94687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三脚架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16962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参数同序号24-35一致。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99A4F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E2603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AC91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6201A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27-29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E35CD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试管架1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EE902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木制或塑料制，8孔，孔径21mm，立柱粘结牢固</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DF7AE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E4C50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AFF7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F90E2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81B4E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试管架2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F16F1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木制或塑料制，8孔，孔径25mm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87CF8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10F51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3C688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BAA8B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8C76E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试管架3</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6921B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木制或塑料制，8孔，孔径35mm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43659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9F2AB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726C1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3AA5E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C3EEB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漏斗架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46E87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木制或塑料制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46E5C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E828A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9680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08CCC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0BAE3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滴定台</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48736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人造石或大理石白色台面，重心稳定不晃动，底部有四个橡胶垫脚</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9C296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D9A39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3EB7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ABE9A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6D49E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滴定夹</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539DA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铝制，加持部位有防滑脱凹槽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CFC48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FE9EA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4F29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1C3AA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0C01C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多用滴管架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4D89A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塑料制，底部有圆形凹槽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076F5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BA6D0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B3A0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19681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9C7AA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量筒(10mL)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A19A9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10mL，透明钠钙玻璃制，分度线、数字和标志应完整、清晰和耐久，容积为20℃时充满量筒刻度线所容纳体积</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5EC87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6CA72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F40B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B723D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A0BB1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量筒(25mL)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E05D2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25mL，透明钠钙玻璃制，分度线、数字和标志应完整、清晰和耐久，容积为20℃时充满量筒刻度线所容纳体积</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BBC2A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5F9C8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2F59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B8463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1EE58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712F5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50mL，透明钠钙玻璃制，分度线、数字和标志应完整、清晰和耐久，容积为20℃时充满量筒刻度线所容纳体积</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8ED2E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F7A20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4CEF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743FF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27-39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79C25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量筒(100mL)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19035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100mL，透明钠钙玻璃制，分度线、数字和标志应完整、清晰和耐久，容积为20℃时充满量筒刻度线所容纳体积</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2A410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DE179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2FDFC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F97DE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E0AEF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量筒(500mL)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04F97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500mL，透明钠钙玻璃制，分度线、数字和标志应完整、清晰和耐久，容积为20℃时充满量筒刻度线所容纳体积</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E8B27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6945E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3EE1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E72A5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4E409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容量瓶(250mL)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F411D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250mL，透明硼硅酸盐玻璃制，刻度线应在瓶颈下部三分之二处，清晰耐久，粗细均匀</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02875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3C018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3B5C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E7200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D523B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容量瓶(500mL)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A1F89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500mL，透明硼硅酸盐玻璃制，刻度线应在瓶颈下部三分之二处，清晰耐久，粗细均匀</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8DE35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63C1E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FA0F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4F3D5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F6D3E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滴定管1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8A633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酸式，25mL透明钠钙玻璃制，良好外观，不应有积水条纹</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F94A7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E3DAF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C777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B23D2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9E44D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滴定管2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82CC4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碱式，25mL，透明钠钙玻璃制，良好外观，不应有积水条纹</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599C7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7491F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519E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3AB0F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818B1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2D834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参数同序号24-42一致。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8C072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678A7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w:t>
            </w:r>
          </w:p>
        </w:tc>
      </w:tr>
      <w:tr w14:paraId="35FAE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AC851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8BEAD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69457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参数同序号24-43一致。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7738F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2AA90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w:t>
            </w:r>
          </w:p>
        </w:tc>
      </w:tr>
      <w:tr w14:paraId="3418C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EEC9D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04729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试管3</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8081BDA">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18mm×180mm，透明硼硅酸盐玻璃制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F81EE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F353B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67160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5F894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8BDB7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试管4</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73DA3AA">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20mm×200mm，透明硼硅酸盐玻璃制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B038F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FCBEB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75148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1F692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27-49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43711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试管5</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C2AA8BB">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32mm×200mm，透明硼硅酸盐玻璃制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BABDA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A1FA1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BA56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52568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FF755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口部具支试管</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6A617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Φ20mm×200mm，透明硼硅酸盐玻璃制，管底厚薄应均匀，支管连接应平滑牢固，不应有偏歪</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3B883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FBB37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178F2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9BBC4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B6EB7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硬质玻璃管1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41448FF">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15mm×150mm，透明硼硅酸盐玻璃制，耐热温度≥800℃，试管两端口部应卷口</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50980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85ED7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8BB7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71BB2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80CF4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硬质玻璃管2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23E0D66">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20mm×250mm，透明硼硅酸盐玻璃制，耐热温度≥800℃，试管两端口部应卷口</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C16CE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EF34D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7B76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D1984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305D2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烧杯(10mL)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25516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10mL，透明硼硅酸盐玻璃制，烧杯的满口容量应超过标称容量的 10%或烧杯的满口容量和标称容量的两液面间距不应少于 10mm，并应采用容量差值较大的一种</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CB61C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93DC0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FAF3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2E6EB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CC4C5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烧杯(25mL)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50FF9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25mL，透明硼硅酸盐玻璃制，烧杯的满口容量应超过标称容量的 10%或烧杯的满口容量和标称容量的两液面间距不应少于 10mm，并应采用容量差值较大的一种</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37F22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70300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14BB8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9332E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1D8D4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FD834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50mL，透明硼硅酸盐玻璃制，烧杯的满口容量应超过标称容量的 10%或烧杯的满口容量和标称容量的两液面间距不应少于 10mm，并应采用容量差值较大的一种</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71F06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3209A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536EF8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96E55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556C0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烧杯(100mL)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27529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100mL，透明硼硅酸盐玻璃制，烧杯的满口容量应超过标称容量的 10%或烧杯的满口容量和标称容量的两液面间距不应少于 10mm，并应采用容量差值较大的一种</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CA214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3ADBC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57EF8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D074E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78051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79AD1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250mL，透明硼硅酸盐玻璃制，烧杯的满口容量应超过标称容量的 10%或烧杯的满口容量和标称容量的两液面间距不应少于 10mm，并应采用容量差值较大的一种</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2A176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68AD8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19D0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2FA89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74D87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烧杯(500mL)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7CFB2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500mL，透明硼硅酸盐玻璃制，烧杯的满口容量应超过标称容量的 10%或烧杯的满口容量和标称容量的两液面间距不应少于 10mm，并应采用容量差值较大的一种</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D429C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AB320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66250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D9434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27-59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99BB8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烧杯(1000mL)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3D204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1000mL，透明硼硅酸盐玻璃制，烧杯的满口容量应超过标称容量的 10%或烧杯的满口容量和标称容量的两液面间距不应少于 10mm，并应采用容量差值较大的一种</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C2199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A2EA9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33DB1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BCCE1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82786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4E047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250mL，圆底，透明硼硅酸盐玻璃制，玻璃薄厚均匀，底部应规整</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B3BD0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F3424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478A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10909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CA69C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2D320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250mL，平底，透明硼硅酸盐玻璃制，平底烧瓶放在平台上时，应直立不摇晃、不转动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26BC4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70D90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37190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51BD7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445D6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锥形瓶(100mL)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4F372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100mL，透明硼硅酸盐玻璃制，放在平台上应直立不摇晃、不转动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3EBFE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720AA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9112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F6C48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F379E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锥形瓶(250mL)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D8D8D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250mL，透明硼硅酸盐玻璃制，放在平台上应直立不摇晃、不转动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2A4DC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D06DF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78B4D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EDFF5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B16B8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蒸馏烧瓶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42509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250mL，透明硼硅酸盐玻璃制，烧瓶的颈部同一截面应该呈圆形，颈的口部不应呈锥形，并适当提高强度</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47BBA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003CA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4E1D7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14AF3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61822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集气瓶(125mL)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22640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125mL，透明钠钙玻璃制，磨砂面应均匀地覆盖瓶口端面与盖板，磨砂面不应有光斑；盖板四角应倒角，四边应磨光盖板与瓶口密合性应符合：盖板与瓶口充分湿润盖合后，倒提瓶体盖板在瓶口上保持 30 s 不脱落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7CE65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B10AF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w:t>
            </w:r>
          </w:p>
        </w:tc>
      </w:tr>
      <w:tr w14:paraId="50595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DCE26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D6202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集气瓶(250mL)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8DF6B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250mL，透明钠钙玻璃制，磨砂面应均匀地覆盖瓶口端面与盖板，磨砂面不应有光斑；盖板四角应倒角，四边应磨光盖板与瓶口密合性应符合：盖板与瓶口充分湿润盖合后，倒提瓶体盖板在瓶口上保持 30 s 不脱落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95BBC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C93DA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68C7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799DA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18F21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液封除毒气集气瓶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4F8D6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250mL，瓶口光滑，液封口深度≥1 cm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BB21A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ECB4D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6F2216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5EAFB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5A47D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广口瓶(60mL)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7DF9B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60mL，透明钠钙玻璃制，瓶塞与瓶口紧实，不晃动；口部应圆整光滑，底部应平整，放置平台上不应摇晃或转动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E084C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E3512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170</w:t>
            </w:r>
          </w:p>
        </w:tc>
      </w:tr>
      <w:tr w14:paraId="7E59F3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B9821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27-69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2D973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广口瓶(125mL)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F7D8D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125mL，透明钠钙玻璃制，瓶塞与瓶口紧实，不晃动；口部应圆整光滑，底部应平整，放置平台上不应摇晃或转动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4B9DB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81FC5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4377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85574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075A1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4F90A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250mL，透明钠钙玻璃制，瓶塞与瓶口紧实，不晃动；口部应圆整光滑，底部应平整，放置平台上不应摇晃或转动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1B749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5B4FB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E38F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2675A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843DC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广口瓶(500mL)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43EEF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500mL，透明钠钙玻璃制，瓶塞与瓶口紧实，不晃动；口部应圆整光滑，底部应平整，放置平台上不应摇晃或转动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642EC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4A5BF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60293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26EFA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7AB44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茶色广口瓶(60mL)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5E6B1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5A1F9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FD000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ECC7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FE06C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51275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茶色广口瓶(125mL)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EAD73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605B8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0F3D4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7A8B4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FCA41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C0E90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茶色广口瓶(250mL)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7C807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FE69E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0E3D9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8E3F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967EC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7F052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细口瓶(60mL)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D10BA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参数同序号24-54一致。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DA38C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7F21E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5B6D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D26A7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92B38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细口瓶(125mL)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A57B2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参数同序号24-55一致。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369E8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9BB70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w:t>
            </w:r>
          </w:p>
        </w:tc>
      </w:tr>
      <w:tr w14:paraId="4D601D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6AB3D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95213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2F355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参数同序号24-56一致。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954D7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0197A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B64F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710C2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B7296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细口瓶(500mL)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76AED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参数同序号24-57一致。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0FA75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76EBD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8C41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2169F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27-79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DFFCB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细口瓶(1000mL)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6C51F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参数同序号24-58一致。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1BF98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B633D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5FC70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00A3F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2A039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细口瓶(3000mL)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E9590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参数同序号24-59一致。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DC26C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39B31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701E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0E074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E0BD8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茶色细口瓶(60mL)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FFEE8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37C72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7CC63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4266F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28CD0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73C8D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茶色细口瓶(125mL)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EF374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8AD1A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82CAE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6E8B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0EFCF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FC7A7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茶色细口瓶(250mL)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DD037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43AAA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EAFA8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749F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1DC69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C66A0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茶色细口瓶(500mL)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C267C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8DFEC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EADF2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40172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F781A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AB5E8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茶色细口(1000mL)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5718C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1000mL，黄棕色钠钙玻璃制，瓶塞与瓶口紧实，不晃动；口部应圆整光滑，底部应平整，放置平台上不应摇晃或转动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74863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5F170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FCF4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8B706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33FE5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滴瓶(30mL)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92486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30mL，透明钠钙玻璃制，瓶口细磨，磨砂面应均匀细腻，滴管应附橡胶帽，吸放弹性好，开口直径 6 mm，与滴管口套合牢固稳定</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8CCB5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9F1BB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401D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572BF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AE3FC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滴瓶(60mL)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6FCCC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60mL，透明钠钙玻璃制，瓶口细磨，磨砂面应均匀细腻，滴管应附橡胶帽，吸放弹性好，开口直径 6 mm，与滴管口套合牢固稳定</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6B932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5C24A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75</w:t>
            </w:r>
          </w:p>
        </w:tc>
      </w:tr>
      <w:tr w14:paraId="60374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EB986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E30A0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茶色滴瓶(30mL)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616EB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30mL，黄棕色钠钙玻璃制，瓶口细磨，磨砂面应均匀细腻，滴管应附橡胶帽，吸放弹性好，开口直径 6 mm，与滴管口套合牢固稳定</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7B148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3BD60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94C4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638F0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27-89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2CEC8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茶色滴瓶(60mL)</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CFDE8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60mL，黄棕色钠钙玻璃制，瓶口细磨，磨砂面应均匀细腻，滴管应附橡胶帽，吸放弹性好，开口直径 6 mm，与滴管口套合牢固稳定</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EDF83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2E038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451A1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6519A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4E583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酒精灯</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B9AE4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参数同序号21-41一致。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F10B8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5E80E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EAA6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572DD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2604B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干燥器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CB4F2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150mm，磨口平整，密封严实，隔板大小合适，不少于 5 个圆孔</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59891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AAFD4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B246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2CCCA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EA0FD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气体发生器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1CFDB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250mL，漏斗柄与瓶身连接口内壁间隔≤2 mm（单边）</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8256E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0A4C4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8B7B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111AC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A37BC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冷凝器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EEBAE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300 mm ±10 mm，直形，管径均匀，应有防滑脱沟槽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62AD0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3B028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5557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E8ECB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53092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牛角管</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98223A2">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18mm×150mm，弯形，尖嘴处厚度＞1 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FAD8E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CDFD1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CFE7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F838D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20499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漏斗(60mm)</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D17F1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60mm，直径准确，锥度适中</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8D3C4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420EA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BAAB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83E64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967F2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漏斗(90mm)</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BB75B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90mm，直径准确，锥度适中</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3CF43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49F36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784A3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18B10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0D075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安全漏斗1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A167D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直形，径长300mm，上口直径 40 mm±3 mm，玻璃壁厚度适中</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CEF34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DAAB7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64F6E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5F7AB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5B07A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安全漏斗2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8772E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双球，球径高度、直径一致，双球应位于环管中部，应无明显偏斜</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58F86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3316C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14455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9B704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27-99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760F9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分液漏斗1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CB5B2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50mL，锥型，瓶塞应有凹槽，瓶口有气孔</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FE97C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2103C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5C294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CB307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C64DB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分液漏斗2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ECA8A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50mL，球型，瓶塞应有凹槽，瓶口有气孔</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0EE7A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EF23C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1D336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2DAA8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A05CC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三通连接管1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A937A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T形管，玻璃材质Φ7 mm～8mm，连接完好，管口应作打磨或烧结处理</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5F097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C7C4E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1FD2C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FEAC0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98096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三通连接管2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CAC0F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Y形管，玻璃材质Φ 7 mm～8 mm，连接完好，管口应作打磨或烧结处理</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5C46D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B9A7D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5142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A6910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D688F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滴管（100mm）</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F5C16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100mm，直形，滴管尖嘴口径 1 mm，上端有防滑脱翻口，翻口处直径比滴管直径略多 1 mm～2 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1C0B4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3F9A5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2935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25567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86334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滴管（150mm）</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A6065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150mm，直形，滴管尖嘴口径 1 mm，上端有防滑脱翻口，翻口处直径比滴管直径略多 1 mm～2 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56CD0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23C69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187B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5D717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C01BC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干燥管1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31385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150mm，单球，硼硅酸盐玻璃制，玻璃壁厚度适中，球体圆润，导气管长度≥2 cm，最好有防滑脱沟槽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B67C9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7A354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0F722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38464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3C4AF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干燥管2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7947D9A">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15mm×150mm，U型，硼硅酸盐玻璃制，玻璃壁厚度适中，球体圆润，导气管长度≥2 cm，最好有防滑脱沟槽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B05FA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3A041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18BBB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308D4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63C0D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玻璃活塞</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42998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直形，吻合良好，不漏气，不漏液</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3D146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0D011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91EC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1888A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8CAF4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圆水槽1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7C29B30">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200mm×100mm，水槽底部应平整，不应凸底，壁厚和底厚应均匀，口部端面应平整，边和口应圆滑</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5C9E1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7780F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CAA0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D068E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27-109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B0F96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圆水槽2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5729A93">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270mm×140mm，水槽底部应平整，不应凸底，壁厚和底厚应均匀，口部端面应平整，边和口应圆滑</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D194A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0DDE3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613E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18438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CDD69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玻璃钟罩</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7D92B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参数同序号24-71一致。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2FC64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086AB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7DE20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0B8AC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4670F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坩埚钳</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8493B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200mm，钢制，中间弯曲部分内径应在2cm～3cm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54D40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86C72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09E0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BA15B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BECC9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烧杯夹</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29DDC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钢制或不锈钢制，夹持部位应有橡胶保护套，避免与玻璃烧杯直接接触</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9D5E8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6C347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078B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3BF1E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765C1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镊子</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50A66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不锈钢制，平头，长 125 mm，钢板厚 1.2 mm，前部应有防滑脱锯齿</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B74E5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7A4EB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D665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C64F7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D845C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试管夹</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DCAFC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参数同序号24-78一致。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D320F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EAF56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A57C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61922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0009D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止水皮管夹</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93A9F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参数同序号24-79一致。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EEBDA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FC0B9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BCD9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A4238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21FBE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螺旋皮管夹</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ED779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由支架管和带压板的螺杆等组成。外形尺寸约为33mm×20mm×8mm，旋转方便，不易变形，压板厚度≥1 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0EADC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7697B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29CE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21FA4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347E5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石棉网</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F42DB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金属网尺寸≥125 mm×125 mm，0.8 mm 钢丝制成，石棉材料不易脱落，石棉网边缘钢丝应作简单处理</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D26E5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660F6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1509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89A8B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D18D6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燃烧匙</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BEDE8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参数同序号24-81一致。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46D78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773BE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BB3D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AD5A5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27-119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A5093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药匙</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279DE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参数同序号24-82一致。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F41B9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ADB68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5AE7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0C463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C6EC2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玻璃管1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5A59772">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5mm～6mm，中性料，管口应打磨或烧结，避免划伤事故</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F4A0C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C420A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67FFE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0E2BC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6D280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玻璃管2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7A42812">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7mm～8mm，中性料，管口应打磨或烧结，避免划伤事故</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CCBF0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D3D9A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r>
      <w:tr w14:paraId="0E5EE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B2374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6FCD3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玻璃弯管</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0E466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参数同序号24-76一致。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A89D0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B5842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25CA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593D5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AE497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玻璃棒1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0E98B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Φ5mm～6mm，粗细均匀，两端烧结使其光滑</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22BF8A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593AA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394477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B216D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8A088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玻璃棒2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CCEC183">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7mm～8mm，粗细均匀，两端烧结使其光滑</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2BDE7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93B90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1BEA3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D5636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7B79A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橡胶塞</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106C6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参数同序号21-35一致。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5B6F0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4C020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4687F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CFFD9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66947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橡胶管</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A1A3A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参数同序号24-84一致。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45A9E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kg</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0377D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7EFC2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9A689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692F9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乳胶管1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0865C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外径6mm，内径4mm，弹力好，拉力范围可在自身的 6 倍，回弹力 100%</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2CF41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m</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4946C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r>
      <w:tr w14:paraId="010EAE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BD6DA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99D7F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乳胶管2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D3FE4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外径7mm，内径5mm，弹力好，拉力范围可在自身的 6 倍，回弹力 100%</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4DF16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m</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FB174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r>
      <w:tr w14:paraId="4E948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666DB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27-129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86D79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乳胶管3</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DEE64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外径9mm，内径6mm，弹力好，拉力范围可在自身的 6 倍，回弹力 100%</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809AC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m</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08E01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r>
      <w:tr w14:paraId="6D9C0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C8B99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34DA9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试管刷1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3B8F1EA">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12mm，手持部分顶端应为环状，顶部要有刷丝，铁丝不可外露</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61B5D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5E1B5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FB3B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ED1CD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FF64F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试管刷2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0F2F6B6">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18mm，手持部分顶端应为环状，顶部要有刷丝，铁丝不可外露</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E6752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23BC3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CE9F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C029E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395D6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试管刷3</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EBA1AF7">
            <w:pPr>
              <w:keepNext w:val="0"/>
              <w:keepLines w:val="0"/>
              <w:widowControl/>
              <w:suppressLineNumbers w:val="0"/>
              <w:jc w:val="left"/>
              <w:textAlignment w:val="center"/>
              <w:rPr>
                <w:rFonts w:hint="eastAsia" w:ascii="宋体" w:hAnsi="宋体" w:eastAsia="宋体" w:cs="宋体"/>
                <w:i/>
                <w:iCs/>
                <w:color w:val="auto"/>
                <w:sz w:val="22"/>
                <w:szCs w:val="22"/>
                <w:highlight w:val="none"/>
                <w:u w:val="none"/>
              </w:rPr>
            </w:pP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32mm，手持部分顶端应为环状，顶部要有刷丝，铁丝不可外露</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4D332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8F656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1D3E0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81655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B827A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烧瓶刷1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D9A55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 烧瓶用 手持部分顶端应为环状，顶部要有刷丝，铁丝不可外露</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9C81B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44529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5406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92339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AA433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烧瓶刷2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F5D90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 烧瓶用 手持部分顶端应为环状，顶部要有刷丝，铁丝不可外露</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86D48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F2370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60389E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56783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613E2B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结晶皿</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37272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80mm，平底，无色硼硅酸盐玻璃制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6D57A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6CF4C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46F62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0FE9C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6FA77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表面皿1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C178C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60mm无色硼硅酸盐玻璃制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5D5CA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2B306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4181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ADE87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C9B9F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表面皿2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7C6F5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100mm无色硼硅酸盐玻璃制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6E833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A09B2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75F09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6CF43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78290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研钵1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1BA9A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瓷，60mm，瓷或玻璃制，配有研杵，内部粗糙便于研磨，外部光滑</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CEA27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101CC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9863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D27BC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27-139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679F5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研钵2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C63C0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瓷，90mm，瓷或玻璃制，配有研杵，内部粗糙便于研磨，外部光滑</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45C7A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E684F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6A4BA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782B0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A8AA4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蒸发皿1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A0035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瓷，100mm，瓷制，耐受温度≥800℃</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14A79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F9DA5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25D59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D1AE5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CF83A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蒸发皿2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9CA73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120mm，瓷制，耐受温度≥800℃</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4CD61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93C2A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r>
      <w:tr w14:paraId="4605D1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72F63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6BC5B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反应板</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ABF90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白色陶瓷，6孔，表面有釉层，不会发生溶液渗透</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F0481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F358F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291C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E079F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55953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井穴板1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3E8DC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透明塑料，9孔，每孔0.7mL，可以重复使用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14158E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850A8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03463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422DE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7ACCF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井穴板2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BB111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透明塑料，6孔，每孔5mL，配6个双导气管的井穴塞，可以重复使用</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2C010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757CC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FF32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7BAE49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9CB2A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塑料多用滴管</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581F47B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弹性圆筒形吸泡和一根</w:t>
            </w:r>
            <w:r>
              <w:rPr>
                <w:rFonts w:hint="eastAsia" w:ascii="宋体" w:hAnsi="宋体" w:eastAsia="宋体" w:cs="宋体"/>
                <w:i/>
                <w:iCs/>
                <w:color w:val="auto"/>
                <w:kern w:val="0"/>
                <w:sz w:val="22"/>
                <w:szCs w:val="22"/>
                <w:highlight w:val="none"/>
                <w:u w:val="none"/>
                <w:lang w:val="en-US" w:eastAsia="zh-CN" w:bidi="ar"/>
              </w:rPr>
              <w:t>Φ</w:t>
            </w:r>
            <w:r>
              <w:rPr>
                <w:rFonts w:hint="eastAsia" w:ascii="宋体" w:hAnsi="宋体" w:eastAsia="宋体" w:cs="宋体"/>
                <w:i w:val="0"/>
                <w:iCs w:val="0"/>
                <w:color w:val="auto"/>
                <w:kern w:val="0"/>
                <w:sz w:val="22"/>
                <w:szCs w:val="22"/>
                <w:highlight w:val="none"/>
                <w:u w:val="none"/>
                <w:lang w:val="en-US" w:eastAsia="zh-CN" w:bidi="ar"/>
              </w:rPr>
              <w:t>1mm×120mm 的径管连接而成，容积4mL，环保材料，弹性好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0FC4E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7B398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w:t>
            </w:r>
          </w:p>
        </w:tc>
      </w:tr>
      <w:tr w14:paraId="1A3D3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A335F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78DBA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塑料洗瓶</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C5CF0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250mL或500mL，水嘴略向下倾斜，口径1mm～2mm，瓶口紧实不漏气</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2091A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4012B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A4B7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B875E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596DC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塑料水槽</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4051B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≥250mm×180mm×100mm</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EEF11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5171D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8DF8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94D88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C7A36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集气瓶挂扣器1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68AD7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125mL，塑料制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0786F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4F77D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3C14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963DF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27-149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F40A8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集气瓶挂扣器2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CC031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250mL，塑料制</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F99A8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97CC1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4373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B3144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0D527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注射器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C95EA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10mL，塑料制，符合医用器具卫生标准</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56B1F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F1746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7766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600E0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8C7A9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酒精喷灯</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A7E56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坐式，铜制，壶体容积≥300mL，火焰高度为150mm～180mm，火焰温度为 960 ℃±60 ℃</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925F7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FF617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2A34B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FE3C7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1B350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储气装置</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6A4D9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容积≥2L</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4B5D9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28364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103D1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8467D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19FEC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初中化学实验材料</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1F0AA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黄铜片、硬铝片、火柴、蜡烛、木板、电池、电珠、砂纸、面粉、凡士林等</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06D2E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份</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A9DA6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0F06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36C259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F0DF2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金属矿物、金属及合金标本</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94F85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标本盒≥180 mm×150 mm×50 mm，每种类型不少于 5 种，耐用，不易损坏，便于保存，适合观察</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00381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4BF38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F781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12AD8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BED84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溶液导电演示器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DC485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电表式，10 mA，DC6 V，串联电位器 1 kΩ ，电阻 560 Ω 。五组溶液同时比较，1×7 开关（其中一档校准），采用不锈钢或石墨电极</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901DE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0A2AD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3458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D3937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2730D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微型溶液导电实验器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99C11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所需每种溶液≤3mL</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47905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2DBDF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9588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C74A4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C0E3F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水电解演示器</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3868850">
            <w:pPr>
              <w:keepNext w:val="0"/>
              <w:keepLines w:val="0"/>
              <w:widowControl/>
              <w:numPr>
                <w:ilvl w:val="0"/>
                <w:numId w:val="13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高度29cm，产品由支架、底座、H形电解管、合金电极、导线、连接胶管等组成；</w:t>
            </w:r>
          </w:p>
          <w:p w14:paraId="4C3DCAFD">
            <w:pPr>
              <w:keepNext w:val="0"/>
              <w:keepLines w:val="0"/>
              <w:widowControl/>
              <w:numPr>
                <w:ilvl w:val="0"/>
                <w:numId w:val="13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H形电解管由玻璃制成，按30ml分度，最小分度单位为1ml；</w:t>
            </w:r>
          </w:p>
          <w:p w14:paraId="561596A6">
            <w:pPr>
              <w:keepNext w:val="0"/>
              <w:keepLines w:val="0"/>
              <w:widowControl/>
              <w:numPr>
                <w:ilvl w:val="0"/>
                <w:numId w:val="133"/>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工作电压：12V；</w:t>
            </w:r>
          </w:p>
          <w:p w14:paraId="1164BCA3">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4、电解过程中，H2与O2的体积（刻度）比应为2：1，无明显差异。</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AE12A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169C9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F421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082465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1E9F5B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金刚石结构模型</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41386A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碳原子：</w:t>
            </w:r>
            <w:r>
              <w:rPr>
                <w:rFonts w:hint="eastAsia" w:ascii="宋体" w:hAnsi="宋体" w:eastAsia="宋体" w:cs="宋体"/>
                <w:i/>
                <w:iCs/>
                <w:color w:val="auto"/>
                <w:kern w:val="0"/>
                <w:sz w:val="22"/>
                <w:szCs w:val="22"/>
                <w:highlight w:val="none"/>
                <w:u w:val="none"/>
                <w:lang w:val="en-US" w:eastAsia="zh-CN" w:bidi="ar"/>
              </w:rPr>
              <w:t xml:space="preserve">Φ </w:t>
            </w:r>
            <w:r>
              <w:rPr>
                <w:rFonts w:hint="eastAsia" w:ascii="宋体" w:hAnsi="宋体" w:eastAsia="宋体" w:cs="宋体"/>
                <w:i w:val="0"/>
                <w:iCs w:val="0"/>
                <w:color w:val="auto"/>
                <w:kern w:val="0"/>
                <w:sz w:val="22"/>
                <w:szCs w:val="22"/>
                <w:highlight w:val="none"/>
                <w:u w:val="none"/>
                <w:lang w:val="en-US" w:eastAsia="zh-CN" w:bidi="ar"/>
              </w:rPr>
              <w:t>30 mm 的 4 孔黑色塑料球 30 个；化学键：</w:t>
            </w:r>
            <w:r>
              <w:rPr>
                <w:rFonts w:hint="eastAsia" w:ascii="宋体" w:hAnsi="宋体" w:eastAsia="宋体" w:cs="宋体"/>
                <w:i/>
                <w:iCs/>
                <w:color w:val="auto"/>
                <w:kern w:val="0"/>
                <w:sz w:val="22"/>
                <w:szCs w:val="22"/>
                <w:highlight w:val="none"/>
                <w:u w:val="none"/>
                <w:lang w:val="en-US" w:eastAsia="zh-CN" w:bidi="ar"/>
              </w:rPr>
              <w:t xml:space="preserve">Φ </w:t>
            </w:r>
            <w:r>
              <w:rPr>
                <w:rFonts w:hint="eastAsia" w:ascii="宋体" w:hAnsi="宋体" w:eastAsia="宋体" w:cs="宋体"/>
                <w:i w:val="0"/>
                <w:iCs w:val="0"/>
                <w:color w:val="auto"/>
                <w:kern w:val="0"/>
                <w:sz w:val="22"/>
                <w:szCs w:val="22"/>
                <w:highlight w:val="none"/>
                <w:u w:val="none"/>
                <w:lang w:val="en-US" w:eastAsia="zh-CN" w:bidi="ar"/>
              </w:rPr>
              <w:t>3 mm×35 mm 镀镍金属杆 40 根</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75E06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7DE15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93D36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89B5A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27-159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06812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石墨结构模型</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FF295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碳原子：</w:t>
            </w:r>
            <w:r>
              <w:rPr>
                <w:rFonts w:hint="eastAsia" w:ascii="宋体" w:hAnsi="宋体" w:eastAsia="宋体" w:cs="宋体"/>
                <w:i/>
                <w:iCs/>
                <w:color w:val="auto"/>
                <w:kern w:val="0"/>
                <w:sz w:val="22"/>
                <w:szCs w:val="22"/>
                <w:highlight w:val="none"/>
                <w:u w:val="none"/>
                <w:lang w:val="en-US" w:eastAsia="zh-CN" w:bidi="ar"/>
              </w:rPr>
              <w:t xml:space="preserve">Φ </w:t>
            </w:r>
            <w:r>
              <w:rPr>
                <w:rFonts w:hint="eastAsia" w:ascii="宋体" w:hAnsi="宋体" w:eastAsia="宋体" w:cs="宋体"/>
                <w:i w:val="0"/>
                <w:iCs w:val="0"/>
                <w:color w:val="auto"/>
                <w:kern w:val="0"/>
                <w:sz w:val="22"/>
                <w:szCs w:val="22"/>
                <w:highlight w:val="none"/>
                <w:u w:val="none"/>
                <w:lang w:val="en-US" w:eastAsia="zh-CN" w:bidi="ar"/>
              </w:rPr>
              <w:t>30 mm 的 5 孔黑色塑料球 39 个；化学键：Φ 3 mm×50 mm 镀镍金属杆 45 根，Φ 3 mm×90 mm 镀镍金属杆 14 根</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8E195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0E356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2C82F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89B62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8FDFFB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碳-60结构模型</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D6915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碳原子：</w:t>
            </w:r>
            <w:r>
              <w:rPr>
                <w:rFonts w:hint="eastAsia" w:ascii="宋体" w:hAnsi="宋体" w:eastAsia="宋体" w:cs="宋体"/>
                <w:i/>
                <w:iCs/>
                <w:color w:val="auto"/>
                <w:kern w:val="0"/>
                <w:sz w:val="22"/>
                <w:szCs w:val="22"/>
                <w:highlight w:val="none"/>
                <w:u w:val="none"/>
                <w:lang w:val="en-US" w:eastAsia="zh-CN" w:bidi="ar"/>
              </w:rPr>
              <w:t xml:space="preserve">Φ </w:t>
            </w:r>
            <w:r>
              <w:rPr>
                <w:rFonts w:hint="eastAsia" w:ascii="宋体" w:hAnsi="宋体" w:eastAsia="宋体" w:cs="宋体"/>
                <w:i w:val="0"/>
                <w:iCs w:val="0"/>
                <w:color w:val="auto"/>
                <w:kern w:val="0"/>
                <w:sz w:val="22"/>
                <w:szCs w:val="22"/>
                <w:highlight w:val="none"/>
                <w:u w:val="none"/>
                <w:lang w:val="en-US" w:eastAsia="zh-CN" w:bidi="ar"/>
              </w:rPr>
              <w:t>30mm 的 3 孔黑色塑料球 60 个；化学键：</w:t>
            </w:r>
            <w:r>
              <w:rPr>
                <w:rFonts w:hint="eastAsia" w:ascii="宋体" w:hAnsi="宋体" w:eastAsia="宋体" w:cs="宋体"/>
                <w:i/>
                <w:iCs/>
                <w:color w:val="auto"/>
                <w:kern w:val="0"/>
                <w:sz w:val="22"/>
                <w:szCs w:val="22"/>
                <w:highlight w:val="none"/>
                <w:u w:val="none"/>
                <w:lang w:val="en-US" w:eastAsia="zh-CN" w:bidi="ar"/>
              </w:rPr>
              <w:t xml:space="preserve">Φ </w:t>
            </w:r>
            <w:r>
              <w:rPr>
                <w:rFonts w:hint="eastAsia" w:ascii="宋体" w:hAnsi="宋体" w:eastAsia="宋体" w:cs="宋体"/>
                <w:i w:val="0"/>
                <w:iCs w:val="0"/>
                <w:color w:val="auto"/>
                <w:kern w:val="0"/>
                <w:sz w:val="22"/>
                <w:szCs w:val="22"/>
                <w:highlight w:val="none"/>
                <w:u w:val="none"/>
                <w:lang w:val="en-US" w:eastAsia="zh-CN" w:bidi="ar"/>
              </w:rPr>
              <w:t>6mm×25mm 的镀镍金属杆 90 根</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17E98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389B0D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3B83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5BCAA0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C6AAA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碘升华凝华管</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6D013B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w:t>
            </w:r>
            <w:r>
              <w:rPr>
                <w:rFonts w:hint="eastAsia" w:ascii="宋体" w:hAnsi="宋体" w:eastAsia="宋体" w:cs="宋体"/>
                <w:i/>
                <w:iCs/>
                <w:color w:val="auto"/>
                <w:kern w:val="0"/>
                <w:sz w:val="22"/>
                <w:szCs w:val="22"/>
                <w:highlight w:val="none"/>
                <w:u w:val="none"/>
                <w:lang w:val="en-US" w:eastAsia="zh-CN" w:bidi="ar"/>
              </w:rPr>
              <w:t xml:space="preserve">Φ </w:t>
            </w:r>
            <w:r>
              <w:rPr>
                <w:rFonts w:hint="eastAsia" w:ascii="宋体" w:hAnsi="宋体" w:eastAsia="宋体" w:cs="宋体"/>
                <w:i w:val="0"/>
                <w:iCs w:val="0"/>
                <w:color w:val="auto"/>
                <w:kern w:val="0"/>
                <w:sz w:val="22"/>
                <w:szCs w:val="22"/>
                <w:highlight w:val="none"/>
                <w:u w:val="none"/>
                <w:lang w:val="en-US" w:eastAsia="zh-CN" w:bidi="ar"/>
              </w:rPr>
              <w:t>34 mm×28 mm，应采用无色透明硼硅酸盐玻璃制造，手柄与主管应连接平滑牢固，不应偏歪；主管应加碘后密封，两端面呈球面凹形，手柄靠近主管处应密封；玻璃仪器均匀透明无气泡，耐用，不易碎，采用酒精灯加热不易变形</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8E6CF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41CEB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F473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4E3B6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7D003C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分子结构模型</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2C1F2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空间充填式球直径30-40</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B545F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4528A2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8E09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92416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27-163</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0C2121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氯化钠晶体结构模型</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6BED4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"球棍式，氯原子 Φ 30 mm 的 6 孔绿色塑料球 13个；钠原子 Φ 30 mm 的 6 孔银灰色塑料球 14 个；化学键：Φ 3 mm×60 mm 的镀镍金属杆 54 根"</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97E1D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71420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D262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A1C9B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27-164</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83F81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原油常见馏分标本</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02691F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1、包括：原油、汽油、煤油、柴油、重油、润滑油、凡士林、沥青；2、每种标本附有标签采用塑料盒包装。</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F0F6A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ABFA8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A219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3DCCB0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27-165</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56327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炼铁高炉模型</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DE5D7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模型高度≥650 mm。主要结构应用标签注明，标注应准确、清晰、牢固。各部件位置正确、连接牢固，不得因正常震动、碰触而开裂、松脱</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66AFF1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2AEE35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0371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36132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27-166</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3C4529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合成有机高分子材料标本</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2CEB60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不少于 10 种，材料新颖，标识清楚，固定结实，不易脱落</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020C9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7AF98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2FDC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FB296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27-167</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1DCF9F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新型无机非金属材料标本</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37638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标本盒体积≥180 mm×150 mm×50 mm，包括氧化铝陶瓷、氮化硅陶瓷、光导纤维等，材料新颖，标识清楚，固定结实，不易脱落。陶瓷和玻璃切割整齐，美观</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3DAACC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73045D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012C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5FFC82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27-168</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C8677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pH 广泛试纸</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69070F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参数同序号24-15</w:t>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一致。</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4DA19A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D6EBE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508E0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119BA3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27-169</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BBEAB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蓝石蕊试纸</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7A385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用于测酸碱。</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CCAF2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6407B6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3486D8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6E9901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27-170</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58B494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红石蕊试纸</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156E6B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用于测酸碱。</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50733A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0E96CC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74C9F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279BD3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27-171</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2427F0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定性滤纸1</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341C2C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快速，9cm，100张</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06AA96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1DBA46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07334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428" w:type="pct"/>
            <w:tcBorders>
              <w:top w:val="single" w:color="000000" w:sz="4" w:space="0"/>
              <w:left w:val="single" w:color="000000" w:sz="4" w:space="0"/>
              <w:bottom w:val="single" w:color="000000" w:sz="4" w:space="0"/>
              <w:right w:val="single" w:color="000000" w:sz="4" w:space="0"/>
            </w:tcBorders>
            <w:noWrap w:val="0"/>
            <w:vAlign w:val="center"/>
          </w:tcPr>
          <w:p w14:paraId="4EF0A6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27-172</w:t>
            </w:r>
          </w:p>
        </w:tc>
        <w:tc>
          <w:tcPr>
            <w:tcW w:w="541" w:type="pct"/>
            <w:tcBorders>
              <w:top w:val="single" w:color="000000" w:sz="4" w:space="0"/>
              <w:left w:val="single" w:color="000000" w:sz="4" w:space="0"/>
              <w:bottom w:val="single" w:color="000000" w:sz="4" w:space="0"/>
              <w:right w:val="single" w:color="000000" w:sz="4" w:space="0"/>
            </w:tcBorders>
            <w:noWrap w:val="0"/>
            <w:vAlign w:val="center"/>
          </w:tcPr>
          <w:p w14:paraId="42D763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定性滤纸2</w:t>
            </w:r>
          </w:p>
        </w:tc>
        <w:tc>
          <w:tcPr>
            <w:tcW w:w="3269" w:type="pct"/>
            <w:tcBorders>
              <w:top w:val="single" w:color="000000" w:sz="4" w:space="0"/>
              <w:left w:val="single" w:color="000000" w:sz="4" w:space="0"/>
              <w:bottom w:val="single" w:color="000000" w:sz="4" w:space="0"/>
              <w:right w:val="single" w:color="000000" w:sz="4" w:space="0"/>
            </w:tcBorders>
            <w:noWrap w:val="0"/>
            <w:vAlign w:val="center"/>
          </w:tcPr>
          <w:p w14:paraId="7F8DD8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快速，15cm，100张</w:t>
            </w:r>
            <w:r>
              <w:rPr>
                <w:rFonts w:hint="eastAsia" w:ascii="宋体" w:hAnsi="宋体" w:cs="宋体"/>
                <w:i w:val="0"/>
                <w:iCs w:val="0"/>
                <w:color w:val="auto"/>
                <w:kern w:val="0"/>
                <w:sz w:val="22"/>
                <w:szCs w:val="22"/>
                <w:highlight w:val="none"/>
                <w:u w:val="none"/>
                <w:lang w:val="en-US" w:eastAsia="zh-CN" w:bidi="ar"/>
              </w:rPr>
              <w:t>。</w:t>
            </w:r>
          </w:p>
        </w:tc>
        <w:tc>
          <w:tcPr>
            <w:tcW w:w="343" w:type="pct"/>
            <w:tcBorders>
              <w:top w:val="single" w:color="000000" w:sz="4" w:space="0"/>
              <w:left w:val="single" w:color="000000" w:sz="4" w:space="0"/>
              <w:bottom w:val="single" w:color="000000" w:sz="4" w:space="0"/>
              <w:right w:val="single" w:color="000000" w:sz="4" w:space="0"/>
            </w:tcBorders>
            <w:noWrap w:val="0"/>
            <w:vAlign w:val="center"/>
          </w:tcPr>
          <w:p w14:paraId="73D8A8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6" w:type="pct"/>
            <w:tcBorders>
              <w:top w:val="single" w:color="000000" w:sz="4" w:space="0"/>
              <w:left w:val="single" w:color="000000" w:sz="4" w:space="0"/>
              <w:bottom w:val="single" w:color="000000" w:sz="4" w:space="0"/>
              <w:right w:val="single" w:color="000000" w:sz="4" w:space="0"/>
            </w:tcBorders>
            <w:noWrap/>
            <w:vAlign w:val="center"/>
          </w:tcPr>
          <w:p w14:paraId="5BD96C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14D34AF8">
      <w:pPr>
        <w:pStyle w:val="33"/>
        <w:rPr>
          <w:rFonts w:hint="eastAsia"/>
          <w:color w:val="auto"/>
          <w:highlight w:val="none"/>
        </w:rPr>
      </w:pPr>
    </w:p>
    <w:tbl>
      <w:tblPr>
        <w:tblStyle w:val="43"/>
        <w:tblW w:w="6009" w:type="pct"/>
        <w:tblInd w:w="-91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05"/>
        <w:gridCol w:w="1115"/>
        <w:gridCol w:w="6918"/>
        <w:gridCol w:w="740"/>
        <w:gridCol w:w="862"/>
      </w:tblGrid>
      <w:tr w14:paraId="488F1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64BC651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小学科学实验室</w:t>
            </w:r>
          </w:p>
        </w:tc>
      </w:tr>
      <w:tr w14:paraId="5E4DB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360490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28" w:type="pct"/>
            <w:tcBorders>
              <w:top w:val="single" w:color="000000" w:sz="4" w:space="0"/>
              <w:left w:val="single" w:color="000000" w:sz="4" w:space="0"/>
              <w:bottom w:val="single" w:color="000000" w:sz="4" w:space="0"/>
              <w:right w:val="single" w:color="000000" w:sz="4" w:space="0"/>
            </w:tcBorders>
            <w:noWrap/>
            <w:vAlign w:val="center"/>
          </w:tcPr>
          <w:p w14:paraId="146AB0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82" w:type="pct"/>
            <w:tcBorders>
              <w:top w:val="single" w:color="000000" w:sz="4" w:space="0"/>
              <w:left w:val="single" w:color="000000" w:sz="4" w:space="0"/>
              <w:bottom w:val="single" w:color="000000" w:sz="4" w:space="0"/>
              <w:right w:val="single" w:color="000000" w:sz="4" w:space="0"/>
            </w:tcBorders>
            <w:noWrap/>
            <w:vAlign w:val="center"/>
          </w:tcPr>
          <w:p w14:paraId="7B94CD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26A866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09" w:type="pct"/>
            <w:tcBorders>
              <w:top w:val="single" w:color="000000" w:sz="4" w:space="0"/>
              <w:left w:val="single" w:color="000000" w:sz="4" w:space="0"/>
              <w:bottom w:val="single" w:color="000000" w:sz="4" w:space="0"/>
              <w:right w:val="single" w:color="000000" w:sz="4" w:space="0"/>
            </w:tcBorders>
            <w:noWrap/>
            <w:vAlign w:val="center"/>
          </w:tcPr>
          <w:p w14:paraId="25AF3A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367417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052116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28-1</w:t>
            </w:r>
          </w:p>
        </w:tc>
        <w:tc>
          <w:tcPr>
            <w:tcW w:w="528" w:type="pct"/>
            <w:tcBorders>
              <w:top w:val="single" w:color="000000" w:sz="4" w:space="0"/>
              <w:left w:val="single" w:color="000000" w:sz="4" w:space="0"/>
              <w:bottom w:val="single" w:color="000000" w:sz="4" w:space="0"/>
              <w:right w:val="single" w:color="000000" w:sz="4" w:space="0"/>
            </w:tcBorders>
            <w:noWrap w:val="0"/>
            <w:vAlign w:val="center"/>
          </w:tcPr>
          <w:p w14:paraId="2F26C7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六边形桌（带高压）</w:t>
            </w:r>
          </w:p>
        </w:tc>
        <w:tc>
          <w:tcPr>
            <w:tcW w:w="3282" w:type="pct"/>
            <w:tcBorders>
              <w:top w:val="single" w:color="000000" w:sz="4" w:space="0"/>
              <w:left w:val="single" w:color="000000" w:sz="4" w:space="0"/>
              <w:bottom w:val="single" w:color="000000" w:sz="4" w:space="0"/>
              <w:right w:val="single" w:color="000000" w:sz="4" w:space="0"/>
            </w:tcBorders>
            <w:noWrap w:val="0"/>
            <w:vAlign w:val="center"/>
          </w:tcPr>
          <w:p w14:paraId="1C388741">
            <w:pPr>
              <w:keepNext w:val="0"/>
              <w:keepLines w:val="0"/>
              <w:widowControl/>
              <w:numPr>
                <w:ilvl w:val="0"/>
                <w:numId w:val="134"/>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整体规格：（长×宽×高）≥1400×1212×740mm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2、部件采用ABS结构组合而成，两个组位之间采用榫卯连接结构，牢固易安装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3、采用≥12.7mm厚国产实芯理化板制作</w:t>
            </w:r>
            <w:r>
              <w:rPr>
                <w:rFonts w:hint="eastAsia" w:ascii="宋体" w:hAnsi="宋体" w:cs="宋体"/>
                <w:i w:val="0"/>
                <w:iCs w:val="0"/>
                <w:color w:val="auto"/>
                <w:kern w:val="0"/>
                <w:sz w:val="22"/>
                <w:szCs w:val="22"/>
                <w:highlight w:val="none"/>
                <w:u w:val="none"/>
                <w:lang w:val="en-US" w:eastAsia="zh-CN" w:bidi="ar"/>
              </w:rPr>
              <w:t>。</w:t>
            </w:r>
          </w:p>
          <w:p w14:paraId="5A13EA2F">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4、台身功能：台身采用ABS注塑件相互连接，整体牢固，防水，防霉，坚固耐用，桌身内含学生书包斗，下部位是综合功能柜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5、加强底座：台身内部下端底座采用1.0冷轧钢板焊接制作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6、桌面配置220V交流电源，≥3个。</w:t>
            </w:r>
          </w:p>
          <w:p w14:paraId="49ADC412">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仿宋" w:hAnsi="仿宋" w:eastAsia="仿宋" w:cs="仿宋"/>
                <w:color w:val="auto"/>
                <w:sz w:val="21"/>
                <w:szCs w:val="21"/>
                <w:highlight w:val="none"/>
                <w:lang w:val="en-US" w:eastAsia="zh-CN"/>
              </w:rPr>
              <w:t>▲</w:t>
            </w:r>
            <w:r>
              <w:rPr>
                <w:rFonts w:hint="eastAsia" w:ascii="宋体" w:hAnsi="宋体" w:cs="宋体"/>
                <w:i w:val="0"/>
                <w:iCs w:val="0"/>
                <w:color w:val="auto"/>
                <w:kern w:val="0"/>
                <w:sz w:val="22"/>
                <w:szCs w:val="22"/>
                <w:highlight w:val="none"/>
                <w:u w:val="none"/>
                <w:lang w:val="en-US" w:eastAsia="zh-CN" w:bidi="ar"/>
              </w:rPr>
              <w:t>7</w:t>
            </w:r>
            <w:r>
              <w:rPr>
                <w:rFonts w:hint="eastAsia" w:ascii="宋体" w:hAnsi="宋体" w:eastAsia="宋体" w:cs="宋体"/>
                <w:i w:val="0"/>
                <w:iCs w:val="0"/>
                <w:color w:val="auto"/>
                <w:kern w:val="0"/>
                <w:sz w:val="22"/>
                <w:szCs w:val="22"/>
                <w:highlight w:val="none"/>
                <w:u w:val="none"/>
                <w:lang w:val="en-US" w:eastAsia="zh-CN" w:bidi="ar"/>
              </w:rPr>
              <w:t>台面满足以下要求：</w:t>
            </w:r>
          </w:p>
          <w:p w14:paraId="2F9D2C74">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物理性能：依据GB/T7911-2024《热固性树脂浸渍纸高压装饰层积板(HPL)》：平整度、密度、耐水蒸气、耐龟裂、耐光色牢度、弯曲弹性模量等项目测试，结果至少达到：平整度≤3.0mm/m；密度≥1.35g/cm³；耐水蒸气：光泽≥3级，其他≥4级；耐龟裂≥4级；耐光色牢度≥4-5级；弯曲弹性模量≥9000MPa。</w:t>
            </w:r>
          </w:p>
          <w:p w14:paraId="25ECF015">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抗细菌性能：依据JC/T 2039-2010《抗菌防霉木质装饰板》：抗细菌率≥90%，其中至少包含菌种：金黄色葡萄球菌、大肠杆菌（大肠埃希氏菌）、肠沙门氏菌肠亚种伤寒血清型、产气肠杆菌 、白色葡萄球菌 、霍乱弧菌、酿脓链球菌、洋葱伯克霍尔德氏菌、耐甲氧西林金黄色葡萄球菌、阴沟肠杆菌 、痢疾志贺氏菌、海氏肠球菌、肠炎沙门氏菌、嗜肺军团菌、粘质沙雷伯氏菌等。</w:t>
            </w:r>
          </w:p>
          <w:p w14:paraId="09A47224">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防霉菌耐久性能：依据JC/T 2039-2010《抗菌防霉木质装饰板》：防霉菌耐久性能-防霉菌等级至少达到0级，至少包含霉菌：黑曲霉、土曲霉、宛氏拟青霉、绳状青霉、出芽短梗霉、球毛壳霉、康宁木霉、绿粘帚霉、光孢短柄帚霉、烟曲霉、正灰绿青霉、树脂子囊菌、串珠镰刀菌、密粘褶菌、寄生曲霉、平滑正青霉等。</w:t>
            </w:r>
          </w:p>
          <w:p w14:paraId="7D113AF3">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环保性能：依据GB/T 23825-2022《人造板及其制品中甲醛释放量测定气体分析法》：甲醛释放量测试，检测结果≤2.0mg/(㎡·h)；依据GB 18584-2024 《家具中有害物质限量》：多溴联苯、多溴二苯醚，结果均达到未检出。</w:t>
            </w:r>
          </w:p>
          <w:p w14:paraId="7E2C31B0">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抗老化性能：依据GB/T 17657-2022《人造板及饰面人造板理化性能试验方法》：加速老化性能，加速老化循环后吸水厚度膨胀率≤0.3%、加速老化循环后静曲强度≥80MPa；表面吸收性能，结果≥200mm。</w:t>
            </w:r>
          </w:p>
          <w:p w14:paraId="64BC01D2">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（6）</w:t>
            </w:r>
            <w:r>
              <w:rPr>
                <w:rFonts w:hint="eastAsia" w:ascii="宋体" w:hAnsi="宋体" w:eastAsia="宋体" w:cs="宋体"/>
                <w:i w:val="0"/>
                <w:iCs w:val="0"/>
                <w:color w:val="auto"/>
                <w:kern w:val="0"/>
                <w:sz w:val="22"/>
                <w:szCs w:val="22"/>
                <w:highlight w:val="none"/>
                <w:u w:val="none"/>
                <w:lang w:val="en-US" w:eastAsia="zh-CN" w:bidi="ar"/>
              </w:rPr>
              <w:t>毒理性能：依据GB/T 21604-2022《化学品/急性皮肤刺激性/腐蚀性试验方法》：急性皮肤刺激性/腐蚀性试验，结果应为无刺激性。</w:t>
            </w:r>
          </w:p>
          <w:p w14:paraId="32F19C92">
            <w:pPr>
              <w:keepNext w:val="0"/>
              <w:keepLines w:val="0"/>
              <w:widowControl/>
              <w:numPr>
                <w:ilvl w:val="0"/>
                <w:numId w:val="0"/>
              </w:numPr>
              <w:suppressLineNumbers w:val="0"/>
              <w:jc w:val="left"/>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（提供第三方检验报告复印件，报告中需体现该性能内容）。</w:t>
            </w:r>
          </w:p>
        </w:tc>
        <w:tc>
          <w:tcPr>
            <w:tcW w:w="351" w:type="pct"/>
            <w:tcBorders>
              <w:top w:val="single" w:color="000000" w:sz="4" w:space="0"/>
              <w:left w:val="single" w:color="000000" w:sz="4" w:space="0"/>
              <w:bottom w:val="single" w:color="000000" w:sz="4" w:space="0"/>
              <w:right w:val="single" w:color="000000" w:sz="4" w:space="0"/>
            </w:tcBorders>
            <w:noWrap w:val="0"/>
            <w:vAlign w:val="center"/>
          </w:tcPr>
          <w:p w14:paraId="273ECE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09" w:type="pct"/>
            <w:tcBorders>
              <w:top w:val="single" w:color="000000" w:sz="4" w:space="0"/>
              <w:left w:val="single" w:color="000000" w:sz="4" w:space="0"/>
              <w:bottom w:val="single" w:color="000000" w:sz="4" w:space="0"/>
              <w:right w:val="single" w:color="000000" w:sz="4" w:space="0"/>
            </w:tcBorders>
            <w:noWrap w:val="0"/>
            <w:vAlign w:val="center"/>
          </w:tcPr>
          <w:p w14:paraId="32695A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0FA0D3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6DC09D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28-2</w:t>
            </w:r>
          </w:p>
        </w:tc>
        <w:tc>
          <w:tcPr>
            <w:tcW w:w="528" w:type="pct"/>
            <w:tcBorders>
              <w:top w:val="single" w:color="000000" w:sz="4" w:space="0"/>
              <w:left w:val="single" w:color="000000" w:sz="4" w:space="0"/>
              <w:bottom w:val="single" w:color="000000" w:sz="4" w:space="0"/>
              <w:right w:val="single" w:color="000000" w:sz="4" w:space="0"/>
            </w:tcBorders>
            <w:noWrap w:val="0"/>
            <w:vAlign w:val="center"/>
          </w:tcPr>
          <w:p w14:paraId="5D5060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学生实验凳</w:t>
            </w:r>
          </w:p>
        </w:tc>
        <w:tc>
          <w:tcPr>
            <w:tcW w:w="3282" w:type="pct"/>
            <w:tcBorders>
              <w:top w:val="single" w:color="000000" w:sz="4" w:space="0"/>
              <w:left w:val="single" w:color="000000" w:sz="4" w:space="0"/>
              <w:bottom w:val="single" w:color="000000" w:sz="4" w:space="0"/>
              <w:right w:val="single" w:color="000000" w:sz="4" w:space="0"/>
            </w:tcBorders>
            <w:noWrap w:val="0"/>
            <w:vAlign w:val="center"/>
          </w:tcPr>
          <w:p w14:paraId="453F8CE5">
            <w:pPr>
              <w:keepNext w:val="0"/>
              <w:keepLines w:val="0"/>
              <w:widowControl/>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【整体架构】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1、整体规格：采用钢塑复合材质，核心部件包括凳面、凳架、脚垫等</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2、高度调节：具有高度调节功能，具有内螺杆，可以通过旋转凳面进行高度调节，配备锁止环可以防止凳面打滑</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【凳面】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3、凳面规格：采用ABS工程塑料材质，采用一体注塑压成，直径≥300mm，高度≥30mm，材料边缘厚度≥5mm，结实耐用，不易变形</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4、凳面纹路：带有纹路，具有一定的耐磨、耐划特性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【凳架】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5、凳架由凳面固定盘、升降内螺杆、立柱、凳脚、塑胶脚垫等部件构成，升降内螺杆、立柱和凳脚三者之间采用焊接工艺连接，表面采用酸洗磷化+环氧树脂粉末喷涂+高温固化工艺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6、凳面固定盘：方形固定盘，采用冷轧钢板材质，固定盘尺寸≥150mm×150mm（长×宽），主承载壁基材厚度（不含表面处理层）≥2mm，通过≥4颗≥M6螺丝与凳面连接，通过≥20mm的内螺纹与升降内螺杆连接</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7、升降内螺杆：采用45号钢材质，行程≥120mm，凳面最低高度为离地面≥400mm，凳面最大高度为离地面≥520mm</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8、凳架立柱：采用截面规格≥φ32mm×100mm碳钢圆管，圆管主承载壁基材厚度（不含表面处理层）≥1.2mm，长度≥100mm，表面采用酸洗磷化+环氧树脂粉末喷涂+高温固化工艺</w:t>
            </w:r>
            <w:r>
              <w:rPr>
                <w:rFonts w:hint="eastAsia" w:ascii="宋体" w:hAnsi="宋体" w:cs="宋体"/>
                <w:i w:val="0"/>
                <w:iCs w:val="0"/>
                <w:color w:val="auto"/>
                <w:kern w:val="0"/>
                <w:sz w:val="22"/>
                <w:szCs w:val="22"/>
                <w:highlight w:val="none"/>
                <w:u w:val="none"/>
                <w:lang w:val="en-US" w:eastAsia="zh-CN" w:bidi="ar"/>
              </w:rPr>
              <w:t>。</w:t>
            </w:r>
          </w:p>
          <w:p w14:paraId="552302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9、凳脚数量：≥4个凳脚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10、凳脚规格：采用截面规格≥16mm×34mm碳钢方管，方管基材主承载壁基材厚度（不含表面处理层）≥1.2mm，长度≥400mm，表面采用酸洗磷化+环氧树脂粉末喷涂+高温固化工艺</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11、配件：配备≥4个ABS材质塑胶脚垫，安装在凳脚末端，使用时可减少地面摩擦。</w:t>
            </w:r>
          </w:p>
        </w:tc>
        <w:tc>
          <w:tcPr>
            <w:tcW w:w="351" w:type="pct"/>
            <w:tcBorders>
              <w:top w:val="single" w:color="000000" w:sz="4" w:space="0"/>
              <w:left w:val="single" w:color="000000" w:sz="4" w:space="0"/>
              <w:bottom w:val="single" w:color="000000" w:sz="4" w:space="0"/>
              <w:right w:val="single" w:color="000000" w:sz="4" w:space="0"/>
            </w:tcBorders>
            <w:noWrap w:val="0"/>
            <w:vAlign w:val="center"/>
          </w:tcPr>
          <w:p w14:paraId="52A127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w:t>
            </w:r>
          </w:p>
        </w:tc>
        <w:tc>
          <w:tcPr>
            <w:tcW w:w="409" w:type="pct"/>
            <w:tcBorders>
              <w:top w:val="single" w:color="000000" w:sz="4" w:space="0"/>
              <w:left w:val="single" w:color="000000" w:sz="4" w:space="0"/>
              <w:bottom w:val="single" w:color="000000" w:sz="4" w:space="0"/>
              <w:right w:val="single" w:color="000000" w:sz="4" w:space="0"/>
            </w:tcBorders>
            <w:noWrap w:val="0"/>
            <w:vAlign w:val="center"/>
          </w:tcPr>
          <w:p w14:paraId="719E4B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56</w:t>
            </w:r>
          </w:p>
        </w:tc>
      </w:tr>
      <w:tr w14:paraId="3D83E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096F1C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28-3</w:t>
            </w:r>
          </w:p>
        </w:tc>
        <w:tc>
          <w:tcPr>
            <w:tcW w:w="528" w:type="pct"/>
            <w:tcBorders>
              <w:top w:val="single" w:color="000000" w:sz="4" w:space="0"/>
              <w:left w:val="single" w:color="000000" w:sz="4" w:space="0"/>
              <w:bottom w:val="single" w:color="000000" w:sz="4" w:space="0"/>
              <w:right w:val="single" w:color="000000" w:sz="4" w:space="0"/>
            </w:tcBorders>
            <w:noWrap w:val="0"/>
            <w:vAlign w:val="center"/>
          </w:tcPr>
          <w:p w14:paraId="4A237D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教师主控电源</w:t>
            </w:r>
          </w:p>
        </w:tc>
        <w:tc>
          <w:tcPr>
            <w:tcW w:w="3282" w:type="pct"/>
            <w:tcBorders>
              <w:top w:val="single" w:color="000000" w:sz="4" w:space="0"/>
              <w:left w:val="single" w:color="000000" w:sz="4" w:space="0"/>
              <w:bottom w:val="single" w:color="000000" w:sz="4" w:space="0"/>
              <w:right w:val="single" w:color="000000" w:sz="4" w:space="0"/>
            </w:tcBorders>
            <w:noWrap w:val="0"/>
            <w:vAlign w:val="center"/>
          </w:tcPr>
          <w:p w14:paraId="5AE1B8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1、操作面板：采用钢化玻璃材质，规格：≥长 4183mm× 宽 218mm，搭配抽屉式设计，兼具美观与实用特性，既保证面板的耐用性和视觉效果，又便于日常操作</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2、机身结构：运用钣金加强工艺打造，有效增强机身强度，确保在按压操作过程中稳固可靠，彻底消除塌陷风险，保障设备长期稳定使用</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3、电路保护与控制：配备≥1 路漏电保护器，可对整个教室的学生电源和老师电源进行统一管控；同时设有≥4 路空气开关，能够将学生电源分为 4 组分别控制，实现灵活的电路管理与安全防护</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4、学生端控制功能：支持学生端批量操作控制，配备≥3 个触摸式按钮，分别为 “锁定同步”、“高压电”、“低压电”，方便教师快速对学生端电源进行多种模式的操作与管理</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5、直流稳压输出：具备≥2 组独立的 9V40A 直流稳压输出，与教师电源输出相互独立，互不干扰，满足不同实验设备的用电需求，确保供电稳定</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6、教师电源输出控制：采用液晶智能旋钮控制教师电源输出，设有≥1 组标准香蕉接口用于输出稳压直流电，≥1组标准香蕉接口用于输出稳压交流电，可按需灵活切换交直流输出模式，满足多样化实验教学需求</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7、液晶智能旋钮参数：液晶智能旋钮外尺寸≥49mm，旋钮中心配置 2 个≥3 位 LED 数码管显示屏，可实时显示电压和电流数值；通过旋钮可调节电压输出，并同步查看电流情况，方便教师精准控制电源输出参数</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8、调压电源功率与电流：调压电源总功率≥90W，直流和交流输出在 0 至 18V 区间时，最大电流可达 6A；在 18V 至 30V 区间时，最大电流为 3A，适应不同电压和电流需求的实验设备运行</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9、电压精度：在无负载状态下，输出电压误差≤0.2V，确保电源输出电压的精准度，为实验提供稳定可靠的电力支持</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10、交流插座配置：设有≥2 路五孔 220V 国标交流插座（二三插），适配多种常用电器设备，满足教室日常用电及实验设备的交流供电需求。</w:t>
            </w:r>
          </w:p>
        </w:tc>
        <w:tc>
          <w:tcPr>
            <w:tcW w:w="351" w:type="pct"/>
            <w:tcBorders>
              <w:top w:val="single" w:color="000000" w:sz="4" w:space="0"/>
              <w:left w:val="single" w:color="000000" w:sz="4" w:space="0"/>
              <w:bottom w:val="single" w:color="000000" w:sz="4" w:space="0"/>
              <w:right w:val="single" w:color="000000" w:sz="4" w:space="0"/>
            </w:tcBorders>
            <w:noWrap w:val="0"/>
            <w:vAlign w:val="center"/>
          </w:tcPr>
          <w:p w14:paraId="315E9C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09" w:type="pct"/>
            <w:tcBorders>
              <w:top w:val="single" w:color="000000" w:sz="4" w:space="0"/>
              <w:left w:val="single" w:color="000000" w:sz="4" w:space="0"/>
              <w:bottom w:val="single" w:color="000000" w:sz="4" w:space="0"/>
              <w:right w:val="single" w:color="000000" w:sz="4" w:space="0"/>
            </w:tcBorders>
            <w:noWrap w:val="0"/>
            <w:vAlign w:val="center"/>
          </w:tcPr>
          <w:p w14:paraId="38E95E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6333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05799C1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28-4</w:t>
            </w:r>
          </w:p>
        </w:tc>
        <w:tc>
          <w:tcPr>
            <w:tcW w:w="528" w:type="pct"/>
            <w:tcBorders>
              <w:top w:val="single" w:color="000000" w:sz="4" w:space="0"/>
              <w:left w:val="single" w:color="000000" w:sz="4" w:space="0"/>
              <w:bottom w:val="single" w:color="000000" w:sz="4" w:space="0"/>
              <w:right w:val="single" w:color="000000" w:sz="4" w:space="0"/>
            </w:tcBorders>
            <w:noWrap w:val="0"/>
            <w:vAlign w:val="center"/>
          </w:tcPr>
          <w:p w14:paraId="321824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教师演示台</w:t>
            </w:r>
          </w:p>
        </w:tc>
        <w:tc>
          <w:tcPr>
            <w:tcW w:w="3282" w:type="pct"/>
            <w:tcBorders>
              <w:top w:val="single" w:color="000000" w:sz="4" w:space="0"/>
              <w:left w:val="single" w:color="000000" w:sz="4" w:space="0"/>
              <w:bottom w:val="single" w:color="000000" w:sz="4" w:space="0"/>
              <w:right w:val="single" w:color="000000" w:sz="4" w:space="0"/>
            </w:tcBorders>
            <w:noWrap w:val="0"/>
            <w:vAlign w:val="center"/>
          </w:tcPr>
          <w:p w14:paraId="77AD7F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参数同序号19-4一致。</w:t>
            </w:r>
          </w:p>
        </w:tc>
        <w:tc>
          <w:tcPr>
            <w:tcW w:w="351" w:type="pct"/>
            <w:tcBorders>
              <w:top w:val="single" w:color="000000" w:sz="4" w:space="0"/>
              <w:left w:val="single" w:color="000000" w:sz="4" w:space="0"/>
              <w:bottom w:val="single" w:color="000000" w:sz="4" w:space="0"/>
              <w:right w:val="single" w:color="000000" w:sz="4" w:space="0"/>
            </w:tcBorders>
            <w:noWrap w:val="0"/>
            <w:vAlign w:val="center"/>
          </w:tcPr>
          <w:p w14:paraId="236F49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09" w:type="pct"/>
            <w:tcBorders>
              <w:top w:val="single" w:color="000000" w:sz="4" w:space="0"/>
              <w:left w:val="single" w:color="000000" w:sz="4" w:space="0"/>
              <w:bottom w:val="single" w:color="000000" w:sz="4" w:space="0"/>
              <w:right w:val="single" w:color="000000" w:sz="4" w:space="0"/>
            </w:tcBorders>
            <w:noWrap w:val="0"/>
            <w:vAlign w:val="center"/>
          </w:tcPr>
          <w:p w14:paraId="36A237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A3F7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75664D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28-5</w:t>
            </w:r>
          </w:p>
        </w:tc>
        <w:tc>
          <w:tcPr>
            <w:tcW w:w="528" w:type="pct"/>
            <w:tcBorders>
              <w:top w:val="single" w:color="000000" w:sz="4" w:space="0"/>
              <w:left w:val="single" w:color="000000" w:sz="4" w:space="0"/>
              <w:bottom w:val="single" w:color="000000" w:sz="4" w:space="0"/>
              <w:right w:val="single" w:color="000000" w:sz="4" w:space="0"/>
            </w:tcBorders>
            <w:noWrap w:val="0"/>
            <w:vAlign w:val="center"/>
          </w:tcPr>
          <w:p w14:paraId="509939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教师转椅</w:t>
            </w:r>
          </w:p>
        </w:tc>
        <w:tc>
          <w:tcPr>
            <w:tcW w:w="3282" w:type="pct"/>
            <w:tcBorders>
              <w:top w:val="single" w:color="000000" w:sz="4" w:space="0"/>
              <w:left w:val="single" w:color="000000" w:sz="4" w:space="0"/>
              <w:bottom w:val="single" w:color="000000" w:sz="4" w:space="0"/>
              <w:right w:val="single" w:color="000000" w:sz="4" w:space="0"/>
            </w:tcBorders>
            <w:noWrap w:val="0"/>
            <w:vAlign w:val="center"/>
          </w:tcPr>
          <w:p w14:paraId="0A2892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参数同序号19-6一致。</w:t>
            </w:r>
          </w:p>
        </w:tc>
        <w:tc>
          <w:tcPr>
            <w:tcW w:w="351" w:type="pct"/>
            <w:tcBorders>
              <w:top w:val="single" w:color="000000" w:sz="4" w:space="0"/>
              <w:left w:val="single" w:color="000000" w:sz="4" w:space="0"/>
              <w:bottom w:val="single" w:color="000000" w:sz="4" w:space="0"/>
              <w:right w:val="single" w:color="000000" w:sz="4" w:space="0"/>
            </w:tcBorders>
            <w:noWrap w:val="0"/>
            <w:vAlign w:val="center"/>
          </w:tcPr>
          <w:p w14:paraId="5E8B07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张</w:t>
            </w:r>
          </w:p>
        </w:tc>
        <w:tc>
          <w:tcPr>
            <w:tcW w:w="409" w:type="pct"/>
            <w:tcBorders>
              <w:top w:val="single" w:color="000000" w:sz="4" w:space="0"/>
              <w:left w:val="single" w:color="000000" w:sz="4" w:space="0"/>
              <w:bottom w:val="single" w:color="000000" w:sz="4" w:space="0"/>
              <w:right w:val="single" w:color="000000" w:sz="4" w:space="0"/>
            </w:tcBorders>
            <w:noWrap w:val="0"/>
            <w:vAlign w:val="center"/>
          </w:tcPr>
          <w:p w14:paraId="064630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8CE5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429" w:type="pct"/>
            <w:tcBorders>
              <w:top w:val="single" w:color="000000" w:sz="4" w:space="0"/>
              <w:left w:val="single" w:color="000000" w:sz="4" w:space="0"/>
              <w:bottom w:val="single" w:color="000000" w:sz="4" w:space="0"/>
              <w:right w:val="single" w:color="000000" w:sz="4" w:space="0"/>
            </w:tcBorders>
            <w:noWrap/>
            <w:vAlign w:val="center"/>
          </w:tcPr>
          <w:p w14:paraId="2CE3EC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28-6</w:t>
            </w:r>
          </w:p>
        </w:tc>
        <w:tc>
          <w:tcPr>
            <w:tcW w:w="528" w:type="pct"/>
            <w:tcBorders>
              <w:top w:val="single" w:color="000000" w:sz="4" w:space="0"/>
              <w:left w:val="single" w:color="000000" w:sz="4" w:space="0"/>
              <w:bottom w:val="single" w:color="000000" w:sz="4" w:space="0"/>
              <w:right w:val="single" w:color="000000" w:sz="4" w:space="0"/>
            </w:tcBorders>
            <w:noWrap w:val="0"/>
            <w:vAlign w:val="center"/>
          </w:tcPr>
          <w:p w14:paraId="53006E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安装调试</w:t>
            </w:r>
          </w:p>
        </w:tc>
        <w:tc>
          <w:tcPr>
            <w:tcW w:w="3282" w:type="pct"/>
            <w:tcBorders>
              <w:top w:val="single" w:color="000000" w:sz="4" w:space="0"/>
              <w:left w:val="single" w:color="000000" w:sz="4" w:space="0"/>
              <w:bottom w:val="single" w:color="000000" w:sz="4" w:space="0"/>
              <w:right w:val="single" w:color="000000" w:sz="4" w:space="0"/>
            </w:tcBorders>
            <w:noWrap w:val="0"/>
            <w:vAlign w:val="center"/>
          </w:tcPr>
          <w:p w14:paraId="42DB6C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实验室全套设备设施包含：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1、桌椅讲台功能柱等设备安装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2、电线：国标优质铜芯线4mm²电线、2.5mm²电线</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3、pvc线管、金属吊架及五金件；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4、配套电工胶布，护套管等辅助材料；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5、地上明管线的安装</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6、讲台学生位接线及调试</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7、安装完成后的场室清洁工作。</w:t>
            </w:r>
          </w:p>
        </w:tc>
        <w:tc>
          <w:tcPr>
            <w:tcW w:w="351" w:type="pct"/>
            <w:tcBorders>
              <w:top w:val="single" w:color="000000" w:sz="4" w:space="0"/>
              <w:left w:val="single" w:color="000000" w:sz="4" w:space="0"/>
              <w:bottom w:val="single" w:color="000000" w:sz="4" w:space="0"/>
              <w:right w:val="single" w:color="000000" w:sz="4" w:space="0"/>
            </w:tcBorders>
            <w:noWrap w:val="0"/>
            <w:vAlign w:val="center"/>
          </w:tcPr>
          <w:p w14:paraId="009B51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项</w:t>
            </w:r>
          </w:p>
        </w:tc>
        <w:tc>
          <w:tcPr>
            <w:tcW w:w="409" w:type="pct"/>
            <w:tcBorders>
              <w:top w:val="single" w:color="000000" w:sz="4" w:space="0"/>
              <w:left w:val="single" w:color="000000" w:sz="4" w:space="0"/>
              <w:bottom w:val="single" w:color="000000" w:sz="4" w:space="0"/>
              <w:right w:val="single" w:color="000000" w:sz="4" w:space="0"/>
            </w:tcBorders>
            <w:noWrap w:val="0"/>
            <w:vAlign w:val="center"/>
          </w:tcPr>
          <w:p w14:paraId="6FED04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bl>
    <w:p w14:paraId="4274AC80">
      <w:pPr>
        <w:pStyle w:val="33"/>
        <w:rPr>
          <w:rFonts w:hint="eastAsia"/>
          <w:color w:val="auto"/>
          <w:highlight w:val="none"/>
        </w:rPr>
      </w:pPr>
    </w:p>
    <w:tbl>
      <w:tblPr>
        <w:tblStyle w:val="43"/>
        <w:tblW w:w="6026" w:type="pct"/>
        <w:tblInd w:w="-9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2"/>
        <w:gridCol w:w="1095"/>
        <w:gridCol w:w="6915"/>
        <w:gridCol w:w="739"/>
        <w:gridCol w:w="879"/>
      </w:tblGrid>
      <w:tr w14:paraId="521E3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000" w:type="pct"/>
            <w:gridSpan w:val="5"/>
            <w:tcBorders>
              <w:top w:val="single" w:color="000000" w:sz="4" w:space="0"/>
              <w:left w:val="single" w:color="000000" w:sz="4" w:space="0"/>
              <w:bottom w:val="single" w:color="000000" w:sz="4" w:space="0"/>
              <w:right w:val="single" w:color="000000" w:sz="4" w:space="0"/>
            </w:tcBorders>
            <w:noWrap/>
            <w:vAlign w:val="center"/>
          </w:tcPr>
          <w:p w14:paraId="2BECF2D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科学仪器室</w:t>
            </w:r>
          </w:p>
        </w:tc>
      </w:tr>
      <w:tr w14:paraId="4AF4F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ign w:val="center"/>
          </w:tcPr>
          <w:p w14:paraId="092A742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序号</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228563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 xml:space="preserve">产品名称   </w:t>
            </w:r>
          </w:p>
        </w:tc>
        <w:tc>
          <w:tcPr>
            <w:tcW w:w="3271" w:type="pct"/>
            <w:tcBorders>
              <w:top w:val="single" w:color="000000" w:sz="4" w:space="0"/>
              <w:left w:val="single" w:color="000000" w:sz="4" w:space="0"/>
              <w:bottom w:val="single" w:color="000000" w:sz="4" w:space="0"/>
              <w:right w:val="single" w:color="000000" w:sz="4" w:space="0"/>
            </w:tcBorders>
            <w:noWrap/>
            <w:vAlign w:val="center"/>
          </w:tcPr>
          <w:p w14:paraId="17FED4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规格参数</w:t>
            </w:r>
          </w:p>
        </w:tc>
        <w:tc>
          <w:tcPr>
            <w:tcW w:w="349" w:type="pct"/>
            <w:tcBorders>
              <w:top w:val="single" w:color="000000" w:sz="4" w:space="0"/>
              <w:left w:val="single" w:color="000000" w:sz="4" w:space="0"/>
              <w:bottom w:val="single" w:color="000000" w:sz="4" w:space="0"/>
              <w:right w:val="single" w:color="000000" w:sz="4" w:space="0"/>
            </w:tcBorders>
            <w:noWrap/>
            <w:vAlign w:val="center"/>
          </w:tcPr>
          <w:p w14:paraId="513AC7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单位</w:t>
            </w:r>
          </w:p>
        </w:tc>
        <w:tc>
          <w:tcPr>
            <w:tcW w:w="415" w:type="pct"/>
            <w:tcBorders>
              <w:top w:val="single" w:color="000000" w:sz="4" w:space="0"/>
              <w:left w:val="single" w:color="000000" w:sz="4" w:space="0"/>
              <w:bottom w:val="single" w:color="000000" w:sz="4" w:space="0"/>
              <w:right w:val="single" w:color="000000" w:sz="4" w:space="0"/>
            </w:tcBorders>
            <w:noWrap/>
            <w:vAlign w:val="center"/>
          </w:tcPr>
          <w:p w14:paraId="1C197B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数量</w:t>
            </w:r>
          </w:p>
        </w:tc>
      </w:tr>
      <w:tr w14:paraId="06B2F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52D2B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066FC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打孔器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6F724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四件</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C7239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207EA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DD30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2543C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D3788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打气筒</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54892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手持式普通款</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F07728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B1280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737C9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A746B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D4542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仪器车</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1FEB500">
            <w:pPr>
              <w:keepNext w:val="0"/>
              <w:keepLines w:val="0"/>
              <w:widowControl/>
              <w:numPr>
                <w:ilvl w:val="0"/>
                <w:numId w:val="135"/>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不锈钢制</w:t>
            </w:r>
            <w:r>
              <w:rPr>
                <w:rFonts w:hint="eastAsia" w:ascii="宋体" w:hAnsi="宋体" w:cs="宋体"/>
                <w:i w:val="0"/>
                <w:iCs w:val="0"/>
                <w:color w:val="auto"/>
                <w:kern w:val="0"/>
                <w:sz w:val="22"/>
                <w:szCs w:val="22"/>
                <w:highlight w:val="none"/>
                <w:u w:val="none"/>
                <w:lang w:val="en-US" w:eastAsia="zh-CN" w:bidi="ar"/>
              </w:rPr>
              <w:t>；</w:t>
            </w:r>
          </w:p>
          <w:p w14:paraId="1E8E73D9">
            <w:pPr>
              <w:keepNext w:val="0"/>
              <w:keepLines w:val="0"/>
              <w:widowControl/>
              <w:numPr>
                <w:ilvl w:val="0"/>
                <w:numId w:val="13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规格：</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640mm×425mm×855mm，4个2寸活动轮，其中两个带刹车功能</w:t>
            </w:r>
            <w:r>
              <w:rPr>
                <w:rFonts w:hint="eastAsia" w:ascii="宋体" w:hAnsi="宋体" w:cs="宋体"/>
                <w:i w:val="0"/>
                <w:iCs w:val="0"/>
                <w:color w:val="auto"/>
                <w:kern w:val="0"/>
                <w:sz w:val="22"/>
                <w:szCs w:val="22"/>
                <w:highlight w:val="none"/>
                <w:u w:val="none"/>
                <w:lang w:val="en-US" w:eastAsia="zh-CN" w:bidi="ar"/>
              </w:rPr>
              <w:t>；</w:t>
            </w:r>
          </w:p>
          <w:p w14:paraId="1A990B48">
            <w:pPr>
              <w:keepNext w:val="0"/>
              <w:keepLines w:val="0"/>
              <w:widowControl/>
              <w:numPr>
                <w:ilvl w:val="0"/>
                <w:numId w:val="13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仪器车应分为2层，层间距不小于300mm</w:t>
            </w:r>
            <w:r>
              <w:rPr>
                <w:rFonts w:hint="eastAsia" w:ascii="宋体" w:hAnsi="宋体" w:cs="宋体"/>
                <w:i w:val="0"/>
                <w:iCs w:val="0"/>
                <w:color w:val="auto"/>
                <w:kern w:val="0"/>
                <w:sz w:val="22"/>
                <w:szCs w:val="22"/>
                <w:highlight w:val="none"/>
                <w:u w:val="none"/>
                <w:lang w:val="en-US" w:eastAsia="zh-CN" w:bidi="ar"/>
              </w:rPr>
              <w:t>；</w:t>
            </w:r>
          </w:p>
          <w:p w14:paraId="547AFB9A">
            <w:pPr>
              <w:keepNext w:val="0"/>
              <w:keepLines w:val="0"/>
              <w:widowControl/>
              <w:numPr>
                <w:ilvl w:val="0"/>
                <w:numId w:val="13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整车安装好后应载重50Kg，应运行平稳，不得变形、摇晃、松动</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7D049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辆</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3F52D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0A0FC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E30B0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F7180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生物显微镜</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71FCA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500倍</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D933E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BE8B7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D75F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23B09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C8E42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生物显微演示装置</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61E49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彩色，分辨率450TV线以上，放大倍数40倍～1500倍</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9E82CC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B40C3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1490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62D5B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EA230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学生显微镜</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208FD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200倍，单筒(金属)</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96650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8225F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11AF0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53659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51C01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放大镜1</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77723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手持式,有效通光孔径不小于40mm，5×，手柄长不低于55mm,应符合JY/T 0378 的有关要求。</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F3706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6025A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6627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9E5F4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7BA5F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放大镜2</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56DBE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3倍，直径不小于40mm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4FDFE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873B0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C41B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D4409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DB5384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天文望远镜</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CD4C8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口径80mm～150mm；折射或反射式</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0B5E4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93891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6ED2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59C2F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F9099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酒精喷灯</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6F40FE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铜制坐式,由壶体、预燃盘、壶嘴、喷管、火苗调节杆、通针等部分组成。</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92448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66E81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23CE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9ABA8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3B6A9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电加热器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FA82A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适用于化学实验过程中加热之用。功率：密封式，额定功率不小于800W。</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AF64E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32A4F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4200E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717A0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45AB2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保温箱</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F523C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12L</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BE7DF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5C6AB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FE22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9BFAE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B5A7A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水族箱</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476A5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尺寸</w:t>
            </w:r>
            <w:r>
              <w:rPr>
                <w:rFonts w:hint="eastAsia" w:ascii="宋体" w:hAnsi="宋体" w:eastAsia="宋体" w:cs="宋体"/>
                <w:i w:val="0"/>
                <w:iCs w:val="0"/>
                <w:snapToGrid/>
                <w:color w:val="auto"/>
                <w:kern w:val="0"/>
                <w:sz w:val="20"/>
                <w:szCs w:val="20"/>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29.5*21*30.5</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4252B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A7BFD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A041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0FC53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FD09D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手持移动灯</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79407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6V，4AH密封铅酸蓄电池，完备的充电保护电路；具有高亮度LED点光源和平行光源。</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CA9B3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6E5C0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7BD896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77F87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5FC58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水槽</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F9EEC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塑料材质圆形，220*100MM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EEB0C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5E635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0847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C6321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B2FF9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方座支架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7425CA7">
            <w:pPr>
              <w:keepNext w:val="0"/>
              <w:keepLines w:val="0"/>
              <w:widowControl/>
              <w:numPr>
                <w:ilvl w:val="0"/>
                <w:numId w:val="13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由底座、立杆、烧瓶夹，大小铁环，垂直夹，平行夹等组成</w:t>
            </w:r>
            <w:r>
              <w:rPr>
                <w:rFonts w:hint="eastAsia" w:ascii="宋体" w:hAnsi="宋体" w:cs="宋体"/>
                <w:i w:val="0"/>
                <w:iCs w:val="0"/>
                <w:color w:val="auto"/>
                <w:kern w:val="0"/>
                <w:sz w:val="22"/>
                <w:szCs w:val="22"/>
                <w:highlight w:val="none"/>
                <w:u w:val="none"/>
                <w:lang w:val="en-US" w:eastAsia="zh-CN" w:bidi="ar"/>
              </w:rPr>
              <w:t>；</w:t>
            </w:r>
          </w:p>
          <w:p w14:paraId="46C4E138">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底座：210mm*135mm；底座和立杆防锈处理；</w:t>
            </w:r>
          </w:p>
          <w:p w14:paraId="330E8F7F">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立杆的一端装有M10*18mm螺纹；</w:t>
            </w:r>
          </w:p>
          <w:p w14:paraId="2C863425">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底座放置平稳，无明显晃动；</w:t>
            </w:r>
          </w:p>
          <w:p w14:paraId="4C9CA3F5">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立杆和方座应垂直</w:t>
            </w:r>
            <w:r>
              <w:rPr>
                <w:rFonts w:hint="eastAsia" w:ascii="宋体" w:hAnsi="宋体" w:cs="宋体"/>
                <w:i w:val="0"/>
                <w:iCs w:val="0"/>
                <w:color w:val="auto"/>
                <w:kern w:val="0"/>
                <w:sz w:val="22"/>
                <w:szCs w:val="22"/>
                <w:highlight w:val="none"/>
                <w:u w:val="none"/>
                <w:lang w:val="en-US" w:eastAsia="zh-CN" w:bidi="ar"/>
              </w:rPr>
              <w:t>；</w:t>
            </w:r>
          </w:p>
          <w:p w14:paraId="2C15CF04">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碟形螺帽为M5；垂直夹、平行夹的夹体为S形，顶部各有M6紧固螺钉；</w:t>
            </w:r>
          </w:p>
          <w:p w14:paraId="41F89119">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方座支架附：烧瓶夹一只、垂直夹二只、大小铁环各一只、平行夹一只</w:t>
            </w:r>
            <w:r>
              <w:rPr>
                <w:rFonts w:hint="eastAsia" w:ascii="宋体" w:hAnsi="宋体" w:cs="宋体"/>
                <w:i w:val="0"/>
                <w:iCs w:val="0"/>
                <w:color w:val="auto"/>
                <w:kern w:val="0"/>
                <w:sz w:val="22"/>
                <w:szCs w:val="22"/>
                <w:highlight w:val="none"/>
                <w:u w:val="none"/>
                <w:lang w:val="en-US" w:eastAsia="zh-CN" w:bidi="ar"/>
              </w:rPr>
              <w:t>；</w:t>
            </w:r>
          </w:p>
          <w:p w14:paraId="32C3B414">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立杆直径为Φ12mm</w:t>
            </w:r>
            <w:r>
              <w:rPr>
                <w:rFonts w:hint="eastAsia" w:ascii="宋体" w:hAnsi="宋体" w:cs="宋体"/>
                <w:i w:val="0"/>
                <w:iCs w:val="0"/>
                <w:color w:val="auto"/>
                <w:kern w:val="0"/>
                <w:sz w:val="22"/>
                <w:szCs w:val="22"/>
                <w:highlight w:val="none"/>
                <w:u w:val="none"/>
                <w:lang w:val="en-US" w:eastAsia="zh-CN" w:bidi="ar"/>
              </w:rPr>
              <w:t>；</w:t>
            </w:r>
          </w:p>
          <w:p w14:paraId="2995AB0F">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烧瓶夹：夹口闭合间隙小于0.1mm，最大开口不小于35mm，夹杆直径为Φ8mm</w:t>
            </w:r>
            <w:r>
              <w:rPr>
                <w:rFonts w:hint="eastAsia" w:ascii="宋体" w:hAnsi="宋体" w:cs="宋体"/>
                <w:i w:val="0"/>
                <w:iCs w:val="0"/>
                <w:color w:val="auto"/>
                <w:kern w:val="0"/>
                <w:sz w:val="22"/>
                <w:szCs w:val="22"/>
                <w:highlight w:val="none"/>
                <w:u w:val="none"/>
                <w:lang w:val="en-US" w:eastAsia="zh-CN" w:bidi="ar"/>
              </w:rPr>
              <w:t>；</w:t>
            </w:r>
          </w:p>
          <w:p w14:paraId="49622133">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铁环：大铁环内径Φ90mm，大铁环柄长105mm，小铁环内径Φ50mm，小铁环柄长125mm，圆环120度处开口宽约20mm</w:t>
            </w:r>
          </w:p>
          <w:p w14:paraId="2A16E4A7">
            <w:pPr>
              <w:keepNext w:val="0"/>
              <w:keepLines w:val="0"/>
              <w:widowControl/>
              <w:numPr>
                <w:ilvl w:val="0"/>
                <w:numId w:val="136"/>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其他：垂直夹和平行夹的夹持直径范围为Φ6mm--Φ14mm，立杆与方座组装后的垂直度≤3mm,铁环与立杆组装后的垂直度≤4mm。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35B63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02FBD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797F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73BDE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96ECF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三脚架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5E104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铁质，固定脚</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545FD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C9A18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45DA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853A3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8C2D2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6BE60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8孔塑料</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2110D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2C01D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65ED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63F2F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7BB2E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旋转架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15B7A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原旋转架，由底座、转轴和转台等组成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6682F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2F0BF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8100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10A9F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0898D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百叶箱支架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CDED3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金属制，经防锈处理</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B2EE0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6D409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5FA4B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475DF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D2D83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百叶箱</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9F69CEC">
            <w:pPr>
              <w:keepNext w:val="0"/>
              <w:keepLines w:val="0"/>
              <w:widowControl/>
              <w:numPr>
                <w:ilvl w:val="0"/>
                <w:numId w:val="137"/>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供小学科学课教学和校内气象站使用；</w:t>
            </w:r>
          </w:p>
          <w:p w14:paraId="4B1E6A86">
            <w:pPr>
              <w:keepNext w:val="0"/>
              <w:keepLines w:val="0"/>
              <w:widowControl/>
              <w:numPr>
                <w:ilvl w:val="0"/>
                <w:numId w:val="137"/>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箱体内尺寸不小于460mm×290mm×537mm（高、宽、深）；</w:t>
            </w:r>
          </w:p>
          <w:p w14:paraId="27119DFF">
            <w:pPr>
              <w:keepNext w:val="0"/>
              <w:keepLines w:val="0"/>
              <w:widowControl/>
              <w:numPr>
                <w:ilvl w:val="0"/>
                <w:numId w:val="137"/>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应选松木并经干燥脱脂处理，百叶为双层，人字形排列；</w:t>
            </w:r>
          </w:p>
          <w:p w14:paraId="15DEE0B1">
            <w:pPr>
              <w:keepNext w:val="0"/>
              <w:keepLines w:val="0"/>
              <w:widowControl/>
              <w:numPr>
                <w:ilvl w:val="0"/>
                <w:numId w:val="137"/>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箱内外应涂白色漆，箱体榫接成形，应牢固，无变形；</w:t>
            </w:r>
          </w:p>
          <w:p w14:paraId="78D2FB63">
            <w:pPr>
              <w:keepNext w:val="0"/>
              <w:keepLines w:val="0"/>
              <w:widowControl/>
              <w:numPr>
                <w:ilvl w:val="0"/>
                <w:numId w:val="0"/>
              </w:numPr>
              <w:suppressLineNumbers w:val="0"/>
              <w:ind w:left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5．百叶箱顶盖应是横竖两层木板镶合而成，前面高于后面10mm，以保护箱内仪器免受损害。</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59953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BE560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164EB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1223E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74CFF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学生电源</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66ECB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直流：1.5V～6V，每1.5V一档，≥1A</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A58C8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F128B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3F00E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E2BAE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5589A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教学电源</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B1AA181">
            <w:pPr>
              <w:keepNext w:val="0"/>
              <w:keepLines w:val="0"/>
              <w:widowControl/>
              <w:numPr>
                <w:ilvl w:val="0"/>
                <w:numId w:val="13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交流：2V～12V，5A，每2V一档；</w:t>
            </w:r>
          </w:p>
          <w:p w14:paraId="56716016">
            <w:pPr>
              <w:keepNext w:val="0"/>
              <w:keepLines w:val="0"/>
              <w:widowControl/>
              <w:numPr>
                <w:ilvl w:val="0"/>
                <w:numId w:val="13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直流：1.5V～12V，2A，分为1.5V、3V、4.5V、6V、9V、12V共6档</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D6F63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7C29E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27E5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0E1B9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29-24</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7609610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电池盒</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CE2156D">
            <w:pPr>
              <w:keepNext w:val="0"/>
              <w:keepLines w:val="0"/>
              <w:widowControl/>
              <w:numPr>
                <w:ilvl w:val="0"/>
                <w:numId w:val="13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仪器可放置1节1号电池</w:t>
            </w:r>
            <w:r>
              <w:rPr>
                <w:rFonts w:hint="eastAsia" w:ascii="宋体" w:hAnsi="宋体" w:cs="宋体"/>
                <w:i w:val="0"/>
                <w:iCs w:val="0"/>
                <w:color w:val="auto"/>
                <w:kern w:val="0"/>
                <w:sz w:val="22"/>
                <w:szCs w:val="22"/>
                <w:highlight w:val="none"/>
                <w:u w:val="none"/>
                <w:lang w:val="en-US" w:eastAsia="zh-CN" w:bidi="ar"/>
              </w:rPr>
              <w:t>；</w:t>
            </w:r>
          </w:p>
          <w:p w14:paraId="2C880743">
            <w:pPr>
              <w:keepNext w:val="0"/>
              <w:keepLines w:val="0"/>
              <w:widowControl/>
              <w:numPr>
                <w:ilvl w:val="0"/>
                <w:numId w:val="13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各触点使用纯铜材料；</w:t>
            </w:r>
          </w:p>
          <w:p w14:paraId="7330B0E3">
            <w:pPr>
              <w:keepNext w:val="0"/>
              <w:keepLines w:val="0"/>
              <w:widowControl/>
              <w:numPr>
                <w:ilvl w:val="0"/>
                <w:numId w:val="13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要求接触良好，整体结构结实牢固，ABS塑料件光滑、无毛刺</w:t>
            </w:r>
            <w:r>
              <w:rPr>
                <w:rFonts w:hint="eastAsia" w:ascii="宋体" w:hAnsi="宋体" w:cs="宋体"/>
                <w:i w:val="0"/>
                <w:iCs w:val="0"/>
                <w:color w:val="auto"/>
                <w:kern w:val="0"/>
                <w:sz w:val="22"/>
                <w:szCs w:val="22"/>
                <w:highlight w:val="none"/>
                <w:u w:val="none"/>
                <w:lang w:val="en-US" w:eastAsia="zh-CN" w:bidi="ar"/>
              </w:rPr>
              <w:t>；</w:t>
            </w:r>
          </w:p>
          <w:p w14:paraId="2EE32577">
            <w:pPr>
              <w:keepNext w:val="0"/>
              <w:keepLines w:val="0"/>
              <w:widowControl/>
              <w:numPr>
                <w:ilvl w:val="0"/>
                <w:numId w:val="13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可串并联。</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4EAF4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7E0EE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229B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0E653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8B4BF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直尺</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D21AE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DDCD5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959D0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199F3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3A209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4951E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软尺</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FC5C8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参数同序号24-24一致。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6566D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689CF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54EC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CF6E4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53679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托盘天平</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B2D87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参数同序号27-22一致。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0C98C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F60DE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101A7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B24C2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5B7CF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金属钩码</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8DDCC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50g×10</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CDA35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5AEE8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2CB8D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D7E84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29-29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E8846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体重计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B8CA61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附测体高装置</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14196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8276F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7916C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BA421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F45F3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电子停表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33D66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0.1s</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5AD55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1B57C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ED9D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361A1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08E4D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温度计1</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51FB7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红液，0℃～100℃</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BB1A6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6C2B1F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2EDFC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EBBCD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245E1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温度计2</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109148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水银，0℃～100℃</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5CB5B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3B4390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A06E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8ECDE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0E4342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寒暑表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FABAA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指针式</w:t>
            </w:r>
          </w:p>
        </w:tc>
        <w:tc>
          <w:tcPr>
            <w:tcW w:w="349" w:type="pct"/>
            <w:tcBorders>
              <w:top w:val="single" w:color="000000" w:sz="4" w:space="0"/>
              <w:left w:val="single" w:color="000000" w:sz="4" w:space="0"/>
              <w:bottom w:val="single" w:color="000000" w:sz="4" w:space="0"/>
              <w:right w:val="single" w:color="000000" w:sz="4" w:space="0"/>
            </w:tcBorders>
            <w:noWrap/>
            <w:vAlign w:val="center"/>
          </w:tcPr>
          <w:p w14:paraId="2C7F88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4AAC4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E02C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B523C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52378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最高温度表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934CFB4">
            <w:pPr>
              <w:keepNext w:val="0"/>
              <w:keepLines w:val="0"/>
              <w:widowControl/>
              <w:numPr>
                <w:ilvl w:val="0"/>
                <w:numId w:val="14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测量范围：-16℃~+81℃，测量误差±1℃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p>
          <w:p w14:paraId="2895122A">
            <w:pPr>
              <w:keepNext w:val="0"/>
              <w:keepLines w:val="0"/>
              <w:widowControl/>
              <w:numPr>
                <w:ilvl w:val="0"/>
                <w:numId w:val="140"/>
              </w:numPr>
              <w:suppressLineNumbers w:val="0"/>
              <w:ind w:left="0" w:leftChars="0" w:firstLine="0" w:firstLineChars="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最小分度值：1℃</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t xml:space="preserve"> </w:t>
            </w:r>
          </w:p>
          <w:p w14:paraId="72C8F29E">
            <w:pPr>
              <w:keepNext w:val="0"/>
              <w:keepLines w:val="0"/>
              <w:widowControl/>
              <w:numPr>
                <w:ilvl w:val="0"/>
                <w:numId w:val="140"/>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符合JY0001－2003《教学仪器设备产品一般质量要求》的有关规定。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3D66F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1EFF6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7CAE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A07C6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1D3BC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最低温度表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D44EA7A">
            <w:pPr>
              <w:keepNext w:val="0"/>
              <w:keepLines w:val="0"/>
              <w:widowControl/>
              <w:numPr>
                <w:ilvl w:val="0"/>
                <w:numId w:val="14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测量范围：-52℃~+41℃，测量误差±1℃</w:t>
            </w:r>
          </w:p>
          <w:p w14:paraId="598428FA">
            <w:pPr>
              <w:keepNext w:val="0"/>
              <w:keepLines w:val="0"/>
              <w:widowControl/>
              <w:numPr>
                <w:ilvl w:val="0"/>
                <w:numId w:val="14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最小分度值：1℃</w:t>
            </w:r>
            <w:r>
              <w:rPr>
                <w:rFonts w:hint="eastAsia" w:ascii="宋体" w:hAnsi="宋体" w:cs="宋体"/>
                <w:i w:val="0"/>
                <w:iCs w:val="0"/>
                <w:color w:val="auto"/>
                <w:kern w:val="0"/>
                <w:sz w:val="22"/>
                <w:szCs w:val="22"/>
                <w:highlight w:val="none"/>
                <w:u w:val="none"/>
                <w:lang w:val="en-US" w:eastAsia="zh-CN" w:bidi="ar"/>
              </w:rPr>
              <w:t>；</w:t>
            </w:r>
          </w:p>
          <w:p w14:paraId="1AF51605">
            <w:pPr>
              <w:keepNext w:val="0"/>
              <w:keepLines w:val="0"/>
              <w:widowControl/>
              <w:numPr>
                <w:ilvl w:val="0"/>
                <w:numId w:val="14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符合JY0001－2003《教学仪器设备产品一般质量要求》的有关规定。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5B98B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41D44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8C47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57DDD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9DC5F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条形盒测力计1</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62F9B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5N</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6BA8D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4663F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6AD1F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596FC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09F79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条形盒测力计2</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4F994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2.5N</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331F3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6BAA4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914D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74B9D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29-3</w:t>
            </w:r>
            <w:r>
              <w:rPr>
                <w:rFonts w:hint="eastAsia" w:ascii="宋体" w:hAnsi="宋体" w:cs="宋体"/>
                <w:i w:val="0"/>
                <w:iCs w:val="0"/>
                <w:color w:val="auto"/>
                <w:kern w:val="0"/>
                <w:sz w:val="22"/>
                <w:szCs w:val="22"/>
                <w:highlight w:val="none"/>
                <w:u w:val="none"/>
                <w:lang w:val="en-US" w:eastAsia="zh-CN" w:bidi="ar"/>
              </w:rPr>
              <w:t>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83B20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条形盒测力计3</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A7CB1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1N</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51DE2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32BDD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2462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1A613B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39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E56DC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多用电表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9973119">
            <w:pPr>
              <w:keepNext w:val="0"/>
              <w:keepLines w:val="0"/>
              <w:widowControl/>
              <w:numPr>
                <w:ilvl w:val="0"/>
                <w:numId w:val="142"/>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不低于2.5级</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2、指针灵活，测量准确，表面清晰，分格均匀</w:t>
            </w:r>
            <w:r>
              <w:rPr>
                <w:rFonts w:hint="eastAsia" w:ascii="宋体" w:hAnsi="宋体" w:cs="宋体"/>
                <w:i w:val="0"/>
                <w:iCs w:val="0"/>
                <w:color w:val="auto"/>
                <w:kern w:val="0"/>
                <w:sz w:val="22"/>
                <w:szCs w:val="22"/>
                <w:highlight w:val="none"/>
                <w:u w:val="none"/>
                <w:lang w:val="en-US" w:eastAsia="zh-CN" w:bidi="ar"/>
              </w:rPr>
              <w: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3、配测笔一套</w:t>
            </w:r>
            <w:r>
              <w:rPr>
                <w:rFonts w:hint="eastAsia" w:ascii="宋体" w:hAnsi="宋体" w:cs="宋体"/>
                <w:i w:val="0"/>
                <w:iCs w:val="0"/>
                <w:color w:val="auto"/>
                <w:kern w:val="0"/>
                <w:sz w:val="22"/>
                <w:szCs w:val="22"/>
                <w:highlight w:val="none"/>
                <w:u w:val="none"/>
                <w:lang w:val="en-US" w:eastAsia="zh-CN" w:bidi="ar"/>
              </w:rPr>
              <w:t>；</w:t>
            </w:r>
          </w:p>
          <w:p w14:paraId="798A677D">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可测量范围：交流电压：0-10-50-250-500V，直流电压：0-2.5-10-50-250-500V  直流电流：0-50μA-1-10-100-500mA电阻：0-2KΩ-20KΩ-200KΩ-2MΩ-20MΩ音频电平：-10~5±22db</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C8698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6D1D2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A4587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F1FD5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9075F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湿度计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3FC9967">
            <w:pPr>
              <w:keepNext w:val="0"/>
              <w:keepLines w:val="0"/>
              <w:widowControl/>
              <w:numPr>
                <w:ilvl w:val="0"/>
                <w:numId w:val="143"/>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指针式</w:t>
            </w:r>
            <w:r>
              <w:rPr>
                <w:rFonts w:hint="eastAsia" w:ascii="宋体" w:hAnsi="宋体" w:cs="宋体"/>
                <w:i w:val="0"/>
                <w:iCs w:val="0"/>
                <w:color w:val="auto"/>
                <w:kern w:val="0"/>
                <w:sz w:val="22"/>
                <w:szCs w:val="22"/>
                <w:highlight w:val="none"/>
                <w:u w:val="none"/>
                <w:lang w:val="en-US" w:eastAsia="zh-CN" w:bidi="ar"/>
              </w:rPr>
              <w:t>；</w:t>
            </w:r>
          </w:p>
          <w:p w14:paraId="51F75B75">
            <w:pPr>
              <w:keepNext w:val="0"/>
              <w:keepLines w:val="0"/>
              <w:widowControl/>
              <w:numPr>
                <w:ilvl w:val="0"/>
                <w:numId w:val="14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温度在-10℃以下±2℃时，湿度为40%RH以下±10%</w:t>
            </w:r>
            <w:r>
              <w:rPr>
                <w:rFonts w:hint="eastAsia" w:ascii="宋体" w:hAnsi="宋体" w:cs="宋体"/>
                <w:i w:val="0"/>
                <w:iCs w:val="0"/>
                <w:color w:val="auto"/>
                <w:kern w:val="0"/>
                <w:sz w:val="22"/>
                <w:szCs w:val="22"/>
                <w:highlight w:val="none"/>
                <w:u w:val="none"/>
                <w:lang w:val="en-US" w:eastAsia="zh-CN" w:bidi="ar"/>
              </w:rPr>
              <w:t>；</w:t>
            </w:r>
          </w:p>
          <w:p w14:paraId="669D7190">
            <w:pPr>
              <w:keepNext w:val="0"/>
              <w:keepLines w:val="0"/>
              <w:widowControl/>
              <w:numPr>
                <w:ilvl w:val="0"/>
                <w:numId w:val="14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温度在-10℃~40℃±1.5℃时，湿度为40%RH~75%RH±7%</w:t>
            </w:r>
            <w:r>
              <w:rPr>
                <w:rFonts w:hint="eastAsia" w:ascii="宋体" w:hAnsi="宋体" w:cs="宋体"/>
                <w:i w:val="0"/>
                <w:iCs w:val="0"/>
                <w:color w:val="auto"/>
                <w:kern w:val="0"/>
                <w:sz w:val="22"/>
                <w:szCs w:val="22"/>
                <w:highlight w:val="none"/>
                <w:u w:val="none"/>
                <w:lang w:val="en-US" w:eastAsia="zh-CN" w:bidi="ar"/>
              </w:rPr>
              <w:t>；</w:t>
            </w:r>
          </w:p>
          <w:p w14:paraId="4DD65245">
            <w:pPr>
              <w:keepNext w:val="0"/>
              <w:keepLines w:val="0"/>
              <w:widowControl/>
              <w:numPr>
                <w:ilvl w:val="0"/>
                <w:numId w:val="14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温度在40℃以上±2℃时，湿度为75%RH以下±10%</w:t>
            </w:r>
            <w:r>
              <w:rPr>
                <w:rFonts w:hint="eastAsia" w:ascii="宋体" w:hAnsi="宋体" w:cs="宋体"/>
                <w:i w:val="0"/>
                <w:iCs w:val="0"/>
                <w:color w:val="auto"/>
                <w:kern w:val="0"/>
                <w:sz w:val="22"/>
                <w:szCs w:val="22"/>
                <w:highlight w:val="none"/>
                <w:u w:val="none"/>
                <w:lang w:val="en-US" w:eastAsia="zh-CN" w:bidi="ar"/>
              </w:rPr>
              <w:t>；</w:t>
            </w:r>
          </w:p>
          <w:p w14:paraId="15DDA53E">
            <w:pPr>
              <w:keepNext w:val="0"/>
              <w:keepLines w:val="0"/>
              <w:widowControl/>
              <w:numPr>
                <w:ilvl w:val="0"/>
                <w:numId w:val="14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产品尺寸直径为：132mm。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6F165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D08B1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A27D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EC329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F607A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指南针</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6AA8D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直径50mm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E4C89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20E29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AD56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42D82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F1EFD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肺活量计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D62BA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一次性吹嘴</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79E02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261C4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86BB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54844D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08D23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雨量器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C9287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包括雨量筒与量杯；雨量筒包括承水器、贮水瓶和外筒</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643AC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49328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450C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FB64A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7ED68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风杯式风速表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D6EE3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有直读装置</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20484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F2408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DF88E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B9094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7EC40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斜面</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D38F1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8F45E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E2B2B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DF7EE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13A1E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16433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压簧</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F6834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由直径为1mm高弹性钢丝制成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B73A8A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8FA5C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C248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0745D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BD114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拉簧</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A29A4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由直径为1mm高弹性钢丝制成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15810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272AF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D16B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2E7D5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29-4</w:t>
            </w:r>
            <w:r>
              <w:rPr>
                <w:rFonts w:hint="eastAsia" w:ascii="宋体" w:hAnsi="宋体" w:cs="宋体"/>
                <w:i w:val="0"/>
                <w:iCs w:val="0"/>
                <w:color w:val="auto"/>
                <w:kern w:val="0"/>
                <w:sz w:val="22"/>
                <w:szCs w:val="22"/>
                <w:highlight w:val="none"/>
                <w:u w:val="none"/>
                <w:lang w:val="en-US" w:eastAsia="zh-CN" w:bidi="ar"/>
              </w:rPr>
              <w:t>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C6309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沉浮块</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CA8F8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同体积不同质量、同质量不同形状、可改变质量等物体</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A3355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30A6F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D4CC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52470A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49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08DFF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杠杆尺及支架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2A164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杠杆长50cm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D9D8B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23A45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8EFB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C089944">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50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795DD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滑轮组及支架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7D0D0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产品由单滑轮2个、二串滑轮1个及支架等组成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1109C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0E20B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9976E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A979B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06076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轮轴及支架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CAB2F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本产品由台阶轮、主轴、支架、摇臂和平衡块等部件构成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1EFE7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47A47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0534B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7E56B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D06CB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齿轮组及支架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D8128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产品由底座、齿轮、立杆、支杆、轴心螺钉、摇把等组成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F0C18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59DB4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45501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0AFF5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3463E9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弹簧片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0BF03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产品材质为硅锰钢，材料厚度不小于0.5mm，宽度不小于20mm，长度不小于220mm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E5D61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3C49E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30D65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6F5F7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7BE1A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小车</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594A1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56C4F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77D47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5B41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638721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D8254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三球仪</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0B777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齿轮、底座等应为铁质或钢质材料，白道面与黄道面的夹角放大到 15°</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0A5E7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1F181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D202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CF4B7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0F9A6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太阳高度测量器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AB263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5D5C7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356DF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C924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D177D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EC0CC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风的形成实验材料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52DA4D4">
            <w:pPr>
              <w:keepNext w:val="0"/>
              <w:keepLines w:val="0"/>
              <w:widowControl/>
              <w:numPr>
                <w:ilvl w:val="0"/>
                <w:numId w:val="14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产品为组合式；</w:t>
            </w:r>
          </w:p>
          <w:p w14:paraId="0413022B">
            <w:pPr>
              <w:keepNext w:val="0"/>
              <w:keepLines w:val="0"/>
              <w:widowControl/>
              <w:numPr>
                <w:ilvl w:val="0"/>
                <w:numId w:val="14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产品由塑料筒（或玻璃）1个、蜡烛台1个、蜡烛1个、风叶1套组成；</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1FE0D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99F37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1393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22EB9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29-5</w:t>
            </w:r>
            <w:r>
              <w:rPr>
                <w:rFonts w:hint="eastAsia" w:ascii="宋体" w:hAnsi="宋体" w:cs="宋体"/>
                <w:i w:val="0"/>
                <w:iCs w:val="0"/>
                <w:color w:val="auto"/>
                <w:kern w:val="0"/>
                <w:sz w:val="22"/>
                <w:szCs w:val="22"/>
                <w:highlight w:val="none"/>
                <w:u w:val="none"/>
                <w:lang w:val="en-US" w:eastAsia="zh-CN" w:bidi="ar"/>
              </w:rPr>
              <w:t>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030FB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组装风车材料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3B278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1.</w:t>
            </w:r>
            <w:r>
              <w:rPr>
                <w:rFonts w:hint="eastAsia" w:ascii="宋体" w:hAnsi="宋体" w:eastAsia="宋体" w:cs="宋体"/>
                <w:i w:val="0"/>
                <w:iCs w:val="0"/>
                <w:color w:val="auto"/>
                <w:kern w:val="0"/>
                <w:sz w:val="22"/>
                <w:szCs w:val="22"/>
                <w:highlight w:val="none"/>
                <w:u w:val="none"/>
                <w:lang w:val="en-US" w:eastAsia="zh-CN" w:bidi="ar"/>
              </w:rPr>
              <w:t>由六片根部为六边形契芯的风叶、带有燕尾槽的球形轴和钢丝支架组成。</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FFC51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0405C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8DF3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2D19C5E">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59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19EF7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组装水轮材料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C2EEE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cs="宋体"/>
                <w:i w:val="0"/>
                <w:iCs w:val="0"/>
                <w:color w:val="auto"/>
                <w:kern w:val="0"/>
                <w:sz w:val="22"/>
                <w:szCs w:val="22"/>
                <w:highlight w:val="none"/>
                <w:u w:val="none"/>
                <w:lang w:val="en-US" w:eastAsia="zh-CN" w:bidi="ar"/>
              </w:rPr>
              <w:t>2.</w:t>
            </w:r>
            <w:r>
              <w:rPr>
                <w:rFonts w:hint="eastAsia" w:ascii="宋体" w:hAnsi="宋体" w:eastAsia="宋体" w:cs="宋体"/>
                <w:i w:val="0"/>
                <w:iCs w:val="0"/>
                <w:color w:val="auto"/>
                <w:kern w:val="0"/>
                <w:sz w:val="22"/>
                <w:szCs w:val="22"/>
                <w:highlight w:val="none"/>
                <w:u w:val="none"/>
                <w:lang w:val="en-US" w:eastAsia="zh-CN" w:bidi="ar"/>
              </w:rPr>
              <w:t>由手柄、支架、轮轴、叶片组成</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0CCB6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C1502E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5789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ABEB4BC">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3BC5F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太阳能的应用材料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CB90D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为插接式组合，由太阳能电池板、小电机带风叶、蜂鸣器、LED灯、连线插线等组成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7B197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89A33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3660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3A16E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B3994C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音叉</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832B8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256 Hz±0.3 Hz；由音叉、共鸣箱、音叉槌等组成；松木共鸣箱，尺寸 300 mm×80 mm×40 mm；在环境噪声不大于 30 dB 的室内，用音叉槌敲击音叉，距音叉 1000 mm 处声强应不小于 90 dB</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4A3A5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CEA50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46959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79802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9E46B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小鼓</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55378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直径不小于150mm的皮鼓。</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2119C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B455E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9F42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45E54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C76F3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组装土电话材料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EB99D2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产品为散件袋装，由塑料筒2个、PVC片2块、话筒片2个、话筒盖2个、棉线1根组成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F572D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A5CB1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ABCAE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11350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2ADD5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热传导实验材料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2335A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产品由水槽、试验棒等组成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FAE46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5E08B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5241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476FC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B3395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物体热涨冷缩实验材料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78C67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产品供中、小学作固体热胀冷缩的演示实验用，由金属球、塑料球、实验架等组成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F2DC7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7298C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91963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AE9A2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624A8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灯座及灯泡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FEB2D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灯座由底板、接线柱，灯座组成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984A3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43627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82B5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DEB09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2B709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开关</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25A9A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开关的最高工作电压36V，额定工作电流6A</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FC432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230EF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1E0C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8"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54262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29-6</w:t>
            </w:r>
            <w:r>
              <w:rPr>
                <w:rFonts w:hint="eastAsia" w:ascii="宋体" w:hAnsi="宋体" w:cs="宋体"/>
                <w:i w:val="0"/>
                <w:iCs w:val="0"/>
                <w:color w:val="auto"/>
                <w:kern w:val="0"/>
                <w:sz w:val="22"/>
                <w:szCs w:val="22"/>
                <w:highlight w:val="none"/>
                <w:u w:val="none"/>
                <w:lang w:val="en-US" w:eastAsia="zh-CN" w:bidi="ar"/>
              </w:rPr>
              <w:t>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6CFF2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物体导电性实验材料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82A53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产品由实验盒、电池盒、导电连接片、插座卡、指示灯、测试片等组成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A4750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1ACB1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9476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FD5E27C">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69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117B6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条形磁铁1</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6359D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长度180mm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C3247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CC6A2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5D94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57791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F68E4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条形磁铁2</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CE30B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长度100mm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DF93C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C84E3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6E89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68093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D5E3C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蹄形磁铁1</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5132A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高度80mm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9C9AE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AEE94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F0A0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9CBE1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FE2F7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蹄形磁铁2</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43FCB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高度65mm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FD8C3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C2523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6EAD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2CE6F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1938F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磁针</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CCAF1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翼形</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6D612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546C4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FD60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019BF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E5E98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环形磁铁</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33423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φ32×φ18×6</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C727F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95816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D7A2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7BA1194">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B4826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电磁铁组装材料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47EDF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8mmU型铁芯,骨架</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C1E35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AA419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E0F9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4D4377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1AC48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电磁铁</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81B0A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工作电压：直流，不大于6V。工作电流：不大于1A</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72EAE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5FB9C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D722E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96BC62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D4A0F9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手摇发电机</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37D14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电源型</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6B160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96B4E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47C051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E7B652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29-7</w:t>
            </w:r>
            <w:r>
              <w:rPr>
                <w:rFonts w:hint="eastAsia" w:ascii="宋体" w:hAnsi="宋体" w:cs="宋体"/>
                <w:i w:val="0"/>
                <w:iCs w:val="0"/>
                <w:color w:val="auto"/>
                <w:kern w:val="0"/>
                <w:sz w:val="22"/>
                <w:szCs w:val="22"/>
                <w:highlight w:val="none"/>
                <w:u w:val="none"/>
                <w:lang w:val="en-US" w:eastAsia="zh-CN" w:bidi="ar"/>
              </w:rPr>
              <w:t>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BABC4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激光笔</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D6653E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激光笔输出功率不大于2mW，镭射距离100m，波长650 nm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3D09A4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00C05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014D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D0FC8A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79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D6B4A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小孔成像装置</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CFB376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产品为散装式，由白屏1块、支架2个、烛台1个，蜡烛组成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C8DB1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B8DB7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E14A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4BB5A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21B0F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平面镜及支架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F315B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产品由平面镜片、镜框、镜座等组成，成对配置</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7D7A9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FE0F5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098B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89C92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41DC6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透镜、棱镜及支架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F3D3D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凸透镜、三棱镜等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4AB17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7D199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D7681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B5346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8F407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成像屏及支架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A56D2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由底座、立杆、成像屏等组成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1C474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6E29A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ED1D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3667D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AC43F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昆虫观察盒</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619BF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带不小于3倍的放大镜</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50EDF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BAB1F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980D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7DF24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F6218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动物饲养笼</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D4A20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笼门开启方便；配有接水盘，尺寸不小于400mm×300mm。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56578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3838A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AC4B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5621F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3061F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单摆</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D4660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一个摆球</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D03422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32025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6499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F12A238">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E6D23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照相机模型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E3E25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光学</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DE5CF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30531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71AE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9184870">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29-8</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B065E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儿童骨骼模型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75BFB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产品为男性儿童骨骼模型，串制成正常直立姿势于支架上</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C431C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A603D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5FA1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581C44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88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DB6D2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儿童牙列模型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03979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附牙刷</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18E4B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A4118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84FF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36351AC">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89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9CA25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少年人体半身模型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15375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约60cm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2427F6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6FAA5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1171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C2FC8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17251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眼构造模型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1210E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PVC材质，由六倍大成人眼球模型、支架和底座组成，眼球前后极正中水平切面，展示内部结构、器官、血管、神经等。</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790E9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5E9B5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3102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25472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AA9E45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啄木鸟仿真模型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E03BC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自然大，用羽毛制作</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51BE3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FA434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0B2E3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DE6AA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E6ABD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猫头鹰仿真模型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29B0C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自然大，用羽毛制作</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E10199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2C5F5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28EC1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D20BB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FC114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平面政区地球仪</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3DA7E10">
            <w:pPr>
              <w:keepNext w:val="0"/>
              <w:keepLines w:val="0"/>
              <w:widowControl/>
              <w:numPr>
                <w:ilvl w:val="0"/>
                <w:numId w:val="145"/>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平面比例尺为1：40000000，产品由球体和支架、底座构成，还附有纬度标尺及时区、阳光射线板及其他附件</w:t>
            </w:r>
            <w:r>
              <w:rPr>
                <w:rFonts w:hint="eastAsia" w:ascii="宋体" w:hAnsi="宋体" w:cs="宋体"/>
                <w:i w:val="0"/>
                <w:iCs w:val="0"/>
                <w:color w:val="auto"/>
                <w:kern w:val="0"/>
                <w:sz w:val="22"/>
                <w:szCs w:val="22"/>
                <w:highlight w:val="none"/>
                <w:u w:val="none"/>
                <w:lang w:val="en-US" w:eastAsia="zh-CN" w:bidi="ar"/>
              </w:rPr>
              <w:t>；</w:t>
            </w:r>
          </w:p>
          <w:p w14:paraId="3BF12C69">
            <w:pPr>
              <w:keepNext w:val="0"/>
              <w:keepLines w:val="0"/>
              <w:widowControl/>
              <w:numPr>
                <w:ilvl w:val="0"/>
                <w:numId w:val="14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球体直径为320mm，地轴的倾斜为66.5°，并垂直于赤道面</w:t>
            </w:r>
            <w:r>
              <w:rPr>
                <w:rFonts w:hint="eastAsia" w:ascii="宋体" w:hAnsi="宋体" w:cs="宋体"/>
                <w:i w:val="0"/>
                <w:iCs w:val="0"/>
                <w:color w:val="auto"/>
                <w:kern w:val="0"/>
                <w:sz w:val="22"/>
                <w:szCs w:val="22"/>
                <w:highlight w:val="none"/>
                <w:u w:val="none"/>
                <w:lang w:val="en-US" w:eastAsia="zh-CN" w:bidi="ar"/>
              </w:rPr>
              <w:t>；</w:t>
            </w:r>
          </w:p>
          <w:p w14:paraId="20AA4CC4">
            <w:pPr>
              <w:keepNext w:val="0"/>
              <w:keepLines w:val="0"/>
              <w:widowControl/>
              <w:numPr>
                <w:ilvl w:val="0"/>
                <w:numId w:val="14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用不同颜色明显区分各个国家和地区的名称。</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1A313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4DF31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0901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474E4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4CF82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平面地形地球仪</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C0EA160">
            <w:pPr>
              <w:keepNext w:val="0"/>
              <w:keepLines w:val="0"/>
              <w:widowControl/>
              <w:numPr>
                <w:ilvl w:val="0"/>
                <w:numId w:val="146"/>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平面比例尺为1：40000000，产品由球体和支架、底座构成，还附有纬度标尺及时区、阳光射线板及其他附件</w:t>
            </w:r>
            <w:r>
              <w:rPr>
                <w:rFonts w:hint="eastAsia" w:ascii="宋体" w:hAnsi="宋体" w:cs="宋体"/>
                <w:i w:val="0"/>
                <w:iCs w:val="0"/>
                <w:color w:val="auto"/>
                <w:kern w:val="0"/>
                <w:sz w:val="22"/>
                <w:szCs w:val="22"/>
                <w:highlight w:val="none"/>
                <w:u w:val="none"/>
                <w:lang w:val="en-US" w:eastAsia="zh-CN" w:bidi="ar"/>
              </w:rPr>
              <w:t>；</w:t>
            </w:r>
          </w:p>
          <w:p w14:paraId="0FDE56BF">
            <w:pPr>
              <w:keepNext w:val="0"/>
              <w:keepLines w:val="0"/>
              <w:widowControl/>
              <w:numPr>
                <w:ilvl w:val="0"/>
                <w:numId w:val="14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球体直径为320mm，地轴的倾斜为66.5°，并垂直于赤道面</w:t>
            </w:r>
            <w:r>
              <w:rPr>
                <w:rFonts w:hint="eastAsia" w:ascii="宋体" w:hAnsi="宋体" w:cs="宋体"/>
                <w:i w:val="0"/>
                <w:iCs w:val="0"/>
                <w:color w:val="auto"/>
                <w:kern w:val="0"/>
                <w:sz w:val="22"/>
                <w:szCs w:val="22"/>
                <w:highlight w:val="none"/>
                <w:u w:val="none"/>
                <w:lang w:val="en-US" w:eastAsia="zh-CN" w:bidi="ar"/>
              </w:rPr>
              <w:t>；</w:t>
            </w:r>
          </w:p>
          <w:p w14:paraId="3DF31519">
            <w:pPr>
              <w:keepNext w:val="0"/>
              <w:keepLines w:val="0"/>
              <w:widowControl/>
              <w:numPr>
                <w:ilvl w:val="0"/>
                <w:numId w:val="14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用不同颜色明显区分各个国家和地区的名称。</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3564D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456A7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A938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9EC08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89066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地动仪模型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29EA8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模型：高度400mm左右，地动仪筒体一套，龙8条，蛙8只，底座1个，杆一根，龙珠8个。</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FE971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4F926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D283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5E476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7D0AE1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地球构造模型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CB596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包括地球内部圈层及地球表面地形地貌，直径≥320 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BEE87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FFF09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57CC3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F7EDA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29-9</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3EDBB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司南模型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A82F7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模型由青铜底盘和磁勺组成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FBEE9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台</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A2945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AE01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40B956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98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4C33BC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月相变化演示器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3E2B22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由示教板，四周铝合金镶嵌，每个月相的直径为约55mm）及月相指示器组成</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F161E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7D5B9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F4E0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FE4C71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99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9DEBE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蟾蜍浸制标本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366DF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标本由大型蟾蜍制作</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A7C0C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14E24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36DFC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ABB45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4D3C9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河蚌浸制标本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DDD4C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液体用透明度高、无毒、无味、无害的新型液体，长期使用不变色，不腐烂，使用弹性橡胶“Ｏ”型垫圈密封。</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2A8E9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2209C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467AE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4C5081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88393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爬行类动物浸制标本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EC813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蛇或蜥蜴或壁虎</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FAFB6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63660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588C1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0CD80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4D8A7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蛙发育顺序标本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31843B0">
            <w:pPr>
              <w:keepNext w:val="0"/>
              <w:keepLines w:val="0"/>
              <w:widowControl/>
              <w:numPr>
                <w:ilvl w:val="0"/>
                <w:numId w:val="147"/>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①~②期中的每一个标本应具透明、清晰和膨胀的卵胶膜</w:t>
            </w:r>
            <w:r>
              <w:rPr>
                <w:rFonts w:hint="eastAsia" w:ascii="宋体" w:hAnsi="宋体" w:cs="宋体"/>
                <w:i w:val="0"/>
                <w:iCs w:val="0"/>
                <w:color w:val="auto"/>
                <w:kern w:val="0"/>
                <w:sz w:val="22"/>
                <w:szCs w:val="22"/>
                <w:highlight w:val="none"/>
                <w:u w:val="none"/>
                <w:lang w:val="en-US" w:eastAsia="zh-CN" w:bidi="ar"/>
              </w:rPr>
              <w:t>；</w:t>
            </w:r>
          </w:p>
          <w:p w14:paraId="4AF79A48">
            <w:pPr>
              <w:keepNext w:val="0"/>
              <w:keepLines w:val="0"/>
              <w:widowControl/>
              <w:numPr>
                <w:ilvl w:val="0"/>
                <w:numId w:val="14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①~③期的标本应各≥五个</w:t>
            </w:r>
            <w:r>
              <w:rPr>
                <w:rFonts w:hint="eastAsia" w:ascii="宋体" w:hAnsi="宋体" w:cs="宋体"/>
                <w:i w:val="0"/>
                <w:iCs w:val="0"/>
                <w:color w:val="auto"/>
                <w:kern w:val="0"/>
                <w:sz w:val="22"/>
                <w:szCs w:val="22"/>
                <w:highlight w:val="none"/>
                <w:u w:val="none"/>
                <w:lang w:val="en-US" w:eastAsia="zh-CN" w:bidi="ar"/>
              </w:rPr>
              <w:t>；</w:t>
            </w:r>
          </w:p>
          <w:p w14:paraId="13FDE7AC">
            <w:pPr>
              <w:keepNext w:val="0"/>
              <w:keepLines w:val="0"/>
              <w:widowControl/>
              <w:numPr>
                <w:ilvl w:val="0"/>
                <w:numId w:val="14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③期的标本应能目见≥一对外鳃</w:t>
            </w:r>
            <w:r>
              <w:rPr>
                <w:rFonts w:hint="eastAsia" w:ascii="宋体" w:hAnsi="宋体" w:cs="宋体"/>
                <w:i w:val="0"/>
                <w:iCs w:val="0"/>
                <w:color w:val="auto"/>
                <w:kern w:val="0"/>
                <w:sz w:val="22"/>
                <w:szCs w:val="22"/>
                <w:highlight w:val="none"/>
                <w:u w:val="none"/>
                <w:lang w:val="en-US" w:eastAsia="zh-CN" w:bidi="ar"/>
              </w:rPr>
              <w:t>；</w:t>
            </w:r>
          </w:p>
          <w:p w14:paraId="389AB985">
            <w:pPr>
              <w:keepNext w:val="0"/>
              <w:keepLines w:val="0"/>
              <w:widowControl/>
              <w:numPr>
                <w:ilvl w:val="0"/>
                <w:numId w:val="14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④期的标本一个腹面向下，一个腹面向上，互相平行</w:t>
            </w:r>
            <w:r>
              <w:rPr>
                <w:rFonts w:hint="eastAsia" w:ascii="宋体" w:hAnsi="宋体" w:cs="宋体"/>
                <w:i w:val="0"/>
                <w:iCs w:val="0"/>
                <w:color w:val="auto"/>
                <w:kern w:val="0"/>
                <w:sz w:val="22"/>
                <w:szCs w:val="22"/>
                <w:highlight w:val="none"/>
                <w:u w:val="none"/>
                <w:lang w:val="en-US" w:eastAsia="zh-CN" w:bidi="ar"/>
              </w:rPr>
              <w:t>；</w:t>
            </w:r>
          </w:p>
          <w:p w14:paraId="3F24DF62">
            <w:pPr>
              <w:keepNext w:val="0"/>
              <w:keepLines w:val="0"/>
              <w:widowControl/>
              <w:numPr>
                <w:ilvl w:val="0"/>
                <w:numId w:val="147"/>
              </w:numPr>
              <w:suppressLineNumbers w:val="0"/>
              <w:ind w:left="0" w:leftChars="0" w:firstLine="0" w:firstLineChars="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⑥期与⑦期的尾长应有明显区别</w:t>
            </w:r>
            <w:r>
              <w:rPr>
                <w:rFonts w:hint="eastAsia" w:ascii="宋体" w:hAnsi="宋体" w:cs="宋体"/>
                <w:i w:val="0"/>
                <w:iCs w:val="0"/>
                <w:color w:val="auto"/>
                <w:kern w:val="0"/>
                <w:sz w:val="22"/>
                <w:szCs w:val="22"/>
                <w:highlight w:val="none"/>
                <w:u w:val="none"/>
                <w:lang w:val="en-US" w:eastAsia="zh-CN" w:bidi="ar"/>
              </w:rPr>
              <w:t>；</w:t>
            </w:r>
          </w:p>
          <w:p w14:paraId="71DEAECC">
            <w:pPr>
              <w:keepNext w:val="0"/>
              <w:keepLines w:val="0"/>
              <w:widowControl/>
              <w:numPr>
                <w:ilvl w:val="0"/>
                <w:numId w:val="147"/>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⑦期与⑧期所显示的色泽和斑纹应基本相似</w:t>
            </w:r>
            <w:r>
              <w:rPr>
                <w:rFonts w:hint="eastAsia" w:ascii="宋体" w:hAnsi="宋体" w:cs="宋体"/>
                <w:i w:val="0"/>
                <w:iCs w:val="0"/>
                <w:color w:val="auto"/>
                <w:kern w:val="0"/>
                <w:sz w:val="22"/>
                <w:szCs w:val="22"/>
                <w:highlight w:val="none"/>
                <w:u w:val="none"/>
                <w:lang w:val="en-US" w:eastAsia="zh-CN" w:bidi="ar"/>
              </w:rPr>
              <w:t>；</w:t>
            </w:r>
          </w:p>
          <w:p w14:paraId="7E9C0EFE">
            <w:pPr>
              <w:keepNext w:val="0"/>
              <w:keepLines w:val="0"/>
              <w:widowControl/>
              <w:numPr>
                <w:ilvl w:val="0"/>
                <w:numId w:val="147"/>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应符合JY143-82《动物浸制标本通用技术条件（试行）》的规定。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AF5E6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01FC0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2F340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F30CC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17406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昆虫标本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A4E8F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常见益虫、害虫各（6～7）种</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D28E5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66CD5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36541F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DB3CB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8A3F29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桑蚕生活史标本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FE3C0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包装盒由厚度不小于3mm的桐木板加工而成，包括盒底和盒盖两部分，盒盖上部镶嵌3mm的玻璃用于观察；标本包括全部生长阶段；留有固定樟脑球位置。</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A59E6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3A7C7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DF13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B09E8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7E8CE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兔外形标本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81852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为剥制标本；长度不小于200mm。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3126C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件</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2FF92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58F00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9E7E1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D50B3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植物种子传播方式标本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378B6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动物传播、弹力传播、风力传播、水力传播</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D3026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A5370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86FF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1EE29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29-10</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E084C5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天然材料标本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AFD939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木、棉花、石油、煤、矿石等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53495E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0E4A6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B142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962ED7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08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618BF3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人造材料标本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A4E97E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金属、塑料、玻璃、陶瓷、纸、布、密度板、水泥等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9CBDD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5CDDA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3DAE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BACAF1C">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09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96C2F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纺织品标本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67DD6A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符合JY0001－2003《教学仪器一般质量要求》的有关规定。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BE475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D6919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4D13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33F6688">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29-11</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CD008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各种纸样标本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C4871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符合JY0001－2003《教学仪器一般质量要求》的有关规定。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4F739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E18AC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17E3C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1BCF00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29-11</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40857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矿物标本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3CBAB3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小学教学使用的矿物标本，包括矿物四种</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45876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F075B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4B780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CCDF9F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29-11</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CEDC13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岩石标本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4442C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小学教学使用的岩石标本，包括岩石五种</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6F4EC1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8E31F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779C4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A55585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13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95BE5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金属矿物标本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72831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铜、铁、铝、钨、锡等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A0B81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5587E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1F91B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0CB0E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29-11</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50FDB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土壤标本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DA338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红壤、砖红壤、黑钙土、紫色土、水稻土等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B05B1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D870CA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7429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249CAE5">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29-11</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9C8ADC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矿物提炼物标本</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C8466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石油、金属等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CB042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500CF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73276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0EB2B7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29-11</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D4C12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植物根尖纵切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6752849">
            <w:pPr>
              <w:keepNext w:val="0"/>
              <w:keepLines w:val="0"/>
              <w:widowControl/>
              <w:numPr>
                <w:ilvl w:val="0"/>
                <w:numId w:val="148"/>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适用于中学生物学分组观察</w:t>
            </w:r>
            <w:r>
              <w:rPr>
                <w:rFonts w:hint="eastAsia" w:ascii="宋体" w:hAnsi="宋体" w:cs="宋体"/>
                <w:i w:val="0"/>
                <w:iCs w:val="0"/>
                <w:color w:val="auto"/>
                <w:kern w:val="0"/>
                <w:sz w:val="22"/>
                <w:szCs w:val="22"/>
                <w:highlight w:val="none"/>
                <w:u w:val="none"/>
                <w:lang w:val="en-US" w:eastAsia="zh-CN" w:bidi="ar"/>
              </w:rPr>
              <w:t>；</w:t>
            </w:r>
          </w:p>
          <w:p w14:paraId="6936B785">
            <w:pPr>
              <w:keepNext w:val="0"/>
              <w:keepLines w:val="0"/>
              <w:widowControl/>
              <w:numPr>
                <w:ilvl w:val="0"/>
                <w:numId w:val="14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标本应取于人工培养的玉米根或蚕豆，取村部位为根冠至根毛区</w:t>
            </w:r>
            <w:r>
              <w:rPr>
                <w:rFonts w:hint="eastAsia" w:ascii="宋体" w:hAnsi="宋体" w:cs="宋体"/>
                <w:i w:val="0"/>
                <w:iCs w:val="0"/>
                <w:color w:val="auto"/>
                <w:kern w:val="0"/>
                <w:sz w:val="22"/>
                <w:szCs w:val="22"/>
                <w:highlight w:val="none"/>
                <w:u w:val="none"/>
                <w:lang w:val="en-US" w:eastAsia="zh-CN" w:bidi="ar"/>
              </w:rPr>
              <w:t>；</w:t>
            </w:r>
          </w:p>
          <w:p w14:paraId="47293C9B">
            <w:pPr>
              <w:keepNext w:val="0"/>
              <w:keepLines w:val="0"/>
              <w:widowControl/>
              <w:numPr>
                <w:ilvl w:val="0"/>
                <w:numId w:val="14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切片厚度在5μm以内，每张玻片垂直放置材料1~2片。细胞核着色明显、均匀、可见核仁、胞质</w:t>
            </w:r>
            <w:r>
              <w:rPr>
                <w:rFonts w:hint="eastAsia" w:ascii="宋体" w:hAnsi="宋体" w:cs="宋体"/>
                <w:i w:val="0"/>
                <w:iCs w:val="0"/>
                <w:color w:val="auto"/>
                <w:kern w:val="0"/>
                <w:sz w:val="22"/>
                <w:szCs w:val="22"/>
                <w:highlight w:val="none"/>
                <w:u w:val="none"/>
                <w:lang w:val="en-US" w:eastAsia="zh-CN" w:bidi="ar"/>
              </w:rPr>
              <w:t>；</w:t>
            </w:r>
          </w:p>
          <w:p w14:paraId="3B0DC8D0">
            <w:pPr>
              <w:keepNext w:val="0"/>
              <w:keepLines w:val="0"/>
              <w:widowControl/>
              <w:numPr>
                <w:ilvl w:val="0"/>
                <w:numId w:val="14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标本应在80X和200X学生显微镜下清楚观察到根尖结构，看清根冠、分生区、伸长区、根毛区和原形成层等。　</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ECBBB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1FC7A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1A3C3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135DFFC">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29-11</w:t>
            </w:r>
            <w:r>
              <w:rPr>
                <w:rFonts w:hint="eastAsia" w:ascii="宋体" w:hAnsi="宋体" w:cs="宋体"/>
                <w:i w:val="0"/>
                <w:iCs w:val="0"/>
                <w:color w:val="auto"/>
                <w:kern w:val="0"/>
                <w:sz w:val="22"/>
                <w:szCs w:val="22"/>
                <w:highlight w:val="none"/>
                <w:u w:val="none"/>
                <w:lang w:val="en-US" w:eastAsia="zh-CN" w:bidi="ar"/>
              </w:rPr>
              <w:t>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A625B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木本双子叶植物茎横切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26EF4BE">
            <w:pPr>
              <w:keepNext w:val="0"/>
              <w:keepLines w:val="0"/>
              <w:widowControl/>
              <w:numPr>
                <w:ilvl w:val="0"/>
                <w:numId w:val="149"/>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标本在80×和200×学生显微镜下观察木本植物茎横断面的结构</w:t>
            </w:r>
            <w:r>
              <w:rPr>
                <w:rFonts w:hint="eastAsia" w:ascii="宋体" w:hAnsi="宋体" w:cs="宋体"/>
                <w:i w:val="0"/>
                <w:iCs w:val="0"/>
                <w:color w:val="auto"/>
                <w:kern w:val="0"/>
                <w:sz w:val="22"/>
                <w:szCs w:val="22"/>
                <w:highlight w:val="none"/>
                <w:u w:val="none"/>
                <w:lang w:val="en-US" w:eastAsia="zh-CN" w:bidi="ar"/>
              </w:rPr>
              <w:t>；</w:t>
            </w:r>
          </w:p>
          <w:p w14:paraId="45FBAAEA">
            <w:pPr>
              <w:keepNext w:val="0"/>
              <w:keepLines w:val="0"/>
              <w:widowControl/>
              <w:numPr>
                <w:ilvl w:val="0"/>
                <w:numId w:val="149"/>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、能看清表皮（有脱落现象，有时可见皮孔）、木栓层、厚角组织、皮层、韧皮部、形成层、木质部、髓部、髓射线等</w:t>
            </w:r>
            <w:r>
              <w:rPr>
                <w:rFonts w:hint="eastAsia" w:ascii="宋体" w:hAnsi="宋体" w:cs="宋体"/>
                <w:i w:val="0"/>
                <w:iCs w:val="0"/>
                <w:color w:val="auto"/>
                <w:kern w:val="0"/>
                <w:sz w:val="22"/>
                <w:szCs w:val="22"/>
                <w:highlight w:val="none"/>
                <w:u w:val="none"/>
                <w:lang w:val="en-US" w:eastAsia="zh-CN" w:bidi="ar"/>
              </w:rPr>
              <w:t>；</w:t>
            </w:r>
          </w:p>
          <w:p w14:paraId="63DD234D">
            <w:pPr>
              <w:keepNext w:val="0"/>
              <w:keepLines w:val="0"/>
              <w:widowControl/>
              <w:numPr>
                <w:ilvl w:val="0"/>
                <w:numId w:val="149"/>
              </w:numPr>
              <w:suppressLineNumbers w:val="0"/>
              <w:ind w:left="0" w:leftChars="0" w:firstLine="0" w:firstLineChars="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在木质部能看清年轮</w:t>
            </w:r>
            <w:r>
              <w:rPr>
                <w:rFonts w:hint="eastAsia" w:ascii="宋体" w:hAnsi="宋体" w:cs="宋体"/>
                <w:i w:val="0"/>
                <w:iCs w:val="0"/>
                <w:color w:val="auto"/>
                <w:kern w:val="0"/>
                <w:sz w:val="22"/>
                <w:szCs w:val="22"/>
                <w:highlight w:val="none"/>
                <w:u w:val="none"/>
                <w:lang w:val="en-US" w:eastAsia="zh-CN" w:bidi="ar"/>
              </w:rPr>
              <w:t>；</w:t>
            </w:r>
          </w:p>
          <w:p w14:paraId="13CB72C3">
            <w:pPr>
              <w:keepNext w:val="0"/>
              <w:keepLines w:val="0"/>
              <w:widowControl/>
              <w:numPr>
                <w:ilvl w:val="0"/>
                <w:numId w:val="149"/>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在皮层、韧皮部和髓部的细胞中有时可见草酸钙结晶</w:t>
            </w:r>
            <w:r>
              <w:rPr>
                <w:rFonts w:hint="eastAsia" w:ascii="宋体" w:hAnsi="宋体" w:cs="宋体"/>
                <w:i w:val="0"/>
                <w:iCs w:val="0"/>
                <w:color w:val="auto"/>
                <w:kern w:val="0"/>
                <w:sz w:val="22"/>
                <w:szCs w:val="22"/>
                <w:highlight w:val="none"/>
                <w:u w:val="none"/>
                <w:lang w:val="en-US" w:eastAsia="zh-CN" w:bidi="ar"/>
              </w:rPr>
              <w:t>；</w:t>
            </w:r>
          </w:p>
          <w:p w14:paraId="51D3A87F">
            <w:pPr>
              <w:keepNext w:val="0"/>
              <w:keepLines w:val="0"/>
              <w:widowControl/>
              <w:numPr>
                <w:ilvl w:val="0"/>
                <w:numId w:val="149"/>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切片厚度在15um以内</w:t>
            </w:r>
            <w:r>
              <w:rPr>
                <w:rFonts w:hint="eastAsia" w:ascii="宋体" w:hAnsi="宋体" w:cs="宋体"/>
                <w:i w:val="0"/>
                <w:iCs w:val="0"/>
                <w:color w:val="auto"/>
                <w:kern w:val="0"/>
                <w:sz w:val="22"/>
                <w:szCs w:val="22"/>
                <w:highlight w:val="none"/>
                <w:u w:val="none"/>
                <w:lang w:val="en-US" w:eastAsia="zh-CN" w:bidi="ar"/>
              </w:rPr>
              <w:t>；</w:t>
            </w:r>
          </w:p>
          <w:p w14:paraId="78A8C2A2">
            <w:pPr>
              <w:keepNext w:val="0"/>
              <w:keepLines w:val="0"/>
              <w:widowControl/>
              <w:numPr>
                <w:ilvl w:val="0"/>
                <w:numId w:val="149"/>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标本用蕃红、固绿染色，木质部和韧皮纤维呈红色，其他组织呈绿色（髓射线在木质部可呈红色）</w:t>
            </w:r>
            <w:r>
              <w:rPr>
                <w:rFonts w:hint="eastAsia" w:ascii="宋体" w:hAnsi="宋体" w:cs="宋体"/>
                <w:i w:val="0"/>
                <w:iCs w:val="0"/>
                <w:color w:val="auto"/>
                <w:kern w:val="0"/>
                <w:sz w:val="22"/>
                <w:szCs w:val="22"/>
                <w:highlight w:val="none"/>
                <w:u w:val="none"/>
                <w:lang w:val="en-US" w:eastAsia="zh-CN" w:bidi="ar"/>
              </w:rPr>
              <w:t>；</w:t>
            </w:r>
          </w:p>
          <w:p w14:paraId="2F7C25BE">
            <w:pPr>
              <w:keepNext w:val="0"/>
              <w:keepLines w:val="0"/>
              <w:widowControl/>
              <w:numPr>
                <w:ilvl w:val="0"/>
                <w:numId w:val="149"/>
              </w:numPr>
              <w:suppressLineNumbers w:val="0"/>
              <w:ind w:left="0" w:leftChars="0" w:firstLine="0" w:firstLineChars="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各部组织无破裂，表皮脱落应不超过1/4。</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FD41C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3E5E17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1BBB2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60A113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18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636FB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草本植物茎横切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1CAA7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1.装片厚度≤1.2mm；2.标本在80×和200×学生显微镜下观察木本植物茎横断面的结构； 3.看清能看清表皮（有脱落现象，有时可见皮孔）、木栓层、厚角组织、皮层、韧皮部、形成层、木质部、髓部、髓射线等。4.切片厚度应均匀，无污物。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DD5E5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D2CC3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6A2A0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372EC2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19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30D2B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洋葱表皮装片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A62DA31">
            <w:pPr>
              <w:keepNext w:val="0"/>
              <w:keepLines w:val="0"/>
              <w:widowControl/>
              <w:numPr>
                <w:ilvl w:val="0"/>
                <w:numId w:val="15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2BC7C435">
            <w:pPr>
              <w:keepNext w:val="0"/>
              <w:keepLines w:val="0"/>
              <w:widowControl/>
              <w:numPr>
                <w:ilvl w:val="0"/>
                <w:numId w:val="15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标本在80×和200×学生显微镜下观察洋葱表皮装片的各结构；</w:t>
            </w:r>
          </w:p>
          <w:p w14:paraId="2A4526BC">
            <w:pPr>
              <w:keepNext w:val="0"/>
              <w:keepLines w:val="0"/>
              <w:widowControl/>
              <w:numPr>
                <w:ilvl w:val="0"/>
                <w:numId w:val="15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.看清鳞片叶表皮的长方形细胞，并具细胞核；</w:t>
            </w:r>
          </w:p>
          <w:p w14:paraId="5337AFB7">
            <w:pPr>
              <w:keepNext w:val="0"/>
              <w:keepLines w:val="0"/>
              <w:widowControl/>
              <w:numPr>
                <w:ilvl w:val="0"/>
                <w:numId w:val="15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C0CC4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776D3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01BBE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665276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29-12</w:t>
            </w:r>
            <w:r>
              <w:rPr>
                <w:rFonts w:hint="eastAsia" w:ascii="宋体" w:hAnsi="宋体" w:cs="宋体"/>
                <w:i w:val="0"/>
                <w:iCs w:val="0"/>
                <w:color w:val="auto"/>
                <w:kern w:val="0"/>
                <w:sz w:val="22"/>
                <w:szCs w:val="22"/>
                <w:highlight w:val="none"/>
                <w:u w:val="none"/>
                <w:lang w:val="en-US" w:eastAsia="zh-CN" w:bidi="ar"/>
              </w:rPr>
              <w:t>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79307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叶片横切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EF529C0">
            <w:pPr>
              <w:keepNext w:val="0"/>
              <w:keepLines w:val="0"/>
              <w:widowControl/>
              <w:numPr>
                <w:ilvl w:val="0"/>
                <w:numId w:val="151"/>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1D386042">
            <w:pPr>
              <w:keepNext w:val="0"/>
              <w:keepLines w:val="0"/>
              <w:widowControl/>
              <w:numPr>
                <w:ilvl w:val="0"/>
                <w:numId w:val="15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标本在80x和200x学生显微镜下观察叶下表皮形态和气孔结构；</w:t>
            </w:r>
          </w:p>
          <w:p w14:paraId="6C00DC94">
            <w:pPr>
              <w:keepNext w:val="0"/>
              <w:keepLines w:val="0"/>
              <w:widowControl/>
              <w:numPr>
                <w:ilvl w:val="0"/>
                <w:numId w:val="15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能看清上下表皮、气孔的断面、栅状组织、海绵组织、叶脉等；</w:t>
            </w:r>
          </w:p>
          <w:p w14:paraId="548FBA27">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40CBA6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141A8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79D89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026A2D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29-12</w:t>
            </w:r>
            <w:r>
              <w:rPr>
                <w:rFonts w:hint="eastAsia" w:ascii="宋体" w:hAnsi="宋体" w:cs="宋体"/>
                <w:i w:val="0"/>
                <w:iCs w:val="0"/>
                <w:color w:val="auto"/>
                <w:kern w:val="0"/>
                <w:sz w:val="22"/>
                <w:szCs w:val="22"/>
                <w:highlight w:val="none"/>
                <w:u w:val="none"/>
                <w:lang w:val="en-US" w:eastAsia="zh-CN" w:bidi="ar"/>
              </w:rPr>
              <w:t>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FE6F2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叶片气孔装片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DA75C34">
            <w:pPr>
              <w:keepNext w:val="0"/>
              <w:keepLines w:val="0"/>
              <w:widowControl/>
              <w:numPr>
                <w:ilvl w:val="0"/>
                <w:numId w:val="15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05EBB350">
            <w:pPr>
              <w:keepNext w:val="0"/>
              <w:keepLines w:val="0"/>
              <w:widowControl/>
              <w:numPr>
                <w:ilvl w:val="0"/>
                <w:numId w:val="15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标本在80×和200×学生显微镜下，观察迎春叶横断面；</w:t>
            </w:r>
          </w:p>
          <w:p w14:paraId="2F0991CE">
            <w:pPr>
              <w:keepNext w:val="0"/>
              <w:keepLines w:val="0"/>
              <w:widowControl/>
              <w:numPr>
                <w:ilvl w:val="0"/>
                <w:numId w:val="15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能看清不规则形的下表皮细胞，及其胞核和分散在下表皮细胞间的气孔；</w:t>
            </w:r>
          </w:p>
          <w:p w14:paraId="71B98590">
            <w:pPr>
              <w:keepNext w:val="0"/>
              <w:keepLines w:val="0"/>
              <w:widowControl/>
              <w:numPr>
                <w:ilvl w:val="0"/>
                <w:numId w:val="15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能看清正常开放的气孔形态和新月形的保卫细胞、胞核和叶绿体。</w:t>
            </w:r>
          </w:p>
          <w:p w14:paraId="79CDE825">
            <w:pPr>
              <w:keepNext w:val="0"/>
              <w:keepLines w:val="0"/>
              <w:widowControl/>
              <w:numPr>
                <w:ilvl w:val="0"/>
                <w:numId w:val="15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D1BD7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77B94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2B48B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505E90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29-12</w:t>
            </w:r>
            <w:r>
              <w:rPr>
                <w:rFonts w:hint="eastAsia" w:ascii="宋体" w:hAnsi="宋体" w:cs="宋体"/>
                <w:i w:val="0"/>
                <w:iCs w:val="0"/>
                <w:color w:val="auto"/>
                <w:kern w:val="0"/>
                <w:sz w:val="22"/>
                <w:szCs w:val="22"/>
                <w:highlight w:val="none"/>
                <w:u w:val="none"/>
                <w:lang w:val="en-US" w:eastAsia="zh-CN" w:bidi="ar"/>
              </w:rPr>
              <w:t>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63A59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动物表皮细胞装片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507A4A6">
            <w:pPr>
              <w:keepNext w:val="0"/>
              <w:keepLines w:val="0"/>
              <w:widowControl/>
              <w:numPr>
                <w:ilvl w:val="0"/>
                <w:numId w:val="15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0388BEEC">
            <w:pPr>
              <w:keepNext w:val="0"/>
              <w:keepLines w:val="0"/>
              <w:widowControl/>
              <w:numPr>
                <w:ilvl w:val="0"/>
                <w:numId w:val="15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标本在80x和200x学生显微镜下观察动物表皮细胞的结构；</w:t>
            </w:r>
          </w:p>
          <w:p w14:paraId="168FBB06">
            <w:pPr>
              <w:keepNext w:val="0"/>
              <w:keepLines w:val="0"/>
              <w:widowControl/>
              <w:numPr>
                <w:ilvl w:val="0"/>
                <w:numId w:val="15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表皮为复层扁平上皮，近表面的浅层细胞有角化脱落在象；</w:t>
            </w:r>
          </w:p>
          <w:p w14:paraId="6D189B4D">
            <w:pPr>
              <w:keepNext w:val="0"/>
              <w:keepLines w:val="0"/>
              <w:widowControl/>
              <w:numPr>
                <w:ilvl w:val="0"/>
                <w:numId w:val="15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E9607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335E23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42E24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B7A1994">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29-12</w:t>
            </w:r>
            <w:r>
              <w:rPr>
                <w:rFonts w:hint="eastAsia" w:ascii="宋体" w:hAnsi="宋体" w:cs="宋体"/>
                <w:i w:val="0"/>
                <w:iCs w:val="0"/>
                <w:color w:val="auto"/>
                <w:kern w:val="0"/>
                <w:sz w:val="22"/>
                <w:szCs w:val="22"/>
                <w:highlight w:val="none"/>
                <w:u w:val="none"/>
                <w:lang w:val="en-US" w:eastAsia="zh-CN" w:bidi="ar"/>
              </w:rPr>
              <w:t>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22C0D8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蛙卵细胞切片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782D88A">
            <w:pPr>
              <w:keepNext w:val="0"/>
              <w:keepLines w:val="0"/>
              <w:widowControl/>
              <w:numPr>
                <w:ilvl w:val="0"/>
                <w:numId w:val="15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097D8C6E">
            <w:pPr>
              <w:keepNext w:val="0"/>
              <w:keepLines w:val="0"/>
              <w:widowControl/>
              <w:numPr>
                <w:ilvl w:val="0"/>
                <w:numId w:val="1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标本在50×生物显微镜下观察蛙受精卵尚未进行第一次分裂时的形态；</w:t>
            </w:r>
          </w:p>
          <w:p w14:paraId="00AFFCF4">
            <w:pPr>
              <w:keepNext w:val="0"/>
              <w:keepLines w:val="0"/>
              <w:widowControl/>
              <w:numPr>
                <w:ilvl w:val="0"/>
                <w:numId w:val="1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能认出有黑色素的动物半球在上，无黑色素的植物半球在下；</w:t>
            </w:r>
          </w:p>
          <w:p w14:paraId="7F8A5E7B">
            <w:pPr>
              <w:keepNext w:val="0"/>
              <w:keepLines w:val="0"/>
              <w:widowControl/>
              <w:numPr>
                <w:ilvl w:val="0"/>
                <w:numId w:val="15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10875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E423A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3F0EC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F10A0A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29-12</w:t>
            </w:r>
            <w:r>
              <w:rPr>
                <w:rFonts w:hint="eastAsia" w:ascii="宋体" w:hAnsi="宋体" w:cs="宋体"/>
                <w:i w:val="0"/>
                <w:iCs w:val="0"/>
                <w:color w:val="auto"/>
                <w:kern w:val="0"/>
                <w:sz w:val="22"/>
                <w:szCs w:val="22"/>
                <w:highlight w:val="none"/>
                <w:u w:val="none"/>
                <w:lang w:val="en-US" w:eastAsia="zh-CN" w:bidi="ar"/>
              </w:rPr>
              <w:t>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71247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骨细胞切片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84D48F3">
            <w:pPr>
              <w:keepNext w:val="0"/>
              <w:keepLines w:val="0"/>
              <w:widowControl/>
              <w:numPr>
                <w:ilvl w:val="0"/>
                <w:numId w:val="15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64A542C1">
            <w:pPr>
              <w:keepNext w:val="0"/>
              <w:keepLines w:val="0"/>
              <w:widowControl/>
              <w:numPr>
                <w:ilvl w:val="0"/>
                <w:numId w:val="15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标本在50×和100×显微镜下观察骨单位结构。每片材料不小于3mm×3mm；</w:t>
            </w:r>
          </w:p>
          <w:p w14:paraId="0C4A1D4C">
            <w:pPr>
              <w:keepNext w:val="0"/>
              <w:keepLines w:val="0"/>
              <w:widowControl/>
              <w:numPr>
                <w:ilvl w:val="0"/>
                <w:numId w:val="15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可见同心圆状排列的骨板，每一骨单位的骨板间有3~6层骨陷窝，骨小管从中央管向周围呈放射状排列；</w:t>
            </w:r>
          </w:p>
          <w:p w14:paraId="1F4DC4F9">
            <w:pPr>
              <w:keepNext w:val="0"/>
              <w:keepLines w:val="0"/>
              <w:widowControl/>
              <w:numPr>
                <w:ilvl w:val="0"/>
                <w:numId w:val="15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49F86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7786C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1A1F2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B5D3F5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29-12</w:t>
            </w:r>
            <w:r>
              <w:rPr>
                <w:rFonts w:hint="eastAsia" w:ascii="宋体" w:hAnsi="宋体" w:cs="宋体"/>
                <w:i w:val="0"/>
                <w:iCs w:val="0"/>
                <w:color w:val="auto"/>
                <w:kern w:val="0"/>
                <w:sz w:val="22"/>
                <w:szCs w:val="22"/>
                <w:highlight w:val="none"/>
                <w:u w:val="none"/>
                <w:lang w:val="en-US" w:eastAsia="zh-CN" w:bidi="ar"/>
              </w:rPr>
              <w:t>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028734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口腔粘膜细胞装片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081E787">
            <w:pPr>
              <w:keepNext w:val="0"/>
              <w:keepLines w:val="0"/>
              <w:widowControl/>
              <w:numPr>
                <w:ilvl w:val="0"/>
                <w:numId w:val="15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5790D191">
            <w:pPr>
              <w:keepNext w:val="0"/>
              <w:keepLines w:val="0"/>
              <w:widowControl/>
              <w:numPr>
                <w:ilvl w:val="0"/>
                <w:numId w:val="15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标本在400x生物显微镜下观察复层扁平上皮的结构；</w:t>
            </w:r>
          </w:p>
          <w:p w14:paraId="3B07D12A">
            <w:pPr>
              <w:keepNext w:val="0"/>
              <w:keepLines w:val="0"/>
              <w:widowControl/>
              <w:numPr>
                <w:ilvl w:val="0"/>
                <w:numId w:val="15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能看清复层扁平上皮细胞在近表层呈扁平形，胞核较扁，有脱落现象，表层以下的细胞逐渐增厚，呈不规则的多边形，胞核圆形，紧贴基膜的深部细胞有呈方形成矩形的；</w:t>
            </w:r>
          </w:p>
          <w:p w14:paraId="12513067">
            <w:pPr>
              <w:keepNext w:val="0"/>
              <w:keepLines w:val="0"/>
              <w:widowControl/>
              <w:numPr>
                <w:ilvl w:val="0"/>
                <w:numId w:val="15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76FF8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AC681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115A1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C85837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29-12</w:t>
            </w:r>
            <w:r>
              <w:rPr>
                <w:rFonts w:hint="eastAsia" w:ascii="宋体" w:hAnsi="宋体" w:cs="宋体"/>
                <w:i w:val="0"/>
                <w:iCs w:val="0"/>
                <w:color w:val="auto"/>
                <w:kern w:val="0"/>
                <w:sz w:val="22"/>
                <w:szCs w:val="22"/>
                <w:highlight w:val="none"/>
                <w:u w:val="none"/>
                <w:lang w:val="en-US" w:eastAsia="zh-CN" w:bidi="ar"/>
              </w:rPr>
              <w:t>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4ABB17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人血细胞装片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4DBEC91">
            <w:pPr>
              <w:keepNext w:val="0"/>
              <w:keepLines w:val="0"/>
              <w:widowControl/>
              <w:numPr>
                <w:ilvl w:val="0"/>
                <w:numId w:val="157"/>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装片厚度≤1.2mm；</w:t>
            </w:r>
          </w:p>
          <w:p w14:paraId="0D1BFBDC">
            <w:pPr>
              <w:keepNext w:val="0"/>
              <w:keepLines w:val="0"/>
              <w:widowControl/>
              <w:numPr>
                <w:ilvl w:val="0"/>
                <w:numId w:val="15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标本在400x生物显微镜下观察血液中血胞的形态；</w:t>
            </w:r>
          </w:p>
          <w:p w14:paraId="76B2D349">
            <w:pPr>
              <w:keepNext w:val="0"/>
              <w:keepLines w:val="0"/>
              <w:widowControl/>
              <w:numPr>
                <w:ilvl w:val="0"/>
                <w:numId w:val="15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能看清红血细胞和白血细胞，有时可见血小板；</w:t>
            </w:r>
          </w:p>
          <w:p w14:paraId="36CC31F8">
            <w:pPr>
              <w:keepNext w:val="0"/>
              <w:keepLines w:val="0"/>
              <w:widowControl/>
              <w:numPr>
                <w:ilvl w:val="0"/>
                <w:numId w:val="157"/>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切片厚度应均匀，无污物。</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66400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片</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C74D0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r>
      <w:tr w14:paraId="090A6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1C04ED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27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AD051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量筒</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C212A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4ECBA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60FF8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5E2C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F3849DB">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28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992408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量杯</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47EDD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250mL</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0D83B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230BA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9CEA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1A0170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29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908E1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甘油注射器</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54412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30mL</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C6A2E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41CAA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48AC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B1A8BF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EA60D7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试管1</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5ABB1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参数同序号24-43一致。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C3344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B7F4E4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C06F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F4B7B6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DF595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试管2</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C6A1F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参数同序号27-48一致。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EAF4E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支</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402C4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33D7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B710CE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EAEF10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烧杯（50mL）</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D10B9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参数同序号24-44一致。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FF96D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2CD76A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A27F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EEDEB4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8FCAF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烧杯（100mL）</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26D13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参数同序号24-45一致。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678D3D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594BE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262C9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B24CA4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FF786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烧杯（250mL）</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F2430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参数同序号24-46一致。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258E8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AAC82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165B09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A4D74C8">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65CFF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烧杯（500mL）</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7B3AB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参数同序号24-47一致。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1B26E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4B3B0C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39A83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726A0B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E7EAA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122D0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平、长，250mL</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21CE2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96F74B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E968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A01637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54FE03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锥形瓶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4CFDB2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100mL</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DAB7C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7CDEB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62257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9CD4A8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EAE33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酒精灯</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463DD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150mL</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89DF7A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FFACF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7862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E475646">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39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5E007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漏斗</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FBB8C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参数同序号24-68一致。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4388E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5F9BC1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2F9F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2C8FCCE">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7CAE4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Y形管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E90A0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φ7mm～8mm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1C6723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6FFA2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B35B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F635FE7">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197C4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滴管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5D30D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1.由玻璃滴管和胶头组成；2.规格：150mm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90E4D0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03013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E1C6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D568788">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B381D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集气瓶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ED1B2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125mL</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38556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865079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7A6C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EA0613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80355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镊子</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4CC910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304不锈钢平头镊子，长160mm，钢板厚1.2mm。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7EF9C5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916B4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AF1D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254187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4BD34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试管夹</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F094C39">
            <w:pPr>
              <w:keepNext w:val="0"/>
              <w:keepLines w:val="0"/>
              <w:widowControl/>
              <w:numPr>
                <w:ilvl w:val="0"/>
                <w:numId w:val="158"/>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由竹质材料制成。夹长≥100mm，手柄长度≥80mm</w:t>
            </w:r>
            <w:r>
              <w:rPr>
                <w:rFonts w:hint="eastAsia" w:ascii="宋体" w:hAnsi="宋体" w:cs="宋体"/>
                <w:i w:val="0"/>
                <w:iCs w:val="0"/>
                <w:color w:val="auto"/>
                <w:kern w:val="0"/>
                <w:sz w:val="22"/>
                <w:szCs w:val="22"/>
                <w:highlight w:val="none"/>
                <w:u w:val="none"/>
                <w:lang w:val="en-US" w:eastAsia="zh-CN" w:bidi="ar"/>
              </w:rPr>
              <w:t>；</w:t>
            </w:r>
          </w:p>
          <w:p w14:paraId="096BCFB6">
            <w:pPr>
              <w:keepNext w:val="0"/>
              <w:keepLines w:val="0"/>
              <w:widowControl/>
              <w:numPr>
                <w:ilvl w:val="0"/>
                <w:numId w:val="158"/>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符合JY0001-2003的有关规定。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C7CCF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FC063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4E45B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ABB701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7B764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石棉网</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0AB29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由铁丝网及石棉组成，尺寸：125mm*125mm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AECF6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490ED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14A5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A1D23C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A6A88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燃烧匙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9BB4C9E">
            <w:pPr>
              <w:keepNext w:val="0"/>
              <w:keepLines w:val="0"/>
              <w:widowControl/>
              <w:numPr>
                <w:ilvl w:val="0"/>
                <w:numId w:val="159"/>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产品由半圆面和金属丝结合制成</w:t>
            </w:r>
            <w:r>
              <w:rPr>
                <w:rFonts w:hint="eastAsia" w:ascii="宋体" w:hAnsi="宋体" w:cs="宋体"/>
                <w:i w:val="0"/>
                <w:iCs w:val="0"/>
                <w:color w:val="auto"/>
                <w:kern w:val="0"/>
                <w:sz w:val="22"/>
                <w:szCs w:val="22"/>
                <w:highlight w:val="none"/>
                <w:u w:val="none"/>
                <w:lang w:val="en-US" w:eastAsia="zh-CN" w:bidi="ar"/>
              </w:rPr>
              <w:t>；</w:t>
            </w:r>
          </w:p>
          <w:p w14:paraId="42C16969">
            <w:pPr>
              <w:keepNext w:val="0"/>
              <w:keepLines w:val="0"/>
              <w:widowControl/>
              <w:numPr>
                <w:ilvl w:val="0"/>
                <w:numId w:val="15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半圆面为铜材制造，直径为25mm左右</w:t>
            </w:r>
            <w:r>
              <w:rPr>
                <w:rFonts w:hint="eastAsia" w:ascii="宋体" w:hAnsi="宋体" w:cs="宋体"/>
                <w:i w:val="0"/>
                <w:iCs w:val="0"/>
                <w:color w:val="auto"/>
                <w:kern w:val="0"/>
                <w:sz w:val="22"/>
                <w:szCs w:val="22"/>
                <w:highlight w:val="none"/>
                <w:u w:val="none"/>
                <w:lang w:val="en-US" w:eastAsia="zh-CN" w:bidi="ar"/>
              </w:rPr>
              <w:t>；</w:t>
            </w:r>
          </w:p>
          <w:p w14:paraId="7AE3C995">
            <w:pPr>
              <w:keepNext w:val="0"/>
              <w:keepLines w:val="0"/>
              <w:widowControl/>
              <w:numPr>
                <w:ilvl w:val="0"/>
                <w:numId w:val="159"/>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应符合JY0001-88《教学仪器产品一般质量要求》的有关规定。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B54DC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8B338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878A0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90DB3B4">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1B629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药匙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3CABE60">
            <w:pPr>
              <w:keepNext w:val="0"/>
              <w:keepLines w:val="0"/>
              <w:widowControl/>
              <w:numPr>
                <w:ilvl w:val="0"/>
                <w:numId w:val="160"/>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药匙采用硬质塑料制成</w:t>
            </w:r>
            <w:r>
              <w:rPr>
                <w:rFonts w:hint="eastAsia" w:ascii="宋体" w:hAnsi="宋体" w:cs="宋体"/>
                <w:i w:val="0"/>
                <w:iCs w:val="0"/>
                <w:color w:val="auto"/>
                <w:kern w:val="0"/>
                <w:sz w:val="22"/>
                <w:szCs w:val="22"/>
                <w:highlight w:val="none"/>
                <w:u w:val="none"/>
                <w:lang w:val="en-US" w:eastAsia="zh-CN" w:bidi="ar"/>
              </w:rPr>
              <w:t>；</w:t>
            </w:r>
          </w:p>
          <w:p w14:paraId="17A693CA">
            <w:pPr>
              <w:keepNext w:val="0"/>
              <w:keepLines w:val="0"/>
              <w:widowControl/>
              <w:numPr>
                <w:ilvl w:val="0"/>
                <w:numId w:val="16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产品应符合JY0001-88《教学仪器产品一般质量要求》的有关规定。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574232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C08E7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049F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02316A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32D59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D4B86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参数同序号24-75一致。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68D6F8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千克</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4F02CA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44498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3D57CC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49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1D677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玻璃棒</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88844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φ5mm～φ6mm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E26A32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55DFA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4454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18EB2A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6C18B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橡胶管</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2938924">
            <w:pPr>
              <w:keepNext w:val="0"/>
              <w:keepLines w:val="0"/>
              <w:widowControl/>
              <w:numPr>
                <w:ilvl w:val="0"/>
                <w:numId w:val="161"/>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产品用优质天然橡胶制造</w:t>
            </w:r>
            <w:r>
              <w:rPr>
                <w:rFonts w:hint="eastAsia" w:ascii="宋体" w:hAnsi="宋体" w:cs="宋体"/>
                <w:i w:val="0"/>
                <w:iCs w:val="0"/>
                <w:color w:val="auto"/>
                <w:kern w:val="0"/>
                <w:sz w:val="22"/>
                <w:szCs w:val="22"/>
                <w:highlight w:val="none"/>
                <w:u w:val="none"/>
                <w:lang w:val="en-US" w:eastAsia="zh-CN" w:bidi="ar"/>
              </w:rPr>
              <w:t>；</w:t>
            </w:r>
          </w:p>
          <w:p w14:paraId="3801A60C">
            <w:pPr>
              <w:keepNext w:val="0"/>
              <w:keepLines w:val="0"/>
              <w:widowControl/>
              <w:numPr>
                <w:ilvl w:val="0"/>
                <w:numId w:val="16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产品应符合国标GB1189-81《胶管外观质量》的规定</w:t>
            </w:r>
          </w:p>
          <w:p w14:paraId="190F1257">
            <w:pPr>
              <w:keepNext w:val="0"/>
              <w:keepLines w:val="0"/>
              <w:widowControl/>
              <w:numPr>
                <w:ilvl w:val="0"/>
                <w:numId w:val="161"/>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应符JY0001-88《教学仪器产品一般质量要求》的有关规定。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22314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千克</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D75D4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F4EB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C92526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7355C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橡胶塞</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7D9DC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产品用天然橡胶制造，白色；2.每包软胶塞由0~12号的胶塞组成，要求搭配合理</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5D1EC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千克</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C5874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D2F3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A3E7038">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9C54B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试管刷</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3E89900">
            <w:pPr>
              <w:keepNext w:val="0"/>
              <w:keepLines w:val="0"/>
              <w:widowControl/>
              <w:numPr>
                <w:ilvl w:val="0"/>
                <w:numId w:val="162"/>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产品由金属丝和绞合在其上的鬃毛制成</w:t>
            </w:r>
            <w:r>
              <w:rPr>
                <w:rFonts w:hint="eastAsia" w:ascii="宋体" w:hAnsi="宋体" w:cs="宋体"/>
                <w:i w:val="0"/>
                <w:iCs w:val="0"/>
                <w:color w:val="auto"/>
                <w:kern w:val="0"/>
                <w:sz w:val="22"/>
                <w:szCs w:val="22"/>
                <w:highlight w:val="none"/>
                <w:u w:val="none"/>
                <w:lang w:val="en-US" w:eastAsia="zh-CN" w:bidi="ar"/>
              </w:rPr>
              <w:t>；</w:t>
            </w:r>
          </w:p>
          <w:p w14:paraId="068F57EE">
            <w:pPr>
              <w:keepNext w:val="0"/>
              <w:keepLines w:val="0"/>
              <w:widowControl/>
              <w:numPr>
                <w:ilvl w:val="0"/>
                <w:numId w:val="162"/>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应符JY0001-88《教学仪器产品一般质量要求》的有关规定。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A2A90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DB4D3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28A3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0B95A08">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AE7A4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烧瓶刷</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2EEC92A">
            <w:pPr>
              <w:keepNext w:val="0"/>
              <w:keepLines w:val="0"/>
              <w:widowControl/>
              <w:numPr>
                <w:ilvl w:val="0"/>
                <w:numId w:val="163"/>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产品由金属丝和绞合在其上的鬃毛制成</w:t>
            </w:r>
            <w:r>
              <w:rPr>
                <w:rFonts w:hint="eastAsia" w:ascii="宋体" w:hAnsi="宋体" w:cs="宋体"/>
                <w:i w:val="0"/>
                <w:iCs w:val="0"/>
                <w:color w:val="auto"/>
                <w:kern w:val="0"/>
                <w:sz w:val="22"/>
                <w:szCs w:val="22"/>
                <w:highlight w:val="none"/>
                <w:u w:val="none"/>
                <w:lang w:val="en-US" w:eastAsia="zh-CN" w:bidi="ar"/>
              </w:rPr>
              <w:t>；</w:t>
            </w:r>
          </w:p>
          <w:p w14:paraId="05FCBE3C">
            <w:pPr>
              <w:keepNext w:val="0"/>
              <w:keepLines w:val="0"/>
              <w:widowControl/>
              <w:numPr>
                <w:ilvl w:val="0"/>
                <w:numId w:val="163"/>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应符合JY0001-88《教学仪器产品一般质量要求》的有关规定。</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2BF56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16A8BD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8473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652076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EE93AF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培养皿</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39591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6824A7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E3341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36F2E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D7A5E6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0EF42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蒸发皿</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D0F56D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瓷，60mm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3DA20E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06E28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A85DC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03CEBFF">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162B0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塑料量杯</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173B0F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500mL</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C9883B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2742F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5D493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997B1BE">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80B8C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pH广范试纸</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EA500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参数同序号24-15</w:t>
            </w: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一致。</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7F3FAC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本</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4DEB0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r>
      <w:tr w14:paraId="2A792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46BE236">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w:t>
            </w:r>
            <w:r>
              <w:rPr>
                <w:rFonts w:hint="eastAsia" w:ascii="宋体" w:hAnsi="宋体" w:cs="宋体"/>
                <w:i w:val="0"/>
                <w:iCs w:val="0"/>
                <w:color w:val="auto"/>
                <w:kern w:val="0"/>
                <w:sz w:val="22"/>
                <w:szCs w:val="22"/>
                <w:highlight w:val="none"/>
                <w:u w:val="none"/>
                <w:lang w:val="en-US" w:eastAsia="zh-CN" w:bidi="ar"/>
              </w:rPr>
              <w:t>158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C4360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小学科学一般实验材料</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D4ACE6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蜡纸、锡箔纸、塑料手套、塑料管、毛细管、种子、橡皮泥、种植土、过滤纸、导线、碘酒、蜡烛、塑料薄膜、透明塑料袋、不透明塑料袋、棉布、吸管、食用油、食盐、食糖、气球、方格纸、松香等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04C173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套</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9871D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AF58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82ECD35">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59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E9852C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载玻片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8E402CF">
            <w:pPr>
              <w:keepNext w:val="0"/>
              <w:keepLines w:val="0"/>
              <w:widowControl/>
              <w:numPr>
                <w:ilvl w:val="0"/>
                <w:numId w:val="16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玻璃制品,规格为：760mm*260mm*1mm；</w:t>
            </w:r>
          </w:p>
          <w:p w14:paraId="7736B7FD">
            <w:pPr>
              <w:keepNext w:val="0"/>
              <w:keepLines w:val="0"/>
              <w:widowControl/>
              <w:numPr>
                <w:ilvl w:val="0"/>
                <w:numId w:val="164"/>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表面清洁透明无杂质.3、每个包装为50片。</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2EA93E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盒</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3988C7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w:t>
            </w:r>
          </w:p>
        </w:tc>
      </w:tr>
      <w:tr w14:paraId="5325A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7C6C9A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70888D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盖玻片</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9D3AF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100片装</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7E0EC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包</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8B5D73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w:t>
            </w:r>
          </w:p>
        </w:tc>
      </w:tr>
      <w:tr w14:paraId="4DFF9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9214B15">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EFBA9E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测电笔</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3167E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氖泡指示</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313E4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83113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457D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C97D01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268DFB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一字螺丝刀</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DC4F6A3">
            <w:pPr>
              <w:keepNext w:val="0"/>
              <w:keepLines w:val="0"/>
              <w:widowControl/>
              <w:numPr>
                <w:ilvl w:val="0"/>
                <w:numId w:val="165"/>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规格：6X200mm,塑料手柄</w:t>
            </w:r>
            <w:r>
              <w:rPr>
                <w:rFonts w:hint="eastAsia" w:ascii="宋体" w:hAnsi="宋体" w:cs="宋体"/>
                <w:i w:val="0"/>
                <w:iCs w:val="0"/>
                <w:color w:val="auto"/>
                <w:kern w:val="0"/>
                <w:sz w:val="22"/>
                <w:szCs w:val="22"/>
                <w:highlight w:val="none"/>
                <w:u w:val="none"/>
                <w:lang w:val="en-US" w:eastAsia="zh-CN" w:bidi="ar"/>
              </w:rPr>
              <w:t>；</w:t>
            </w:r>
          </w:p>
          <w:p w14:paraId="5CA904D1">
            <w:pPr>
              <w:keepNext w:val="0"/>
              <w:keepLines w:val="0"/>
              <w:widowControl/>
              <w:numPr>
                <w:ilvl w:val="0"/>
                <w:numId w:val="1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旋杆长度采用45#钢，工作部硬度不低于HRC48</w:t>
            </w:r>
            <w:r>
              <w:rPr>
                <w:rFonts w:hint="eastAsia" w:ascii="宋体" w:hAnsi="宋体" w:cs="宋体"/>
                <w:i w:val="0"/>
                <w:iCs w:val="0"/>
                <w:color w:val="auto"/>
                <w:kern w:val="0"/>
                <w:sz w:val="22"/>
                <w:szCs w:val="22"/>
                <w:highlight w:val="none"/>
                <w:u w:val="none"/>
                <w:lang w:val="en-US" w:eastAsia="zh-CN" w:bidi="ar"/>
              </w:rPr>
              <w:t>；</w:t>
            </w:r>
          </w:p>
          <w:p w14:paraId="7EBB3FD7">
            <w:pPr>
              <w:keepNext w:val="0"/>
              <w:keepLines w:val="0"/>
              <w:widowControl/>
              <w:numPr>
                <w:ilvl w:val="0"/>
                <w:numId w:val="165"/>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旋杆应经镀鉻防锈处理。。</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B5179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C0F509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DFD4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579DDAB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98246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十字螺丝刀</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121E99C1">
            <w:pPr>
              <w:keepNext w:val="0"/>
              <w:keepLines w:val="0"/>
              <w:widowControl/>
              <w:numPr>
                <w:ilvl w:val="0"/>
                <w:numId w:val="166"/>
              </w:numPr>
              <w:suppressLineNumbers w:val="0"/>
              <w:jc w:val="left"/>
              <w:textAlignment w:val="center"/>
              <w:rPr>
                <w:rFonts w:hint="eastAsia" w:ascii="宋体" w:hAnsi="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规格：6X200mm,塑料手柄</w:t>
            </w:r>
            <w:r>
              <w:rPr>
                <w:rFonts w:hint="eastAsia" w:ascii="宋体" w:hAnsi="宋体" w:cs="宋体"/>
                <w:i w:val="0"/>
                <w:iCs w:val="0"/>
                <w:color w:val="auto"/>
                <w:kern w:val="0"/>
                <w:sz w:val="22"/>
                <w:szCs w:val="22"/>
                <w:highlight w:val="none"/>
                <w:u w:val="none"/>
                <w:lang w:val="en-US" w:eastAsia="zh-CN" w:bidi="ar"/>
              </w:rPr>
              <w:t>；</w:t>
            </w:r>
          </w:p>
          <w:p w14:paraId="09F0AC6D">
            <w:pPr>
              <w:keepNext w:val="0"/>
              <w:keepLines w:val="0"/>
              <w:widowControl/>
              <w:numPr>
                <w:ilvl w:val="0"/>
                <w:numId w:val="16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旋杆长度采用45#钢，工作部硬度不低于HRC48</w:t>
            </w:r>
          </w:p>
          <w:p w14:paraId="36E3EF0F">
            <w:pPr>
              <w:keepNext w:val="0"/>
              <w:keepLines w:val="0"/>
              <w:widowControl/>
              <w:numPr>
                <w:ilvl w:val="0"/>
                <w:numId w:val="166"/>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旋杆应经镀鉻防锈处理。</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6DF37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5FCC2F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1DB2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6DF0EE4">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1BB8F9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尖嘴钳</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3D434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公称长度160mm,塑料防滑手柄。</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8EE5B1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A5B989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r>
      <w:tr w14:paraId="033D7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2979DAF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5FA0A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木工锯</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D240BC7">
            <w:pPr>
              <w:jc w:val="left"/>
              <w:rPr>
                <w:rFonts w:hint="eastAsia" w:ascii="宋体" w:hAnsi="宋体" w:eastAsia="宋体" w:cs="宋体"/>
                <w:i w:val="0"/>
                <w:iCs w:val="0"/>
                <w:color w:val="auto"/>
                <w:sz w:val="22"/>
                <w:szCs w:val="22"/>
                <w:highlight w:val="none"/>
                <w:u w:val="none"/>
              </w:rPr>
            </w:pP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332A2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6CDFB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38E2D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B4BA6E6">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ADAF2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钢手锯</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9741C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金属锯身，橡胶手柄，锯弓尺寸可以调节，锯条长度300mm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9BF33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B22CD9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6C77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28584DE">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F90B7B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钢丝钳</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E6164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产品外形规格：长度153mm*宽53mm*高18mm；其他技术要求执行QB/T 2442.1标准。</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00A3B8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29F766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156EE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830EBC4">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4B58D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手锤</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3EC5F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0.25 kg</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FB9C1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C5822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395E8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A7C7B0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69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81FB28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活扳手</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5D3A15E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6寸，包塑柄。</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8F167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49469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EEEA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56C68EB">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70</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84AC0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电烙铁</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56F54F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20W，橡胶线</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98C88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4D3CC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r>
      <w:tr w14:paraId="3BC32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4E07C43">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71</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EB2A6F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手电钻</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9D2E85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220V/50hHz  Φ1mm～Φ13mm</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164D2A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69643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4567B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4BFFF115">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72</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7E4CD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剪刀</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A31FB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长200 mm，圆头，刀刃不锈钢材质，手柄塑料材质，带安全帽</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092E210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52995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6249F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5866CB0">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73</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11D13D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花盆</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0BD3816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外径不小于200mm，高不低于110mm,塑料制品。</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8C382C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46827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7E38B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37520F22">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74</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67DF6D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小刀</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336579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全不锈钢材料；小刀展开后总长度不大于120mm。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3BA102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5C2A4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5F21C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750BB4D0">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75</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438EB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塑料桶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09B446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高不小于200mm，直径不小于18mm。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61DDB55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3034DA6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0AC41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0A630F9">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76</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48289B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手摇铃</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7FC22C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1．材质：木柄+铜铃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2．规格：总长约12cm 重约50g。</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40D9E05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78BB8F1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6B379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1B5AA62A">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77</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0B68C3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手持筛子</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6D8E79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ABS材质</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C76D00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0CCD18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r w14:paraId="2C12F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60EDA0B1">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78</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33C4C5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喷水壶</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4BDB5B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高度不低于220mm。</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11AAAA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180A23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r>
      <w:tr w14:paraId="7558A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445" w:type="pct"/>
            <w:tcBorders>
              <w:top w:val="single" w:color="000000" w:sz="4" w:space="0"/>
              <w:left w:val="single" w:color="000000" w:sz="4" w:space="0"/>
              <w:bottom w:val="single" w:color="000000" w:sz="4" w:space="0"/>
              <w:right w:val="single" w:color="000000" w:sz="4" w:space="0"/>
            </w:tcBorders>
            <w:noWrap w:val="0"/>
            <w:vAlign w:val="center"/>
          </w:tcPr>
          <w:p w14:paraId="0B25B19D">
            <w:pPr>
              <w:keepNext w:val="0"/>
              <w:keepLines w:val="0"/>
              <w:widowControl/>
              <w:suppressLineNumbers w:val="0"/>
              <w:jc w:val="left"/>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bidi="ar"/>
              </w:rPr>
              <w:t>29-1</w:t>
            </w:r>
            <w:r>
              <w:rPr>
                <w:rFonts w:hint="eastAsia" w:ascii="宋体" w:hAnsi="宋体" w:cs="宋体"/>
                <w:i w:val="0"/>
                <w:iCs w:val="0"/>
                <w:color w:val="auto"/>
                <w:kern w:val="0"/>
                <w:sz w:val="22"/>
                <w:szCs w:val="22"/>
                <w:highlight w:val="none"/>
                <w:u w:val="none"/>
                <w:lang w:val="en-US" w:eastAsia="zh-CN" w:bidi="ar"/>
              </w:rPr>
              <w:t>79</w:t>
            </w:r>
          </w:p>
        </w:tc>
        <w:tc>
          <w:tcPr>
            <w:tcW w:w="517" w:type="pct"/>
            <w:tcBorders>
              <w:top w:val="single" w:color="000000" w:sz="4" w:space="0"/>
              <w:left w:val="single" w:color="000000" w:sz="4" w:space="0"/>
              <w:bottom w:val="single" w:color="000000" w:sz="4" w:space="0"/>
              <w:right w:val="single" w:color="000000" w:sz="4" w:space="0"/>
            </w:tcBorders>
            <w:noWrap w:val="0"/>
            <w:vAlign w:val="center"/>
          </w:tcPr>
          <w:p w14:paraId="585AC9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采集捕捞工具</w:t>
            </w:r>
          </w:p>
        </w:tc>
        <w:tc>
          <w:tcPr>
            <w:tcW w:w="3271" w:type="pct"/>
            <w:tcBorders>
              <w:top w:val="single" w:color="000000" w:sz="4" w:space="0"/>
              <w:left w:val="single" w:color="000000" w:sz="4" w:space="0"/>
              <w:bottom w:val="single" w:color="000000" w:sz="4" w:space="0"/>
              <w:right w:val="single" w:color="000000" w:sz="4" w:space="0"/>
            </w:tcBorders>
            <w:noWrap w:val="0"/>
            <w:vAlign w:val="center"/>
          </w:tcPr>
          <w:p w14:paraId="24C0B9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标本夹，捕虫网，水网，小铁铲，枝剪等</w:t>
            </w:r>
            <w:r>
              <w:rPr>
                <w:rFonts w:hint="eastAsia" w:ascii="宋体" w:hAnsi="宋体" w:cs="宋体"/>
                <w:i w:val="0"/>
                <w:iCs w:val="0"/>
                <w:color w:val="auto"/>
                <w:kern w:val="0"/>
                <w:sz w:val="22"/>
                <w:szCs w:val="22"/>
                <w:highlight w:val="none"/>
                <w:u w:val="none"/>
                <w:lang w:val="en-US" w:eastAsia="zh-CN" w:bidi="ar"/>
              </w:rPr>
              <w:t>。</w:t>
            </w:r>
          </w:p>
        </w:tc>
        <w:tc>
          <w:tcPr>
            <w:tcW w:w="349" w:type="pct"/>
            <w:tcBorders>
              <w:top w:val="single" w:color="000000" w:sz="4" w:space="0"/>
              <w:left w:val="single" w:color="000000" w:sz="4" w:space="0"/>
              <w:bottom w:val="single" w:color="000000" w:sz="4" w:space="0"/>
              <w:right w:val="single" w:color="000000" w:sz="4" w:space="0"/>
            </w:tcBorders>
            <w:noWrap w:val="0"/>
            <w:vAlign w:val="center"/>
          </w:tcPr>
          <w:p w14:paraId="5223F2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个</w:t>
            </w:r>
          </w:p>
        </w:tc>
        <w:tc>
          <w:tcPr>
            <w:tcW w:w="415" w:type="pct"/>
            <w:tcBorders>
              <w:top w:val="single" w:color="000000" w:sz="4" w:space="0"/>
              <w:left w:val="single" w:color="000000" w:sz="4" w:space="0"/>
              <w:bottom w:val="single" w:color="000000" w:sz="4" w:space="0"/>
              <w:right w:val="single" w:color="000000" w:sz="4" w:space="0"/>
            </w:tcBorders>
            <w:noWrap w:val="0"/>
            <w:vAlign w:val="center"/>
          </w:tcPr>
          <w:p w14:paraId="630857A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57</w:t>
            </w:r>
          </w:p>
        </w:tc>
      </w:tr>
    </w:tbl>
    <w:p w14:paraId="641BAC7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Times New Roman"/>
          <w:szCs w:val="21"/>
          <w:highlight w:val="none"/>
          <w:lang w:eastAsia="zh-CN"/>
        </w:rPr>
      </w:pPr>
      <w:r>
        <w:rPr>
          <w:rFonts w:hint="eastAsia" w:ascii="宋体" w:hAnsi="宋体" w:eastAsia="宋体" w:cs="宋体"/>
          <w:szCs w:val="21"/>
          <w:highlight w:val="none"/>
          <w:lang w:eastAsia="zh-CN"/>
        </w:rPr>
        <w:t>★</w:t>
      </w:r>
      <w:r>
        <w:rPr>
          <w:rFonts w:hint="eastAsia" w:ascii="宋体" w:hAnsi="宋体" w:eastAsia="宋体" w:cs="Times New Roman"/>
          <w:szCs w:val="21"/>
          <w:highlight w:val="none"/>
          <w:lang w:eastAsia="zh-CN"/>
        </w:rPr>
        <w:t>注：带“</w:t>
      </w:r>
      <w:r>
        <w:rPr>
          <w:rFonts w:hint="eastAsia" w:ascii="宋体" w:hAnsi="宋体" w:eastAsia="宋体" w:cs="Times New Roman"/>
          <w:szCs w:val="21"/>
          <w:highlight w:val="none"/>
          <w:lang w:val="en-US" w:eastAsia="zh-CN"/>
        </w:rPr>
        <w:t>强制采购节能（水）产品</w:t>
      </w:r>
      <w:r>
        <w:rPr>
          <w:rFonts w:hint="eastAsia" w:ascii="宋体" w:hAnsi="宋体" w:eastAsia="宋体" w:cs="Times New Roman"/>
          <w:szCs w:val="21"/>
          <w:highlight w:val="none"/>
          <w:lang w:eastAsia="zh-CN"/>
        </w:rPr>
        <w:t>”标注的产品，强制采购节能产品，</w:t>
      </w:r>
      <w:r>
        <w:rPr>
          <w:rFonts w:hint="eastAsia" w:ascii="宋体" w:hAnsi="宋体" w:eastAsia="宋体" w:cs="Times New Roman"/>
          <w:szCs w:val="21"/>
          <w:highlight w:val="none"/>
        </w:rPr>
        <w:t>供应商须提供所投产品有效期内的节能</w:t>
      </w:r>
      <w:r>
        <w:rPr>
          <w:rFonts w:hint="eastAsia" w:ascii="宋体" w:hAnsi="宋体" w:eastAsia="宋体" w:cs="Times New Roman"/>
          <w:szCs w:val="21"/>
          <w:highlight w:val="none"/>
          <w:lang w:eastAsia="zh-CN"/>
        </w:rPr>
        <w:t>（水）</w:t>
      </w:r>
      <w:r>
        <w:rPr>
          <w:rFonts w:hint="eastAsia" w:ascii="宋体" w:hAnsi="宋体" w:eastAsia="宋体" w:cs="Times New Roman"/>
          <w:szCs w:val="21"/>
          <w:highlight w:val="none"/>
        </w:rPr>
        <w:t>产品认证证书，否则其投标无效。</w:t>
      </w:r>
    </w:p>
    <w:p w14:paraId="5686B15F">
      <w:pPr>
        <w:pStyle w:val="2"/>
        <w:numPr>
          <w:ilvl w:val="0"/>
          <w:numId w:val="0"/>
        </w:numPr>
        <w:spacing w:before="0" w:after="0" w:line="360" w:lineRule="auto"/>
        <w:jc w:val="center"/>
        <w:rPr>
          <w:rFonts w:hint="default" w:ascii="宋体" w:hAnsi="宋体" w:eastAsia="宋体" w:cs="宋体"/>
          <w:b/>
          <w:bCs/>
          <w:color w:val="auto"/>
          <w:kern w:val="2"/>
          <w:sz w:val="24"/>
          <w:szCs w:val="24"/>
          <w:highlight w:val="none"/>
          <w:lang w:val="en-US" w:eastAsia="zh-CN" w:bidi="ar-SA"/>
        </w:rPr>
      </w:pPr>
      <w:bookmarkStart w:id="47" w:name="_Toc9722"/>
      <w:r>
        <w:rPr>
          <w:rFonts w:hint="eastAsia" w:ascii="宋体" w:hAnsi="宋体" w:eastAsia="宋体" w:cs="宋体"/>
          <w:b/>
          <w:bCs/>
          <w:color w:val="auto"/>
          <w:kern w:val="2"/>
          <w:sz w:val="24"/>
          <w:szCs w:val="24"/>
          <w:highlight w:val="none"/>
          <w:lang w:val="en-US" w:eastAsia="zh-CN" w:bidi="ar-SA"/>
        </w:rPr>
        <w:t>第三节 商务要求</w:t>
      </w:r>
      <w:bookmarkEnd w:id="47"/>
    </w:p>
    <w:p w14:paraId="13773E16">
      <w:pPr>
        <w:keepNext w:val="0"/>
        <w:keepLines w:val="0"/>
        <w:pageBreakBefore w:val="0"/>
        <w:widowControl w:val="0"/>
        <w:kinsoku/>
        <w:wordWrap/>
        <w:overflowPunct/>
        <w:topLinePunct w:val="0"/>
        <w:autoSpaceDE/>
        <w:autoSpaceDN/>
        <w:bidi w:val="0"/>
        <w:adjustRightInd/>
        <w:snapToGrid/>
        <w:spacing w:beforeLines="50" w:after="0" w:line="360" w:lineRule="auto"/>
        <w:jc w:val="both"/>
        <w:textAlignment w:val="auto"/>
        <w:rPr>
          <w:rFonts w:ascii="宋体" w:hAnsi="宋体" w:eastAsia="宋体" w:cs="宋体"/>
          <w:b/>
          <w:color w:val="auto"/>
          <w:kern w:val="2"/>
          <w:sz w:val="24"/>
          <w:szCs w:val="24"/>
          <w:highlight w:val="none"/>
          <w:lang w:val="en-US" w:eastAsia="zh-CN" w:bidi="ar-SA"/>
        </w:rPr>
      </w:pPr>
      <w:r>
        <w:rPr>
          <w:rFonts w:hint="eastAsia" w:ascii="宋体" w:hAnsi="宋体" w:eastAsia="宋体" w:cs="宋体"/>
          <w:b/>
          <w:color w:val="auto"/>
          <w:kern w:val="2"/>
          <w:sz w:val="24"/>
          <w:szCs w:val="24"/>
          <w:highlight w:val="none"/>
          <w:lang w:val="en-US" w:eastAsia="zh-CN" w:bidi="ar-SA"/>
        </w:rPr>
        <w:t>五、采购项目培训及售后服务要求</w:t>
      </w:r>
    </w:p>
    <w:p w14:paraId="417A5ACF">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1、保修期内的售后服务</w:t>
      </w:r>
    </w:p>
    <w:p w14:paraId="068ADCFE">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1）保修期自供需双方代表在产品验收单上签字之日起乙方</w:t>
      </w:r>
      <w:r>
        <w:rPr>
          <w:rFonts w:hint="eastAsia" w:ascii="宋体" w:hAnsi="宋体" w:eastAsia="宋体" w:cs="宋体"/>
          <w:color w:val="auto"/>
          <w:sz w:val="24"/>
          <w:highlight w:val="none"/>
          <w:lang w:val="zh-CN"/>
        </w:rPr>
        <w:t>提供本项目</w:t>
      </w:r>
      <w:r>
        <w:rPr>
          <w:rFonts w:hint="eastAsia" w:ascii="宋体" w:hAnsi="宋体" w:cs="宋体"/>
          <w:color w:val="auto"/>
          <w:sz w:val="24"/>
          <w:highlight w:val="none"/>
          <w:lang w:val="en-US" w:eastAsia="zh-CN"/>
        </w:rPr>
        <w:t>壹</w:t>
      </w:r>
      <w:r>
        <w:rPr>
          <w:rFonts w:hint="eastAsia" w:ascii="宋体" w:hAnsi="宋体" w:eastAsia="宋体" w:cs="宋体"/>
          <w:color w:val="auto"/>
          <w:sz w:val="24"/>
          <w:highlight w:val="none"/>
          <w:lang w:val="zh-CN"/>
        </w:rPr>
        <w:t>年免费维护服务；货物质保期按国家（行业）标准及</w:t>
      </w:r>
      <w:r>
        <w:rPr>
          <w:rFonts w:hint="eastAsia" w:ascii="宋体" w:hAnsi="宋体" w:eastAsia="宋体" w:cs="宋体"/>
          <w:color w:val="auto"/>
          <w:sz w:val="24"/>
          <w:highlight w:val="none"/>
        </w:rPr>
        <w:t>制造厂商的三包政策</w:t>
      </w:r>
      <w:r>
        <w:rPr>
          <w:rFonts w:hint="eastAsia" w:ascii="宋体" w:hAnsi="宋体" w:eastAsia="宋体" w:cs="宋体"/>
          <w:color w:val="auto"/>
          <w:sz w:val="24"/>
          <w:highlight w:val="none"/>
          <w:lang w:val="zh-CN"/>
        </w:rPr>
        <w:t>执行</w:t>
      </w:r>
      <w:r>
        <w:rPr>
          <w:rFonts w:hint="eastAsia" w:ascii="宋体" w:hAnsi="宋体" w:eastAsia="宋体" w:cs="宋体"/>
          <w:color w:val="auto"/>
          <w:sz w:val="24"/>
          <w:highlight w:val="none"/>
        </w:rPr>
        <w:t>。保修费用计入本合同总价。</w:t>
      </w:r>
    </w:p>
    <w:p w14:paraId="762041A8">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rPr>
        <w:t>、在设备的设计使用寿命周期内，</w:t>
      </w:r>
      <w:r>
        <w:rPr>
          <w:rFonts w:hint="eastAsia" w:ascii="宋体" w:hAnsi="宋体" w:eastAsia="宋体" w:cs="宋体"/>
          <w:color w:val="auto"/>
          <w:sz w:val="24"/>
          <w:highlight w:val="none"/>
          <w:lang w:eastAsia="zh-CN"/>
        </w:rPr>
        <w:t>成交人</w:t>
      </w:r>
      <w:r>
        <w:rPr>
          <w:rFonts w:hint="eastAsia" w:ascii="宋体" w:hAnsi="宋体" w:eastAsia="宋体" w:cs="宋体"/>
          <w:color w:val="auto"/>
          <w:sz w:val="24"/>
          <w:highlight w:val="none"/>
        </w:rPr>
        <w:t>应能保证使用方更换到原厂正宗的备件材料，确保设备的正常使用。</w:t>
      </w:r>
    </w:p>
    <w:p w14:paraId="10854B13">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rPr>
        <w:t>）产品故障报修的响应时间：每天8:00～18:00期间为</w:t>
      </w:r>
      <w:r>
        <w:rPr>
          <w:rFonts w:hint="eastAsia" w:ascii="宋体" w:hAnsi="宋体" w:cs="宋体"/>
          <w:color w:val="auto"/>
          <w:sz w:val="24"/>
          <w:highlight w:val="none"/>
          <w:lang w:val="en-US" w:eastAsia="zh-CN"/>
        </w:rPr>
        <w:t>2</w:t>
      </w:r>
      <w:r>
        <w:rPr>
          <w:rFonts w:hint="eastAsia" w:ascii="宋体" w:hAnsi="宋体" w:eastAsia="宋体" w:cs="宋体"/>
          <w:color w:val="auto"/>
          <w:sz w:val="24"/>
          <w:highlight w:val="none"/>
        </w:rPr>
        <w:t>小时。其余期间为</w:t>
      </w: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小时。</w:t>
      </w:r>
    </w:p>
    <w:p w14:paraId="0B4CE0AF">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3）如果产品故障在检修4小时后仍无法排除，成交人应在8小时内提供不低于故障产品规格型号档次的备用产品供采购人使用，直至故障产品修复。</w:t>
      </w:r>
    </w:p>
    <w:p w14:paraId="4AA04B7A">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4）所有产品保修服务方式均为上门保修，即由成交人派员到采购单位产品使用现场维修。由此产生的一切费用均由成交人承担。</w:t>
      </w:r>
    </w:p>
    <w:p w14:paraId="0A673C99">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5）成交人保修期内的维修、维护内容和范围：合同设备详细清单。</w:t>
      </w:r>
    </w:p>
    <w:p w14:paraId="53ED3040">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2、培训</w:t>
      </w:r>
    </w:p>
    <w:p w14:paraId="7EE01718">
      <w:pPr>
        <w:pageBreakBefore w:val="0"/>
        <w:kinsoku/>
        <w:wordWrap/>
        <w:overflowPunct/>
        <w:topLinePunct w:val="0"/>
        <w:bidi w:val="0"/>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1）成交人向采购人提供的培训内容：一般维护培训及双方商定的培训内容。</w:t>
      </w:r>
    </w:p>
    <w:p w14:paraId="74A94AFC">
      <w:pPr>
        <w:pageBreakBefore w:val="0"/>
        <w:kinsoku/>
        <w:wordWrap/>
        <w:overflowPunct/>
        <w:topLinePunct w:val="0"/>
        <w:bidi w:val="0"/>
        <w:spacing w:line="360" w:lineRule="auto"/>
        <w:ind w:firstLine="480" w:firstLineChars="200"/>
        <w:rPr>
          <w:rFonts w:hint="eastAsia" w:ascii="Times New Roman" w:hAnsi="Times New Roman" w:eastAsia="宋体" w:cs="Times New Roman"/>
          <w:color w:val="auto"/>
          <w:highlight w:val="none"/>
        </w:rPr>
      </w:pPr>
      <w:r>
        <w:rPr>
          <w:rFonts w:hint="eastAsia" w:ascii="宋体" w:hAnsi="宋体" w:eastAsia="宋体" w:cs="宋体"/>
          <w:color w:val="auto"/>
          <w:sz w:val="24"/>
          <w:highlight w:val="none"/>
        </w:rPr>
        <w:t>2）培训时间安排：设备安装调试完成，项目验收前进行培训。具体时间由采购人与成交人商定。</w:t>
      </w:r>
    </w:p>
    <w:p w14:paraId="7246BEBE">
      <w:pPr>
        <w:keepNext w:val="0"/>
        <w:keepLines w:val="0"/>
        <w:pageBreakBefore w:val="0"/>
        <w:widowControl w:val="0"/>
        <w:kinsoku/>
        <w:wordWrap/>
        <w:overflowPunct/>
        <w:topLinePunct w:val="0"/>
        <w:autoSpaceDE/>
        <w:autoSpaceDN/>
        <w:bidi w:val="0"/>
        <w:adjustRightInd/>
        <w:snapToGrid/>
        <w:spacing w:beforeLines="50" w:after="0" w:line="360" w:lineRule="auto"/>
        <w:jc w:val="both"/>
        <w:textAlignment w:val="auto"/>
        <w:rPr>
          <w:rFonts w:hint="eastAsia" w:ascii="宋体" w:hAnsi="宋体" w:eastAsia="宋体" w:cs="宋体"/>
          <w:b/>
          <w:color w:val="auto"/>
          <w:kern w:val="2"/>
          <w:sz w:val="24"/>
          <w:szCs w:val="24"/>
          <w:highlight w:val="none"/>
          <w:lang w:val="en-US" w:eastAsia="zh-CN" w:bidi="ar-SA"/>
        </w:rPr>
      </w:pPr>
      <w:bookmarkStart w:id="48" w:name="_Toc11834"/>
      <w:r>
        <w:rPr>
          <w:rFonts w:hint="eastAsia" w:ascii="宋体" w:hAnsi="宋体" w:cs="宋体"/>
          <w:b/>
          <w:color w:val="auto"/>
          <w:kern w:val="2"/>
          <w:sz w:val="24"/>
          <w:szCs w:val="24"/>
          <w:highlight w:val="none"/>
          <w:lang w:val="en-US" w:eastAsia="zh-CN" w:bidi="ar-SA"/>
        </w:rPr>
        <w:t>六</w:t>
      </w:r>
      <w:r>
        <w:rPr>
          <w:rFonts w:hint="eastAsia" w:ascii="宋体" w:hAnsi="宋体" w:eastAsia="宋体" w:cs="宋体"/>
          <w:b/>
          <w:color w:val="auto"/>
          <w:kern w:val="2"/>
          <w:sz w:val="24"/>
          <w:szCs w:val="24"/>
          <w:highlight w:val="none"/>
          <w:lang w:val="en-US" w:eastAsia="zh-CN" w:bidi="ar-SA"/>
        </w:rPr>
        <w:t>、质量保证：</w:t>
      </w:r>
      <w:bookmarkEnd w:id="48"/>
    </w:p>
    <w:p w14:paraId="5D58A2DB">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应保证货物是已定型上市销售的全新、原产地、原包装、手续合法完整、渠道正规的产品，完全符合合同规定质量、规格和性能的要求。</w:t>
      </w:r>
    </w:p>
    <w:p w14:paraId="75A978C0">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必须严格遵守《产品质量法》，在</w:t>
      </w:r>
      <w:r>
        <w:rPr>
          <w:rFonts w:hint="eastAsia" w:ascii="宋体" w:hAnsi="宋体" w:eastAsia="宋体" w:cs="宋体"/>
          <w:color w:val="auto"/>
          <w:sz w:val="24"/>
          <w:highlight w:val="none"/>
          <w:lang w:eastAsia="zh-CN"/>
        </w:rPr>
        <w:t>响应文件</w:t>
      </w:r>
      <w:r>
        <w:rPr>
          <w:rFonts w:hint="eastAsia" w:ascii="宋体" w:hAnsi="宋体" w:eastAsia="宋体" w:cs="宋体"/>
          <w:color w:val="auto"/>
          <w:sz w:val="24"/>
          <w:highlight w:val="none"/>
        </w:rPr>
        <w:t>中对产品质量保证体系做出说明，并完整地履行质保期内的免费现场维修服务承诺。</w:t>
      </w:r>
    </w:p>
    <w:p w14:paraId="495A5CBA">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在质保期内，</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必须及时免费维修、更换有缺陷的货物或部件。如果</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收到</w:t>
      </w:r>
      <w:r>
        <w:rPr>
          <w:rFonts w:hint="eastAsia" w:ascii="宋体" w:hAnsi="宋体" w:eastAsia="宋体" w:cs="宋体"/>
          <w:color w:val="auto"/>
          <w:sz w:val="24"/>
          <w:highlight w:val="none"/>
          <w:lang w:eastAsia="zh-CN"/>
        </w:rPr>
        <w:t>采购人</w:t>
      </w:r>
      <w:r>
        <w:rPr>
          <w:rFonts w:hint="eastAsia" w:ascii="宋体" w:hAnsi="宋体" w:eastAsia="宋体" w:cs="宋体"/>
          <w:color w:val="auto"/>
          <w:sz w:val="24"/>
          <w:highlight w:val="none"/>
        </w:rPr>
        <w:t>通知后，未在规定的响应时间内赶到现场弥补缺陷，</w:t>
      </w:r>
      <w:r>
        <w:rPr>
          <w:rFonts w:hint="eastAsia" w:ascii="宋体" w:hAnsi="宋体" w:eastAsia="宋体" w:cs="宋体"/>
          <w:color w:val="auto"/>
          <w:sz w:val="24"/>
          <w:highlight w:val="none"/>
          <w:lang w:eastAsia="zh-CN"/>
        </w:rPr>
        <w:t>采购人</w:t>
      </w:r>
      <w:r>
        <w:rPr>
          <w:rFonts w:hint="eastAsia" w:ascii="宋体" w:hAnsi="宋体" w:eastAsia="宋体" w:cs="宋体"/>
          <w:color w:val="auto"/>
          <w:sz w:val="24"/>
          <w:highlight w:val="none"/>
        </w:rPr>
        <w:t>可采取必要的补救措施，但风险和费用全部由</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承担，并从质量保证金中抵扣。</w:t>
      </w:r>
    </w:p>
    <w:p w14:paraId="31551E10">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应与制造商签订所提供的产品享有制造商完全质量保证及要求设备保修和维护的权利的合同，并向</w:t>
      </w:r>
      <w:r>
        <w:rPr>
          <w:rFonts w:hint="eastAsia" w:ascii="宋体" w:hAnsi="宋体" w:eastAsia="宋体" w:cs="宋体"/>
          <w:color w:val="auto"/>
          <w:sz w:val="24"/>
          <w:highlight w:val="none"/>
          <w:lang w:eastAsia="zh-CN"/>
        </w:rPr>
        <w:t>采购人</w:t>
      </w:r>
      <w:r>
        <w:rPr>
          <w:rFonts w:hint="eastAsia" w:ascii="宋体" w:hAnsi="宋体" w:eastAsia="宋体" w:cs="宋体"/>
          <w:color w:val="auto"/>
          <w:sz w:val="24"/>
          <w:highlight w:val="none"/>
        </w:rPr>
        <w:t>提供书面文件副本。当制造商不完全履行义务时，</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有责任与义务，要求制造商履行义务，必要时，</w:t>
      </w:r>
      <w:r>
        <w:rPr>
          <w:rFonts w:hint="eastAsia" w:ascii="宋体" w:hAnsi="宋体" w:eastAsia="宋体" w:cs="宋体"/>
          <w:color w:val="auto"/>
          <w:sz w:val="24"/>
          <w:highlight w:val="none"/>
          <w:lang w:eastAsia="zh-CN"/>
        </w:rPr>
        <w:t>采购人</w:t>
      </w:r>
      <w:r>
        <w:rPr>
          <w:rFonts w:hint="eastAsia" w:ascii="宋体" w:hAnsi="宋体" w:eastAsia="宋体" w:cs="宋体"/>
          <w:color w:val="auto"/>
          <w:sz w:val="24"/>
          <w:highlight w:val="none"/>
        </w:rPr>
        <w:t>支持</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提起法律诉讼，否则，由</w:t>
      </w:r>
      <w:r>
        <w:rPr>
          <w:rFonts w:hint="eastAsia" w:ascii="宋体" w:hAnsi="宋体" w:eastAsia="宋体" w:cs="宋体"/>
          <w:color w:val="auto"/>
          <w:sz w:val="24"/>
          <w:highlight w:val="none"/>
          <w:lang w:eastAsia="zh-CN"/>
        </w:rPr>
        <w:t>成交供应商</w:t>
      </w:r>
      <w:r>
        <w:rPr>
          <w:rFonts w:hint="eastAsia" w:ascii="宋体" w:hAnsi="宋体" w:eastAsia="宋体" w:cs="宋体"/>
          <w:color w:val="auto"/>
          <w:sz w:val="24"/>
          <w:highlight w:val="none"/>
        </w:rPr>
        <w:t>承担制造商应承担的全部责任。</w:t>
      </w:r>
    </w:p>
    <w:p w14:paraId="20EEAFC8">
      <w:pPr>
        <w:keepNext w:val="0"/>
        <w:keepLines w:val="0"/>
        <w:pageBreakBefore w:val="0"/>
        <w:widowControl w:val="0"/>
        <w:kinsoku/>
        <w:wordWrap/>
        <w:overflowPunct/>
        <w:topLinePunct w:val="0"/>
        <w:autoSpaceDE/>
        <w:autoSpaceDN/>
        <w:bidi w:val="0"/>
        <w:adjustRightInd/>
        <w:snapToGrid/>
        <w:spacing w:beforeLines="50" w:after="0" w:line="360" w:lineRule="auto"/>
        <w:jc w:val="both"/>
        <w:textAlignment w:val="auto"/>
        <w:rPr>
          <w:rFonts w:hint="eastAsia" w:ascii="宋体" w:hAnsi="宋体" w:eastAsia="宋体" w:cs="宋体"/>
          <w:b/>
          <w:color w:val="auto"/>
          <w:kern w:val="2"/>
          <w:sz w:val="24"/>
          <w:szCs w:val="24"/>
          <w:highlight w:val="none"/>
          <w:lang w:val="en-US" w:eastAsia="zh-CN" w:bidi="ar-SA"/>
        </w:rPr>
      </w:pPr>
      <w:r>
        <w:rPr>
          <w:rFonts w:hint="eastAsia" w:ascii="宋体" w:hAnsi="宋体" w:cs="宋体"/>
          <w:b/>
          <w:color w:val="auto"/>
          <w:kern w:val="2"/>
          <w:sz w:val="24"/>
          <w:szCs w:val="24"/>
          <w:highlight w:val="none"/>
          <w:lang w:val="en-US" w:eastAsia="zh-CN" w:bidi="ar-SA"/>
        </w:rPr>
        <w:t>七</w:t>
      </w:r>
      <w:r>
        <w:rPr>
          <w:rFonts w:hint="eastAsia" w:ascii="宋体" w:hAnsi="宋体" w:eastAsia="宋体" w:cs="宋体"/>
          <w:b/>
          <w:color w:val="auto"/>
          <w:kern w:val="2"/>
          <w:sz w:val="24"/>
          <w:szCs w:val="24"/>
          <w:highlight w:val="none"/>
          <w:lang w:val="en-US" w:eastAsia="zh-CN" w:bidi="ar-SA"/>
        </w:rPr>
        <w:t>、付款方式：</w:t>
      </w:r>
    </w:p>
    <w:p w14:paraId="3175A018">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lang w:val="en-US" w:eastAsia="zh-CN"/>
        </w:rPr>
      </w:pPr>
      <w:bookmarkStart w:id="49" w:name="_Toc10549"/>
      <w:r>
        <w:rPr>
          <w:rFonts w:hint="eastAsia" w:ascii="宋体" w:hAnsi="宋体" w:eastAsia="宋体" w:cs="宋体"/>
          <w:color w:val="auto"/>
          <w:sz w:val="24"/>
          <w:highlight w:val="none"/>
          <w:lang w:val="en-US" w:eastAsia="zh-CN"/>
        </w:rPr>
        <w:t>1.合同签订后7个工作日内支付合同金额的</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lang w:val="en-US" w:eastAsia="zh-CN"/>
        </w:rPr>
        <w:t>0%的预付款。</w:t>
      </w:r>
    </w:p>
    <w:p w14:paraId="60D0C32C">
      <w:pPr>
        <w:pageBreakBefore w:val="0"/>
        <w:kinsoku/>
        <w:wordWrap/>
        <w:overflowPunct/>
        <w:topLinePunct w:val="0"/>
        <w:bidi w:val="0"/>
        <w:spacing w:line="360" w:lineRule="auto"/>
        <w:ind w:firstLine="480" w:firstLineChars="200"/>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2.产品交付到指定地点并安装调试、培训完成、验收合格后，采购人凭《项目验收单》和中标人开具的发票30日内支付合同总金额</w:t>
      </w:r>
      <w:r>
        <w:rPr>
          <w:rFonts w:hint="eastAsia" w:ascii="宋体" w:hAnsi="宋体" w:cs="宋体"/>
          <w:color w:val="auto"/>
          <w:sz w:val="24"/>
          <w:highlight w:val="none"/>
          <w:lang w:val="en-US" w:eastAsia="zh-CN"/>
        </w:rPr>
        <w:t>剩余</w:t>
      </w:r>
      <w:r>
        <w:rPr>
          <w:rFonts w:hint="eastAsia" w:ascii="宋体" w:hAnsi="宋体" w:eastAsia="宋体" w:cs="宋体"/>
          <w:color w:val="auto"/>
          <w:sz w:val="24"/>
          <w:highlight w:val="none"/>
          <w:lang w:val="en-US" w:eastAsia="zh-CN"/>
        </w:rPr>
        <w:t>的</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lang w:val="en-US" w:eastAsia="zh-CN"/>
        </w:rPr>
        <w:t>0%</w:t>
      </w:r>
      <w:r>
        <w:rPr>
          <w:rFonts w:hint="eastAsia" w:ascii="宋体" w:hAnsi="宋体" w:cs="宋体"/>
          <w:color w:val="auto"/>
          <w:sz w:val="24"/>
          <w:highlight w:val="none"/>
          <w:lang w:val="en-US" w:eastAsia="zh-CN"/>
        </w:rPr>
        <w:t>款项</w:t>
      </w:r>
      <w:r>
        <w:rPr>
          <w:rFonts w:hint="eastAsia" w:ascii="宋体" w:hAnsi="宋体" w:eastAsia="宋体" w:cs="宋体"/>
          <w:color w:val="auto"/>
          <w:sz w:val="24"/>
          <w:highlight w:val="none"/>
          <w:lang w:val="en-US" w:eastAsia="zh-CN"/>
        </w:rPr>
        <w:t>。</w:t>
      </w:r>
    </w:p>
    <w:p w14:paraId="671C64ED">
      <w:pPr>
        <w:keepNext w:val="0"/>
        <w:keepLines w:val="0"/>
        <w:pageBreakBefore w:val="0"/>
        <w:widowControl w:val="0"/>
        <w:kinsoku/>
        <w:wordWrap/>
        <w:overflowPunct/>
        <w:topLinePunct w:val="0"/>
        <w:autoSpaceDE/>
        <w:autoSpaceDN/>
        <w:bidi w:val="0"/>
        <w:adjustRightInd/>
        <w:snapToGrid/>
        <w:spacing w:beforeLines="50" w:after="0" w:line="360" w:lineRule="auto"/>
        <w:jc w:val="both"/>
        <w:textAlignment w:val="auto"/>
        <w:rPr>
          <w:rFonts w:hint="eastAsia" w:ascii="宋体" w:hAnsi="宋体" w:eastAsia="宋体" w:cs="宋体"/>
          <w:b/>
          <w:color w:val="auto"/>
          <w:kern w:val="2"/>
          <w:sz w:val="24"/>
          <w:szCs w:val="24"/>
          <w:highlight w:val="none"/>
          <w:lang w:val="en-US" w:eastAsia="zh-CN" w:bidi="ar-SA"/>
        </w:rPr>
      </w:pPr>
      <w:r>
        <w:rPr>
          <w:rFonts w:hint="eastAsia" w:ascii="宋体" w:hAnsi="宋体" w:cs="宋体"/>
          <w:b/>
          <w:color w:val="auto"/>
          <w:kern w:val="2"/>
          <w:sz w:val="24"/>
          <w:szCs w:val="24"/>
          <w:highlight w:val="none"/>
          <w:lang w:val="en-US" w:eastAsia="zh-CN" w:bidi="ar-SA"/>
        </w:rPr>
        <w:t>八</w:t>
      </w:r>
      <w:r>
        <w:rPr>
          <w:rFonts w:hint="eastAsia" w:ascii="宋体" w:hAnsi="宋体" w:eastAsia="宋体" w:cs="宋体"/>
          <w:b/>
          <w:color w:val="auto"/>
          <w:kern w:val="2"/>
          <w:sz w:val="24"/>
          <w:szCs w:val="24"/>
          <w:highlight w:val="none"/>
          <w:lang w:val="en-US" w:eastAsia="zh-CN" w:bidi="ar-SA"/>
        </w:rPr>
        <w:t>、其他要求及说明</w:t>
      </w:r>
      <w:bookmarkEnd w:id="49"/>
    </w:p>
    <w:p w14:paraId="4F855EB0">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1、交货时间及地点</w:t>
      </w:r>
    </w:p>
    <w:p w14:paraId="68F456E6">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 交货时间：合同签订后</w:t>
      </w:r>
      <w:r>
        <w:rPr>
          <w:rFonts w:hint="eastAsia" w:ascii="宋体" w:hAnsi="宋体" w:cs="宋体"/>
          <w:color w:val="auto"/>
          <w:sz w:val="24"/>
          <w:highlight w:val="none"/>
          <w:lang w:val="en-US" w:eastAsia="zh-CN"/>
        </w:rPr>
        <w:t>25</w:t>
      </w:r>
      <w:r>
        <w:rPr>
          <w:rFonts w:hint="eastAsia" w:ascii="宋体" w:hAnsi="宋体" w:eastAsia="宋体" w:cs="宋体"/>
          <w:color w:val="auto"/>
          <w:sz w:val="24"/>
          <w:highlight w:val="none"/>
          <w:lang w:val="en-US" w:eastAsia="zh-CN"/>
        </w:rPr>
        <w:t>天内货物运输到指定地点，安装调试验收合格完成培训工作交付使用。</w:t>
      </w:r>
    </w:p>
    <w:p w14:paraId="007A0D11">
      <w:pPr>
        <w:pageBreakBefore w:val="0"/>
        <w:kinsoku/>
        <w:wordWrap/>
        <w:overflowPunct/>
        <w:topLinePunct w:val="0"/>
        <w:bidi w:val="0"/>
        <w:spacing w:line="360" w:lineRule="auto"/>
        <w:ind w:firstLine="480" w:firstLineChars="20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 交货地点：采购人指定地点。</w:t>
      </w:r>
    </w:p>
    <w:p w14:paraId="0B39E8D8">
      <w:pPr>
        <w:pageBreakBefore w:val="0"/>
        <w:kinsoku/>
        <w:wordWrap/>
        <w:overflowPunct/>
        <w:topLinePunct w:val="0"/>
        <w:bidi w:val="0"/>
        <w:spacing w:line="360" w:lineRule="auto"/>
        <w:ind w:firstLine="560" w:firstLineChars="200"/>
        <w:rPr>
          <w:rFonts w:hint="eastAsia" w:ascii="宋体" w:hAnsi="宋体" w:eastAsia="宋体" w:cs="宋体"/>
          <w:color w:val="auto"/>
          <w:sz w:val="24"/>
          <w:highlight w:val="none"/>
          <w:lang w:val="en-US" w:eastAsia="zh-CN"/>
        </w:rPr>
      </w:pPr>
      <w:r>
        <w:rPr>
          <w:rFonts w:hint="eastAsia"/>
          <w:color w:val="auto"/>
          <w:sz w:val="28"/>
          <w:szCs w:val="32"/>
          <w:highlight w:val="none"/>
        </w:rPr>
        <w:t>★</w:t>
      </w:r>
      <w:r>
        <w:rPr>
          <w:rFonts w:hint="eastAsia" w:ascii="宋体" w:hAnsi="宋体" w:cs="宋体"/>
          <w:color w:val="auto"/>
          <w:sz w:val="24"/>
          <w:highlight w:val="none"/>
          <w:lang w:val="en-US" w:eastAsia="zh-CN"/>
        </w:rPr>
        <w:t>2、服务人员要求：</w:t>
      </w:r>
      <w:r>
        <w:rPr>
          <w:rFonts w:ascii="宋体" w:hAnsi="宋体" w:eastAsia="宋体" w:cs="宋体"/>
          <w:sz w:val="24"/>
          <w:szCs w:val="24"/>
          <w:highlight w:val="none"/>
        </w:rPr>
        <w:t>为确保本项目按时、保质完成交付，投标人</w:t>
      </w:r>
      <w:r>
        <w:rPr>
          <w:rFonts w:hint="eastAsia" w:ascii="宋体" w:hAnsi="宋体" w:eastAsia="宋体" w:cs="宋体"/>
          <w:sz w:val="24"/>
          <w:szCs w:val="24"/>
          <w:highlight w:val="none"/>
          <w:lang w:val="en-US" w:eastAsia="zh-CN"/>
        </w:rPr>
        <w:t>应</w:t>
      </w:r>
      <w:r>
        <w:rPr>
          <w:rFonts w:ascii="宋体" w:hAnsi="宋体" w:eastAsia="宋体" w:cs="宋体"/>
          <w:sz w:val="24"/>
          <w:szCs w:val="24"/>
          <w:highlight w:val="none"/>
        </w:rPr>
        <w:t>承诺</w:t>
      </w:r>
      <w:r>
        <w:rPr>
          <w:rFonts w:hint="eastAsia" w:ascii="宋体" w:hAnsi="宋体" w:eastAsia="宋体" w:cs="宋体"/>
          <w:sz w:val="24"/>
          <w:szCs w:val="24"/>
          <w:highlight w:val="none"/>
          <w:lang w:val="en-US" w:eastAsia="zh-CN"/>
        </w:rPr>
        <w:t>拟派</w:t>
      </w:r>
      <w:r>
        <w:rPr>
          <w:rFonts w:ascii="宋体" w:hAnsi="宋体" w:eastAsia="宋体" w:cs="宋体"/>
          <w:sz w:val="24"/>
          <w:szCs w:val="24"/>
          <w:highlight w:val="none"/>
        </w:rPr>
        <w:t>不少于 6 名本公司合同制员工</w:t>
      </w:r>
      <w:r>
        <w:rPr>
          <w:rFonts w:hint="eastAsia" w:ascii="宋体" w:hAnsi="宋体" w:eastAsia="宋体" w:cs="宋体"/>
          <w:sz w:val="24"/>
          <w:szCs w:val="24"/>
          <w:highlight w:val="none"/>
          <w:lang w:val="en-US" w:eastAsia="zh-CN"/>
        </w:rPr>
        <w:t>参与本</w:t>
      </w:r>
      <w:r>
        <w:rPr>
          <w:rFonts w:ascii="宋体" w:hAnsi="宋体" w:eastAsia="宋体" w:cs="宋体"/>
          <w:sz w:val="24"/>
          <w:szCs w:val="24"/>
          <w:highlight w:val="none"/>
        </w:rPr>
        <w:t>项目全流程实施及交付工作</w:t>
      </w:r>
      <w:r>
        <w:rPr>
          <w:rFonts w:hint="eastAsia" w:ascii="宋体" w:hAnsi="宋体" w:eastAsia="宋体" w:cs="宋体"/>
          <w:sz w:val="24"/>
          <w:szCs w:val="24"/>
          <w:highlight w:val="none"/>
          <w:lang w:eastAsia="zh-CN"/>
        </w:rPr>
        <w:t>。（</w:t>
      </w:r>
      <w:r>
        <w:rPr>
          <w:rFonts w:ascii="宋体" w:hAnsi="宋体" w:eastAsia="宋体" w:cs="宋体"/>
          <w:sz w:val="24"/>
          <w:szCs w:val="24"/>
          <w:highlight w:val="none"/>
        </w:rPr>
        <w:t>投标文件中须单独提供对应承诺函，未按要求提供承诺函的，按无效投标处理</w:t>
      </w:r>
      <w:r>
        <w:rPr>
          <w:rFonts w:hint="eastAsia" w:ascii="宋体" w:hAnsi="宋体" w:eastAsia="宋体" w:cs="宋体"/>
          <w:sz w:val="24"/>
          <w:szCs w:val="24"/>
          <w:highlight w:val="none"/>
          <w:lang w:eastAsia="zh-CN"/>
        </w:rPr>
        <w:t>）</w:t>
      </w:r>
    </w:p>
    <w:p w14:paraId="6AC706F3">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color w:val="auto"/>
          <w:sz w:val="28"/>
          <w:szCs w:val="32"/>
          <w:highlight w:val="none"/>
        </w:rPr>
      </w:pPr>
      <w:r>
        <w:rPr>
          <w:rFonts w:hint="eastAsia" w:ascii="宋体" w:hAnsi="宋体" w:cs="宋体"/>
          <w:color w:val="auto"/>
          <w:sz w:val="24"/>
          <w:highlight w:val="none"/>
          <w:lang w:val="en-US" w:eastAsia="zh-CN"/>
        </w:rPr>
        <w:t>3</w:t>
      </w:r>
      <w:r>
        <w:rPr>
          <w:rFonts w:hint="eastAsia" w:ascii="宋体" w:hAnsi="宋体" w:eastAsia="宋体" w:cs="宋体"/>
          <w:color w:val="auto"/>
          <w:sz w:val="24"/>
          <w:highlight w:val="none"/>
          <w:lang w:val="en-US" w:eastAsia="zh-CN"/>
        </w:rPr>
        <w:t>、本项目采用费用包干方式建设，供应商应根据项目要求和现场情况，详细列明项目所需的设备及材料购置，以及产品运输保险保管、项目安装调试、试运行测试通过验收、培训、质保期免费保修维护等所有人工、管理、财务等所有费用，如一旦中标，在项目实施中出现任何遗漏，均由中成交供应商免费提供，采购人不再支付任何费用。</w:t>
      </w:r>
    </w:p>
    <w:p w14:paraId="352987DF">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说明:对于上述各项要求，供应商应在响应文件中进行回应，作出承诺及说明。</w:t>
      </w:r>
    </w:p>
    <w:p w14:paraId="206AFEA3">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提示：1、中标公告发布后合同签订前，采购人可要求中标供应商将技术参数带“▲”号条款要求提供证明材料的应将原件交由采购人查验，并现场演示技术参数要求的产品功能，如发现造假行为，取消其中标资格；并如实将情况报告财政监督部门依法进行处罚；如因投标人提供虚假材料或虚假应标导致的不利后果，由其中标人自行负责。</w:t>
      </w:r>
    </w:p>
    <w:p w14:paraId="63D45B11">
      <w:r>
        <w:rPr>
          <w:rFonts w:hint="eastAsia" w:ascii="宋体" w:hAnsi="宋体" w:eastAsia="宋体" w:cs="宋体"/>
          <w:color w:val="auto"/>
          <w:sz w:val="24"/>
          <w:highlight w:val="none"/>
          <w:lang w:val="en-US" w:eastAsia="zh-CN"/>
        </w:rPr>
        <w:t>2、用“★”符号标明的条款(包括商务条款和技术条款）为实质性要求和条件，对其中任何一条的偏离，为实质性偏离，其响应无效。</w:t>
      </w:r>
    </w:p>
    <w:p w14:paraId="0E930C1A">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390" w:lineRule="atLeast"/>
        <w:ind w:left="0" w:right="0"/>
        <w:jc w:val="left"/>
        <w:rPr>
          <w:rFonts w:ascii="微软雅黑" w:hAnsi="微软雅黑" w:eastAsia="微软雅黑" w:cs="微软雅黑"/>
          <w:color w:val="3D4B64"/>
          <w:sz w:val="19"/>
          <w:szCs w:val="19"/>
        </w:rPr>
      </w:pPr>
    </w:p>
    <w:p w14:paraId="280205F4">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auto"/>
          <w:sz w:val="24"/>
          <w:highlight w:val="none"/>
          <w:lang w:val="en-US" w:eastAsia="zh-CN"/>
        </w:rPr>
      </w:pPr>
    </w:p>
    <w:p w14:paraId="1A998F2A">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auto"/>
          <w:sz w:val="24"/>
          <w:highlight w:val="none"/>
          <w:lang w:val="en-US" w:eastAsia="zh-CN"/>
        </w:rPr>
      </w:pPr>
    </w:p>
    <w:p w14:paraId="47C87840">
      <w:pPr>
        <w:spacing w:line="360" w:lineRule="auto"/>
        <w:rPr>
          <w:rFonts w:ascii="宋体" w:hAnsi="宋体" w:cs="宋体"/>
          <w:sz w:val="24"/>
          <w:highlight w:val="none"/>
        </w:rPr>
      </w:pPr>
    </w:p>
    <w:p w14:paraId="4A63E4D0">
      <w:pPr>
        <w:rPr>
          <w:rFonts w:hint="eastAsia" w:ascii="黑体" w:hAnsi="华文中宋" w:eastAsia="黑体"/>
          <w:b/>
          <w:sz w:val="32"/>
          <w:szCs w:val="32"/>
          <w:highlight w:val="none"/>
        </w:rPr>
      </w:pPr>
      <w:r>
        <w:rPr>
          <w:rFonts w:hint="eastAsia" w:ascii="黑体" w:hAnsi="华文中宋" w:eastAsia="黑体"/>
          <w:b/>
          <w:sz w:val="32"/>
          <w:szCs w:val="32"/>
          <w:highlight w:val="none"/>
        </w:rPr>
        <w:br w:type="page"/>
      </w:r>
    </w:p>
    <w:p w14:paraId="5A89E54A">
      <w:pPr>
        <w:pStyle w:val="23"/>
        <w:adjustRightInd w:val="0"/>
        <w:snapToGrid w:val="0"/>
        <w:spacing w:line="360" w:lineRule="auto"/>
        <w:jc w:val="center"/>
        <w:outlineLvl w:val="0"/>
        <w:rPr>
          <w:rFonts w:ascii="黑体" w:hAnsi="华文中宋" w:eastAsia="黑体"/>
          <w:b/>
          <w:sz w:val="32"/>
          <w:szCs w:val="32"/>
          <w:highlight w:val="none"/>
        </w:rPr>
      </w:pPr>
      <w:bookmarkStart w:id="50" w:name="_Toc5255"/>
      <w:r>
        <w:rPr>
          <w:rFonts w:hint="eastAsia" w:ascii="黑体" w:hAnsi="华文中宋" w:eastAsia="黑体"/>
          <w:b/>
          <w:sz w:val="32"/>
          <w:szCs w:val="32"/>
          <w:highlight w:val="none"/>
        </w:rPr>
        <w:t>第六章 政府采购合同</w:t>
      </w:r>
      <w:bookmarkEnd w:id="50"/>
    </w:p>
    <w:p w14:paraId="6345DEA5">
      <w:pPr>
        <w:pStyle w:val="4"/>
        <w:spacing w:after="0"/>
        <w:jc w:val="center"/>
        <w:rPr>
          <w:rFonts w:ascii="宋体" w:hAnsi="宋体" w:cs="宋体"/>
          <w:b/>
          <w:bCs/>
          <w:spacing w:val="-20"/>
          <w:kern w:val="44"/>
          <w:sz w:val="48"/>
          <w:szCs w:val="48"/>
          <w:highlight w:val="none"/>
        </w:rPr>
      </w:pPr>
    </w:p>
    <w:p w14:paraId="7B9B3913">
      <w:pPr>
        <w:pStyle w:val="4"/>
        <w:spacing w:after="0"/>
        <w:jc w:val="center"/>
        <w:rPr>
          <w:rFonts w:ascii="宋体" w:hAnsi="宋体" w:cs="宋体"/>
          <w:b/>
          <w:bCs/>
          <w:spacing w:val="-20"/>
          <w:kern w:val="44"/>
          <w:sz w:val="48"/>
          <w:szCs w:val="48"/>
          <w:highlight w:val="none"/>
        </w:rPr>
      </w:pPr>
    </w:p>
    <w:p w14:paraId="67259A86">
      <w:pPr>
        <w:pStyle w:val="4"/>
        <w:spacing w:after="0"/>
        <w:jc w:val="center"/>
        <w:rPr>
          <w:rFonts w:ascii="宋体" w:hAnsi="宋体" w:cs="宋体"/>
          <w:b/>
          <w:bCs/>
          <w:spacing w:val="-20"/>
          <w:kern w:val="44"/>
          <w:sz w:val="48"/>
          <w:szCs w:val="48"/>
          <w:highlight w:val="none"/>
        </w:rPr>
      </w:pPr>
      <w:r>
        <w:rPr>
          <w:rFonts w:hint="eastAsia" w:ascii="宋体" w:hAnsi="宋体" w:cs="宋体"/>
          <w:b/>
          <w:bCs/>
          <w:spacing w:val="-20"/>
          <w:kern w:val="44"/>
          <w:sz w:val="48"/>
          <w:szCs w:val="48"/>
          <w:highlight w:val="none"/>
        </w:rPr>
        <w:t>政府采购货物买卖合同</w:t>
      </w:r>
    </w:p>
    <w:p w14:paraId="663A2539">
      <w:pPr>
        <w:pStyle w:val="4"/>
        <w:spacing w:after="0"/>
        <w:jc w:val="center"/>
        <w:rPr>
          <w:rFonts w:ascii="宋体" w:hAnsi="宋体" w:cs="宋体"/>
          <w:b/>
          <w:bCs/>
          <w:spacing w:val="-20"/>
          <w:kern w:val="44"/>
          <w:sz w:val="48"/>
          <w:szCs w:val="48"/>
          <w:highlight w:val="none"/>
        </w:rPr>
      </w:pPr>
    </w:p>
    <w:p w14:paraId="29CAA392">
      <w:pPr>
        <w:rPr>
          <w:rFonts w:ascii="宋体" w:hAnsi="宋体" w:cs="宋体"/>
          <w:b/>
          <w:bCs/>
          <w:spacing w:val="-20"/>
          <w:kern w:val="44"/>
          <w:sz w:val="40"/>
          <w:szCs w:val="40"/>
          <w:highlight w:val="none"/>
        </w:rPr>
      </w:pPr>
    </w:p>
    <w:p w14:paraId="4AAEC12D">
      <w:pPr>
        <w:rPr>
          <w:rFonts w:ascii="宋体" w:hAnsi="宋体" w:cs="宋体"/>
          <w:b/>
          <w:bCs/>
          <w:spacing w:val="-20"/>
          <w:kern w:val="44"/>
          <w:sz w:val="40"/>
          <w:szCs w:val="40"/>
          <w:highlight w:val="none"/>
        </w:rPr>
      </w:pPr>
    </w:p>
    <w:p w14:paraId="3578CD31">
      <w:pPr>
        <w:rPr>
          <w:rFonts w:ascii="宋体" w:hAnsi="宋体" w:cs="宋体"/>
          <w:b/>
          <w:bCs/>
          <w:spacing w:val="-20"/>
          <w:kern w:val="44"/>
          <w:sz w:val="40"/>
          <w:szCs w:val="40"/>
          <w:highlight w:val="none"/>
        </w:rPr>
      </w:pPr>
    </w:p>
    <w:p w14:paraId="69C6880B">
      <w:pPr>
        <w:spacing w:line="360" w:lineRule="auto"/>
        <w:ind w:left="420" w:leftChars="200"/>
        <w:rPr>
          <w:sz w:val="32"/>
          <w:szCs w:val="32"/>
          <w:highlight w:val="none"/>
        </w:rPr>
      </w:pPr>
      <w:r>
        <w:rPr>
          <w:rFonts w:hint="eastAsia" w:ascii="宋体" w:hAnsi="宋体" w:cs="宋体"/>
          <w:kern w:val="0"/>
          <w:sz w:val="32"/>
          <w:szCs w:val="32"/>
          <w:highlight w:val="none"/>
        </w:rPr>
        <w:t>项目名称：</w:t>
      </w:r>
      <w:r>
        <w:rPr>
          <w:rFonts w:hint="eastAsia"/>
          <w:sz w:val="32"/>
          <w:szCs w:val="32"/>
          <w:highlight w:val="none"/>
          <w:u w:val="single"/>
        </w:rPr>
        <w:t xml:space="preserve">                             </w:t>
      </w:r>
    </w:p>
    <w:p w14:paraId="1C8F2562">
      <w:pPr>
        <w:spacing w:line="360" w:lineRule="auto"/>
        <w:ind w:left="420" w:leftChars="200"/>
        <w:rPr>
          <w:sz w:val="32"/>
          <w:szCs w:val="32"/>
          <w:highlight w:val="none"/>
          <w:u w:val="single"/>
        </w:rPr>
      </w:pPr>
      <w:r>
        <w:rPr>
          <w:rFonts w:hint="eastAsia"/>
          <w:sz w:val="32"/>
          <w:szCs w:val="32"/>
          <w:highlight w:val="none"/>
        </w:rPr>
        <w:t>合同编号：</w:t>
      </w:r>
      <w:r>
        <w:rPr>
          <w:rFonts w:hint="eastAsia"/>
          <w:sz w:val="32"/>
          <w:szCs w:val="32"/>
          <w:highlight w:val="none"/>
          <w:u w:val="single"/>
        </w:rPr>
        <w:t xml:space="preserve">                             </w:t>
      </w:r>
    </w:p>
    <w:p w14:paraId="356205E1">
      <w:pPr>
        <w:spacing w:line="360" w:lineRule="auto"/>
        <w:ind w:left="420" w:leftChars="200"/>
        <w:rPr>
          <w:sz w:val="32"/>
          <w:szCs w:val="32"/>
          <w:highlight w:val="none"/>
        </w:rPr>
      </w:pPr>
      <w:r>
        <w:rPr>
          <w:rFonts w:hint="eastAsia"/>
          <w:sz w:val="32"/>
          <w:szCs w:val="32"/>
          <w:highlight w:val="none"/>
        </w:rPr>
        <w:t>甲    方：</w:t>
      </w:r>
      <w:r>
        <w:rPr>
          <w:rFonts w:hint="eastAsia"/>
          <w:sz w:val="32"/>
          <w:szCs w:val="32"/>
          <w:highlight w:val="none"/>
          <w:u w:val="single"/>
        </w:rPr>
        <w:t xml:space="preserve">                             </w:t>
      </w:r>
    </w:p>
    <w:p w14:paraId="1DBEB04E">
      <w:pPr>
        <w:spacing w:line="360" w:lineRule="auto"/>
        <w:ind w:left="420" w:leftChars="200"/>
        <w:rPr>
          <w:sz w:val="32"/>
          <w:szCs w:val="32"/>
          <w:highlight w:val="none"/>
          <w:u w:val="single"/>
        </w:rPr>
      </w:pPr>
      <w:r>
        <w:rPr>
          <w:rFonts w:hint="eastAsia"/>
          <w:sz w:val="32"/>
          <w:szCs w:val="32"/>
          <w:highlight w:val="none"/>
        </w:rPr>
        <w:t>乙    方：</w:t>
      </w:r>
      <w:r>
        <w:rPr>
          <w:rFonts w:hint="eastAsia"/>
          <w:sz w:val="32"/>
          <w:szCs w:val="32"/>
          <w:highlight w:val="none"/>
          <w:u w:val="single"/>
        </w:rPr>
        <w:t xml:space="preserve">                             </w:t>
      </w:r>
    </w:p>
    <w:p w14:paraId="0BFA3EE9">
      <w:pPr>
        <w:spacing w:line="360" w:lineRule="auto"/>
        <w:ind w:left="420" w:leftChars="200"/>
        <w:rPr>
          <w:rFonts w:ascii="黑体" w:hAnsi="华文中宋" w:eastAsia="黑体"/>
          <w:b/>
          <w:sz w:val="32"/>
          <w:szCs w:val="32"/>
          <w:highlight w:val="none"/>
        </w:rPr>
      </w:pPr>
      <w:r>
        <w:rPr>
          <w:rFonts w:hint="eastAsia"/>
          <w:sz w:val="32"/>
          <w:szCs w:val="32"/>
          <w:highlight w:val="none"/>
        </w:rPr>
        <w:t>签订时间：</w:t>
      </w:r>
      <w:r>
        <w:rPr>
          <w:rFonts w:hint="eastAsia"/>
          <w:sz w:val="32"/>
          <w:szCs w:val="32"/>
          <w:highlight w:val="none"/>
          <w:u w:val="single"/>
        </w:rPr>
        <w:t xml:space="preserve">      </w:t>
      </w:r>
      <w:r>
        <w:rPr>
          <w:sz w:val="32"/>
          <w:szCs w:val="32"/>
          <w:highlight w:val="none"/>
          <w:u w:val="single"/>
        </w:rPr>
        <w:t xml:space="preserve">           </w:t>
      </w:r>
      <w:r>
        <w:rPr>
          <w:rFonts w:hint="eastAsia"/>
          <w:sz w:val="32"/>
          <w:szCs w:val="32"/>
          <w:highlight w:val="none"/>
          <w:u w:val="single"/>
        </w:rPr>
        <w:t xml:space="preserve">            </w:t>
      </w:r>
    </w:p>
    <w:p w14:paraId="41412465">
      <w:pPr>
        <w:bidi w:val="0"/>
      </w:pPr>
      <w:bookmarkStart w:id="51" w:name="_Toc17170"/>
      <w:bookmarkStart w:id="52" w:name="_Toc32351"/>
    </w:p>
    <w:p w14:paraId="5C6CAF14">
      <w:pPr>
        <w:bidi w:val="0"/>
      </w:pPr>
    </w:p>
    <w:p w14:paraId="60833E4C">
      <w:pPr>
        <w:bidi w:val="0"/>
      </w:pPr>
    </w:p>
    <w:p w14:paraId="5D5BCD72">
      <w:pPr>
        <w:bidi w:val="0"/>
      </w:pPr>
    </w:p>
    <w:p w14:paraId="76D6621F">
      <w:pPr>
        <w:tabs>
          <w:tab w:val="left" w:pos="3491"/>
        </w:tabs>
        <w:bidi w:val="0"/>
        <w:rPr>
          <w:rFonts w:hint="eastAsia" w:eastAsia="宋体"/>
          <w:lang w:eastAsia="zh-CN"/>
        </w:rPr>
      </w:pPr>
      <w:r>
        <w:rPr>
          <w:rFonts w:hint="eastAsia"/>
          <w:lang w:eastAsia="zh-CN"/>
        </w:rPr>
        <w:tab/>
      </w:r>
    </w:p>
    <w:p w14:paraId="3000F828">
      <w:pPr>
        <w:bidi w:val="0"/>
      </w:pPr>
    </w:p>
    <w:p w14:paraId="038F8B37">
      <w:pPr>
        <w:bidi w:val="0"/>
      </w:pPr>
    </w:p>
    <w:p w14:paraId="5D9CC374">
      <w:pPr>
        <w:bidi w:val="0"/>
      </w:pPr>
    </w:p>
    <w:p w14:paraId="103362E9">
      <w:pPr>
        <w:bidi w:val="0"/>
      </w:pPr>
    </w:p>
    <w:p w14:paraId="7E49E659">
      <w:pPr>
        <w:pStyle w:val="3"/>
        <w:jc w:val="center"/>
        <w:rPr>
          <w:highlight w:val="none"/>
        </w:rPr>
      </w:pPr>
      <w:bookmarkStart w:id="53" w:name="_Toc12951"/>
      <w:r>
        <w:rPr>
          <w:rFonts w:hint="eastAsia"/>
          <w:highlight w:val="none"/>
        </w:rPr>
        <w:t>第一节 政府采购合同协议书</w:t>
      </w:r>
      <w:bookmarkEnd w:id="53"/>
    </w:p>
    <w:p w14:paraId="6D2C4CE6">
      <w:pPr>
        <w:bidi w:val="0"/>
      </w:pPr>
    </w:p>
    <w:p w14:paraId="7E6A9E33">
      <w:pPr>
        <w:adjustRightInd w:val="0"/>
        <w:snapToGrid w:val="0"/>
        <w:spacing w:line="400" w:lineRule="exact"/>
        <w:rPr>
          <w:rFonts w:ascii="宋体" w:hAnsi="宋体"/>
          <w:szCs w:val="21"/>
          <w:highlight w:val="none"/>
        </w:rPr>
      </w:pPr>
      <w:r>
        <w:rPr>
          <w:rFonts w:hint="eastAsia" w:ascii="宋体" w:hAnsi="宋体"/>
          <w:szCs w:val="21"/>
          <w:highlight w:val="none"/>
        </w:rPr>
        <w:t>甲方（全称）：</w:t>
      </w:r>
      <w:r>
        <w:rPr>
          <w:rFonts w:hint="eastAsia" w:ascii="宋体" w:hAnsi="宋体"/>
          <w:szCs w:val="21"/>
          <w:highlight w:val="none"/>
          <w:u w:val="single"/>
          <w:lang w:eastAsia="zh-CN"/>
        </w:rPr>
        <w:t>大祥区教育局</w:t>
      </w:r>
      <w:r>
        <w:rPr>
          <w:rFonts w:hint="eastAsia" w:ascii="宋体" w:hAnsi="宋体"/>
          <w:szCs w:val="21"/>
          <w:highlight w:val="none"/>
        </w:rPr>
        <w:t>（采购人、受采购人委托签订合同的单位或采购</w:t>
      </w:r>
      <w:r>
        <w:rPr>
          <w:rFonts w:hint="eastAsia" w:ascii="宋体" w:hAnsi="宋体"/>
          <w:szCs w:val="21"/>
          <w:highlight w:val="none"/>
        </w:rPr>
        <w:tab/>
      </w:r>
      <w:r>
        <w:rPr>
          <w:rFonts w:hint="eastAsia" w:ascii="宋体" w:hAnsi="宋体"/>
          <w:szCs w:val="21"/>
          <w:highlight w:val="none"/>
        </w:rPr>
        <w:t xml:space="preserve">                                   文件约定的合同甲方）</w:t>
      </w:r>
    </w:p>
    <w:p w14:paraId="30CB8456">
      <w:pPr>
        <w:adjustRightInd w:val="0"/>
        <w:snapToGrid w:val="0"/>
        <w:spacing w:line="400" w:lineRule="exact"/>
        <w:rPr>
          <w:rFonts w:ascii="宋体" w:hAnsi="宋体"/>
          <w:szCs w:val="21"/>
          <w:highlight w:val="none"/>
        </w:rPr>
      </w:pPr>
      <w:r>
        <w:rPr>
          <w:rFonts w:hint="eastAsia" w:ascii="宋体" w:hAnsi="宋体"/>
          <w:szCs w:val="21"/>
          <w:highlight w:val="none"/>
        </w:rPr>
        <w:t>乙方1（全称）：</w:t>
      </w:r>
      <w:r>
        <w:rPr>
          <w:rFonts w:hint="eastAsia" w:ascii="宋体" w:hAnsi="宋体"/>
          <w:szCs w:val="21"/>
          <w:highlight w:val="none"/>
          <w:u w:val="single"/>
        </w:rPr>
        <w:t xml:space="preserve">                       </w:t>
      </w:r>
      <w:r>
        <w:rPr>
          <w:rFonts w:hint="eastAsia" w:ascii="宋体" w:hAnsi="宋体"/>
          <w:szCs w:val="21"/>
          <w:highlight w:val="none"/>
        </w:rPr>
        <w:t>（供应商）</w:t>
      </w:r>
    </w:p>
    <w:p w14:paraId="0D2D3F04">
      <w:pPr>
        <w:adjustRightInd w:val="0"/>
        <w:snapToGrid w:val="0"/>
        <w:spacing w:line="400" w:lineRule="exact"/>
        <w:rPr>
          <w:rFonts w:ascii="宋体" w:hAnsi="宋体"/>
          <w:szCs w:val="21"/>
          <w:highlight w:val="none"/>
        </w:rPr>
      </w:pPr>
      <w:r>
        <w:rPr>
          <w:rFonts w:hint="eastAsia" w:ascii="宋体" w:hAnsi="宋体"/>
          <w:szCs w:val="21"/>
          <w:highlight w:val="none"/>
        </w:rPr>
        <w:t>乙方2（全称）：</w:t>
      </w:r>
      <w:r>
        <w:rPr>
          <w:rFonts w:hint="eastAsia" w:ascii="宋体" w:hAnsi="宋体"/>
          <w:szCs w:val="21"/>
          <w:highlight w:val="none"/>
          <w:u w:val="single"/>
        </w:rPr>
        <w:t xml:space="preserve">                        </w:t>
      </w:r>
      <w:r>
        <w:rPr>
          <w:rFonts w:hint="eastAsia" w:ascii="宋体" w:hAnsi="宋体"/>
          <w:szCs w:val="21"/>
          <w:highlight w:val="none"/>
        </w:rPr>
        <w:t>（联合体成员供应商或其他合同主体）（如有）</w:t>
      </w:r>
    </w:p>
    <w:p w14:paraId="2F8AFC29">
      <w:pPr>
        <w:adjustRightInd w:val="0"/>
        <w:snapToGrid w:val="0"/>
        <w:spacing w:line="400" w:lineRule="exact"/>
        <w:rPr>
          <w:rFonts w:ascii="宋体" w:hAnsi="宋体"/>
          <w:szCs w:val="21"/>
          <w:highlight w:val="none"/>
        </w:rPr>
      </w:pPr>
      <w:r>
        <w:rPr>
          <w:rFonts w:hint="eastAsia"/>
          <w:szCs w:val="21"/>
          <w:highlight w:val="none"/>
        </w:rPr>
        <w:t>乙方</w:t>
      </w:r>
      <w:r>
        <w:rPr>
          <w:rFonts w:hint="eastAsia" w:ascii="宋体" w:hAnsi="宋体"/>
          <w:szCs w:val="21"/>
          <w:highlight w:val="none"/>
        </w:rPr>
        <w:t>3</w:t>
      </w:r>
      <w:r>
        <w:rPr>
          <w:rFonts w:hint="eastAsia"/>
          <w:szCs w:val="21"/>
          <w:highlight w:val="none"/>
        </w:rPr>
        <w:t>（全称）</w:t>
      </w:r>
      <w:r>
        <w:rPr>
          <w:rFonts w:hint="eastAsia" w:ascii="宋体" w:hAnsi="宋体"/>
          <w:szCs w:val="21"/>
          <w:highlight w:val="none"/>
          <w:u w:val="single"/>
        </w:rPr>
        <w:t xml:space="preserve">                          </w:t>
      </w:r>
      <w:r>
        <w:rPr>
          <w:rFonts w:hint="eastAsia" w:ascii="宋体" w:hAnsi="宋体"/>
          <w:szCs w:val="21"/>
          <w:highlight w:val="none"/>
        </w:rPr>
        <w:t>（联合体成员供应商或其他合同主体）（如有）</w:t>
      </w:r>
    </w:p>
    <w:p w14:paraId="05255650">
      <w:pPr>
        <w:spacing w:line="400" w:lineRule="exact"/>
        <w:rPr>
          <w:szCs w:val="21"/>
          <w:highlight w:val="none"/>
        </w:rPr>
      </w:pPr>
    </w:p>
    <w:p w14:paraId="37621A92">
      <w:pPr>
        <w:pStyle w:val="18"/>
        <w:adjustRightInd w:val="0"/>
        <w:snapToGrid w:val="0"/>
        <w:spacing w:after="0" w:line="400" w:lineRule="exact"/>
        <w:ind w:left="0" w:leftChars="0" w:firstLine="420" w:firstLineChars="200"/>
        <w:rPr>
          <w:rFonts w:ascii="宋体" w:hAnsi="宋体"/>
          <w:szCs w:val="21"/>
          <w:highlight w:val="none"/>
        </w:rPr>
      </w:pPr>
      <w:r>
        <w:rPr>
          <w:rFonts w:hint="eastAsia" w:ascii="宋体" w:hAnsi="宋体"/>
          <w:szCs w:val="21"/>
          <w:highlight w:val="none"/>
        </w:rPr>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14:paraId="5EA92A10">
      <w:pPr>
        <w:numPr>
          <w:ilvl w:val="0"/>
          <w:numId w:val="167"/>
        </w:numPr>
        <w:adjustRightInd w:val="0"/>
        <w:snapToGrid w:val="0"/>
        <w:spacing w:line="400" w:lineRule="exact"/>
        <w:ind w:firstLine="422" w:firstLineChars="200"/>
        <w:rPr>
          <w:rFonts w:ascii="宋体" w:hAnsi="宋体"/>
          <w:b/>
          <w:szCs w:val="21"/>
          <w:highlight w:val="none"/>
        </w:rPr>
      </w:pPr>
      <w:r>
        <w:rPr>
          <w:rFonts w:hint="eastAsia" w:ascii="宋体" w:hAnsi="宋体"/>
          <w:b/>
          <w:szCs w:val="21"/>
          <w:highlight w:val="none"/>
        </w:rPr>
        <w:t>项目信息</w:t>
      </w:r>
    </w:p>
    <w:p w14:paraId="27FC4176">
      <w:pPr>
        <w:pStyle w:val="18"/>
        <w:numPr>
          <w:ilvl w:val="0"/>
          <w:numId w:val="168"/>
        </w:numPr>
        <w:adjustRightInd w:val="0"/>
        <w:snapToGrid w:val="0"/>
        <w:spacing w:after="0" w:line="400" w:lineRule="exact"/>
        <w:ind w:left="0" w:leftChars="0" w:firstLine="420" w:firstLineChars="200"/>
        <w:rPr>
          <w:rFonts w:ascii="宋体" w:hAnsi="宋体"/>
          <w:szCs w:val="21"/>
          <w:highlight w:val="none"/>
          <w:u w:val="single"/>
        </w:rPr>
      </w:pPr>
      <w:r>
        <w:rPr>
          <w:rFonts w:hint="eastAsia" w:ascii="宋体" w:hAnsi="宋体"/>
          <w:szCs w:val="21"/>
          <w:highlight w:val="none"/>
        </w:rPr>
        <w:t>采购项目名称：</w:t>
      </w:r>
      <w:r>
        <w:rPr>
          <w:rFonts w:hint="eastAsia" w:ascii="宋体" w:hAnsi="宋体" w:cs="宋体"/>
          <w:szCs w:val="21"/>
          <w:highlight w:val="none"/>
          <w:u w:val="single"/>
          <w:lang w:eastAsia="zh-CN"/>
        </w:rPr>
        <w:t>体育新城实验学校设施设备采购</w:t>
      </w:r>
    </w:p>
    <w:p w14:paraId="4DAFC644">
      <w:pPr>
        <w:pStyle w:val="18"/>
        <w:tabs>
          <w:tab w:val="left" w:pos="999"/>
        </w:tabs>
        <w:adjustRightInd w:val="0"/>
        <w:snapToGrid w:val="0"/>
        <w:spacing w:after="0" w:line="400" w:lineRule="exact"/>
        <w:ind w:left="0" w:leftChars="0"/>
        <w:rPr>
          <w:rFonts w:hint="eastAsia" w:ascii="宋体" w:hAnsi="宋体" w:eastAsia="宋体"/>
          <w:szCs w:val="21"/>
          <w:highlight w:val="none"/>
          <w:lang w:eastAsia="zh-CN"/>
        </w:rPr>
      </w:pPr>
      <w:r>
        <w:rPr>
          <w:rFonts w:hint="eastAsia" w:ascii="宋体" w:hAnsi="宋体"/>
          <w:szCs w:val="21"/>
          <w:highlight w:val="none"/>
        </w:rPr>
        <w:t xml:space="preserve">         采购项目编号：</w:t>
      </w:r>
      <w:r>
        <w:rPr>
          <w:rFonts w:hint="eastAsia" w:ascii="宋体" w:hAnsi="宋体" w:cs="宋体"/>
          <w:szCs w:val="21"/>
          <w:highlight w:val="none"/>
          <w:u w:val="single"/>
          <w:lang w:eastAsia="zh-CN"/>
        </w:rPr>
        <w:t>HNSZZFCG-2026-0485</w:t>
      </w:r>
    </w:p>
    <w:p w14:paraId="7E9F05A1">
      <w:pPr>
        <w:pStyle w:val="18"/>
        <w:adjustRightInd w:val="0"/>
        <w:snapToGrid w:val="0"/>
        <w:spacing w:after="0" w:line="400" w:lineRule="exact"/>
        <w:ind w:left="0" w:leftChars="0" w:firstLine="420" w:firstLineChars="200"/>
        <w:rPr>
          <w:rFonts w:hint="eastAsia" w:ascii="宋体" w:hAnsi="宋体" w:eastAsia="宋体"/>
          <w:szCs w:val="21"/>
          <w:highlight w:val="none"/>
          <w:lang w:eastAsia="zh-CN"/>
        </w:rPr>
      </w:pPr>
      <w:r>
        <w:rPr>
          <w:rFonts w:hint="eastAsia" w:ascii="宋体" w:hAnsi="宋体"/>
          <w:szCs w:val="21"/>
          <w:highlight w:val="none"/>
        </w:rPr>
        <w:t>（2）采购计划编号：</w:t>
      </w:r>
      <w:r>
        <w:rPr>
          <w:rFonts w:hint="eastAsia" w:ascii="宋体" w:hAnsi="宋体" w:cs="宋体"/>
          <w:szCs w:val="21"/>
          <w:highlight w:val="none"/>
          <w:u w:val="single"/>
          <w:lang w:eastAsia="zh-CN"/>
        </w:rPr>
        <w:t>大祥财采计[2026]000008号</w:t>
      </w:r>
    </w:p>
    <w:p w14:paraId="4E3C50A0">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（3）项目内容：</w:t>
      </w:r>
    </w:p>
    <w:p w14:paraId="2AD87F69">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 xml:space="preserve">     采购标的及数量（台/套</w:t>
      </w:r>
      <w:r>
        <w:rPr>
          <w:rFonts w:ascii="宋体" w:hAnsi="宋体"/>
          <w:szCs w:val="21"/>
          <w:highlight w:val="none"/>
          <w:lang w:val="en"/>
        </w:rPr>
        <w:t>/</w:t>
      </w:r>
      <w:r>
        <w:rPr>
          <w:rFonts w:hint="eastAsia" w:ascii="宋体" w:hAnsi="宋体"/>
          <w:szCs w:val="21"/>
          <w:highlight w:val="none"/>
          <w:lang w:val="en"/>
        </w:rPr>
        <w:t>个</w:t>
      </w:r>
      <w:r>
        <w:rPr>
          <w:rFonts w:ascii="宋体" w:hAnsi="宋体"/>
          <w:szCs w:val="21"/>
          <w:highlight w:val="none"/>
          <w:lang w:val="en"/>
        </w:rPr>
        <w:t>/</w:t>
      </w:r>
      <w:r>
        <w:rPr>
          <w:rFonts w:hint="eastAsia" w:ascii="宋体" w:hAnsi="宋体"/>
          <w:szCs w:val="21"/>
          <w:highlight w:val="none"/>
          <w:lang w:val="en"/>
        </w:rPr>
        <w:t>架</w:t>
      </w:r>
      <w:r>
        <w:rPr>
          <w:rFonts w:ascii="宋体" w:hAnsi="宋体"/>
          <w:szCs w:val="21"/>
          <w:highlight w:val="none"/>
          <w:lang w:val="en"/>
        </w:rPr>
        <w:t>/</w:t>
      </w:r>
      <w:r>
        <w:rPr>
          <w:rFonts w:hint="eastAsia" w:ascii="宋体" w:hAnsi="宋体"/>
          <w:szCs w:val="21"/>
          <w:highlight w:val="none"/>
          <w:lang w:val="en"/>
        </w:rPr>
        <w:t>组等</w:t>
      </w:r>
      <w:r>
        <w:rPr>
          <w:rFonts w:hint="eastAsia" w:ascii="宋体" w:hAnsi="宋体"/>
          <w:szCs w:val="21"/>
          <w:highlight w:val="none"/>
        </w:rPr>
        <w:t>）：</w:t>
      </w:r>
      <w:r>
        <w:rPr>
          <w:rFonts w:hint="eastAsia" w:ascii="宋体" w:hAnsi="宋体"/>
          <w:szCs w:val="21"/>
          <w:highlight w:val="none"/>
          <w:u w:val="single"/>
        </w:rPr>
        <w:t xml:space="preserve">                       </w:t>
      </w:r>
      <w:r>
        <w:rPr>
          <w:rFonts w:hint="eastAsia" w:ascii="宋体" w:hAnsi="宋体"/>
          <w:szCs w:val="21"/>
          <w:highlight w:val="none"/>
        </w:rPr>
        <w:t xml:space="preserve">            </w:t>
      </w:r>
      <w:r>
        <w:rPr>
          <w:rFonts w:hint="eastAsia" w:ascii="宋体" w:hAnsi="宋体"/>
          <w:szCs w:val="21"/>
          <w:highlight w:val="none"/>
          <w:u w:val="single"/>
        </w:rPr>
        <w:t xml:space="preserve">                  </w:t>
      </w:r>
      <w:r>
        <w:rPr>
          <w:rFonts w:hint="eastAsia" w:ascii="宋体" w:hAnsi="宋体"/>
          <w:szCs w:val="21"/>
          <w:highlight w:val="none"/>
        </w:rPr>
        <w:t xml:space="preserve"> </w:t>
      </w:r>
    </w:p>
    <w:p w14:paraId="08B9E484">
      <w:pPr>
        <w:adjustRightInd w:val="0"/>
        <w:snapToGrid w:val="0"/>
        <w:spacing w:line="400" w:lineRule="exact"/>
        <w:ind w:firstLine="420" w:firstLineChars="200"/>
        <w:rPr>
          <w:rFonts w:ascii="宋体" w:hAnsi="宋体" w:cs="宋体"/>
          <w:szCs w:val="21"/>
          <w:highlight w:val="none"/>
          <w:lang w:val="en"/>
        </w:rPr>
      </w:pPr>
      <w:r>
        <w:rPr>
          <w:rFonts w:hint="eastAsia" w:ascii="宋体" w:hAnsi="宋体"/>
          <w:szCs w:val="21"/>
          <w:highlight w:val="none"/>
        </w:rPr>
        <w:t xml:space="preserve">     </w:t>
      </w:r>
      <w:r>
        <w:rPr>
          <w:rFonts w:hint="eastAsia" w:ascii="宋体" w:hAnsi="宋体" w:cs="宋体"/>
          <w:szCs w:val="21"/>
          <w:highlight w:val="none"/>
        </w:rPr>
        <w:t>品牌：</w:t>
      </w:r>
      <w:r>
        <w:rPr>
          <w:rFonts w:hint="eastAsia" w:ascii="宋体" w:hAnsi="宋体" w:cs="宋体"/>
          <w:szCs w:val="21"/>
          <w:highlight w:val="none"/>
          <w:u w:val="single"/>
        </w:rPr>
        <w:t xml:space="preserve">      </w:t>
      </w:r>
      <w:r>
        <w:rPr>
          <w:rFonts w:ascii="宋体" w:hAnsi="宋体" w:cs="宋体"/>
          <w:szCs w:val="21"/>
          <w:highlight w:val="none"/>
          <w:u w:val="single"/>
          <w:lang w:val="en"/>
        </w:rPr>
        <w:t xml:space="preserve">   </w:t>
      </w:r>
      <w:r>
        <w:rPr>
          <w:rFonts w:hint="eastAsia" w:ascii="宋体" w:hAnsi="宋体" w:cs="宋体"/>
          <w:szCs w:val="21"/>
          <w:highlight w:val="none"/>
          <w:u w:val="single"/>
        </w:rPr>
        <w:t xml:space="preserve">    </w:t>
      </w:r>
      <w:r>
        <w:rPr>
          <w:rFonts w:ascii="宋体" w:hAnsi="宋体" w:cs="宋体"/>
          <w:szCs w:val="21"/>
          <w:highlight w:val="none"/>
          <w:u w:val="single"/>
          <w:lang w:val="en"/>
        </w:rPr>
        <w:t xml:space="preserve"> </w:t>
      </w:r>
      <w:r>
        <w:rPr>
          <w:rFonts w:hint="eastAsia" w:ascii="宋体" w:hAnsi="宋体" w:cs="宋体"/>
          <w:szCs w:val="21"/>
          <w:highlight w:val="none"/>
          <w:u w:val="single"/>
        </w:rPr>
        <w:t xml:space="preserve"> </w:t>
      </w:r>
      <w:r>
        <w:rPr>
          <w:rFonts w:ascii="宋体" w:hAnsi="宋体" w:cs="宋体"/>
          <w:szCs w:val="21"/>
          <w:highlight w:val="none"/>
          <w:lang w:val="en"/>
        </w:rPr>
        <w:t xml:space="preserve">     </w:t>
      </w:r>
      <w:r>
        <w:rPr>
          <w:rFonts w:hint="eastAsia" w:ascii="宋体" w:hAnsi="宋体" w:cs="宋体"/>
          <w:szCs w:val="21"/>
          <w:highlight w:val="none"/>
        </w:rPr>
        <w:t>规格型号：</w:t>
      </w:r>
      <w:r>
        <w:rPr>
          <w:rFonts w:hint="eastAsia" w:ascii="宋体" w:hAnsi="宋体" w:cs="宋体"/>
          <w:szCs w:val="21"/>
          <w:highlight w:val="none"/>
          <w:u w:val="single"/>
        </w:rPr>
        <w:t xml:space="preserve">   </w:t>
      </w:r>
      <w:r>
        <w:rPr>
          <w:rFonts w:ascii="宋体" w:hAnsi="宋体" w:cs="宋体"/>
          <w:szCs w:val="21"/>
          <w:highlight w:val="none"/>
          <w:u w:val="single"/>
          <w:lang w:val="en"/>
        </w:rPr>
        <w:t xml:space="preserve">  </w:t>
      </w:r>
      <w:r>
        <w:rPr>
          <w:rFonts w:hint="eastAsia" w:ascii="宋体" w:hAnsi="宋体" w:cs="宋体"/>
          <w:szCs w:val="21"/>
          <w:highlight w:val="none"/>
          <w:u w:val="single"/>
        </w:rPr>
        <w:t xml:space="preserve">       </w:t>
      </w:r>
      <w:r>
        <w:rPr>
          <w:rFonts w:ascii="宋体" w:hAnsi="宋体" w:cs="宋体"/>
          <w:szCs w:val="21"/>
          <w:highlight w:val="none"/>
          <w:u w:val="single"/>
          <w:lang w:val="en"/>
        </w:rPr>
        <w:t xml:space="preserve">   </w:t>
      </w:r>
    </w:p>
    <w:p w14:paraId="2F005675">
      <w:pPr>
        <w:adjustRightInd w:val="0"/>
        <w:snapToGrid w:val="0"/>
        <w:spacing w:line="400" w:lineRule="exact"/>
        <w:ind w:firstLine="945" w:firstLineChars="450"/>
        <w:rPr>
          <w:rFonts w:ascii="宋体" w:hAnsi="宋体"/>
          <w:szCs w:val="21"/>
          <w:highlight w:val="none"/>
          <w:u w:val="single"/>
        </w:rPr>
      </w:pPr>
      <w:r>
        <w:rPr>
          <w:rFonts w:hint="eastAsia" w:ascii="宋体" w:hAnsi="宋体"/>
          <w:szCs w:val="21"/>
          <w:highlight w:val="none"/>
        </w:rPr>
        <w:t>采购标的的技术要求、商务要求具体见附件。</w:t>
      </w:r>
    </w:p>
    <w:p w14:paraId="114FAF2D">
      <w:pPr>
        <w:adjustRightInd w:val="0"/>
        <w:snapToGrid w:val="0"/>
        <w:spacing w:line="400" w:lineRule="exact"/>
        <w:ind w:firstLine="945" w:firstLineChars="450"/>
        <w:rPr>
          <w:rFonts w:ascii="宋体" w:hAnsi="宋体" w:cs="宋体"/>
          <w:szCs w:val="21"/>
          <w:highlight w:val="none"/>
        </w:rPr>
      </w:pPr>
      <w:r>
        <w:rPr>
          <w:rFonts w:hint="eastAsia" w:ascii="汉仪书宋二S" w:hAnsi="汉仪书宋二S" w:eastAsia="汉仪书宋二S" w:cs="汉仪书宋二S"/>
          <w:szCs w:val="21"/>
          <w:highlight w:val="none"/>
        </w:rPr>
        <w:t>①</w:t>
      </w:r>
      <w:r>
        <w:rPr>
          <w:rFonts w:hint="eastAsia" w:ascii="宋体" w:hAnsi="宋体" w:cs="宋体"/>
          <w:szCs w:val="21"/>
          <w:highlight w:val="none"/>
        </w:rPr>
        <w:t>涉及信息类产品，请填写该产品关键部件的品牌、型号：</w:t>
      </w:r>
    </w:p>
    <w:p w14:paraId="44E05519">
      <w:pPr>
        <w:adjustRightInd w:val="0"/>
        <w:snapToGrid w:val="0"/>
        <w:spacing w:line="400" w:lineRule="exact"/>
        <w:ind w:firstLine="420" w:firstLineChars="200"/>
        <w:rPr>
          <w:rFonts w:ascii="宋体" w:hAnsi="宋体" w:cs="宋体"/>
          <w:kern w:val="0"/>
          <w:szCs w:val="21"/>
          <w:highlight w:val="none"/>
          <w:u w:val="single"/>
        </w:rPr>
      </w:pPr>
      <w:r>
        <w:rPr>
          <w:rFonts w:hint="eastAsia" w:ascii="宋体" w:hAnsi="宋体" w:cs="宋体"/>
          <w:szCs w:val="21"/>
          <w:highlight w:val="none"/>
        </w:rPr>
        <w:t xml:space="preserve">     标的名称：</w:t>
      </w:r>
      <w:r>
        <w:rPr>
          <w:rFonts w:hint="eastAsia" w:ascii="宋体" w:hAnsi="宋体" w:cs="宋体"/>
          <w:kern w:val="0"/>
          <w:szCs w:val="21"/>
          <w:highlight w:val="none"/>
          <w:u w:val="single"/>
        </w:rPr>
        <w:t xml:space="preserve">      </w:t>
      </w:r>
      <w:r>
        <w:rPr>
          <w:rFonts w:ascii="宋体" w:hAnsi="宋体" w:cs="宋体"/>
          <w:kern w:val="0"/>
          <w:szCs w:val="21"/>
          <w:highlight w:val="none"/>
          <w:u w:val="single"/>
          <w:lang w:val="en"/>
        </w:rPr>
        <w:t xml:space="preserve">               </w:t>
      </w:r>
      <w:r>
        <w:rPr>
          <w:rFonts w:hint="eastAsia" w:ascii="宋体" w:hAnsi="宋体" w:cs="宋体"/>
          <w:kern w:val="0"/>
          <w:szCs w:val="21"/>
          <w:highlight w:val="none"/>
          <w:u w:val="single"/>
        </w:rPr>
        <w:t xml:space="preserve">    </w:t>
      </w:r>
    </w:p>
    <w:p w14:paraId="10B5A924">
      <w:pPr>
        <w:adjustRightInd w:val="0"/>
        <w:snapToGrid w:val="0"/>
        <w:spacing w:line="400" w:lineRule="exact"/>
        <w:ind w:firstLine="420" w:firstLineChars="200"/>
        <w:rPr>
          <w:rFonts w:ascii="宋体" w:hAnsi="宋体" w:cs="宋体"/>
          <w:szCs w:val="21"/>
          <w:highlight w:val="none"/>
        </w:rPr>
      </w:pPr>
      <w:r>
        <w:rPr>
          <w:rFonts w:hint="eastAsia" w:ascii="宋体" w:hAnsi="宋体" w:cs="宋体"/>
          <w:szCs w:val="21"/>
          <w:highlight w:val="none"/>
        </w:rPr>
        <w:t xml:space="preserve">     关键部件：</w:t>
      </w:r>
      <w:r>
        <w:rPr>
          <w:rFonts w:hint="eastAsia" w:ascii="宋体" w:hAnsi="宋体" w:cs="宋体"/>
          <w:kern w:val="0"/>
          <w:szCs w:val="21"/>
          <w:highlight w:val="none"/>
          <w:u w:val="single"/>
        </w:rPr>
        <w:t xml:space="preserve">          </w:t>
      </w:r>
      <w:r>
        <w:rPr>
          <w:rFonts w:hint="eastAsia" w:ascii="宋体" w:hAnsi="宋体" w:cs="宋体"/>
          <w:kern w:val="0"/>
          <w:szCs w:val="21"/>
          <w:highlight w:val="none"/>
        </w:rPr>
        <w:t xml:space="preserve"> </w:t>
      </w:r>
      <w:r>
        <w:rPr>
          <w:rFonts w:hint="eastAsia" w:ascii="宋体" w:hAnsi="宋体" w:cs="宋体"/>
          <w:szCs w:val="21"/>
          <w:highlight w:val="none"/>
        </w:rPr>
        <w:t>品牌：</w:t>
      </w:r>
      <w:r>
        <w:rPr>
          <w:rFonts w:hint="eastAsia" w:ascii="宋体" w:hAnsi="宋体" w:cs="宋体"/>
          <w:szCs w:val="21"/>
          <w:highlight w:val="none"/>
          <w:u w:val="single"/>
        </w:rPr>
        <w:t xml:space="preserve">        </w:t>
      </w:r>
      <w:r>
        <w:rPr>
          <w:rFonts w:hint="eastAsia" w:ascii="宋体" w:hAnsi="宋体" w:cs="宋体"/>
          <w:szCs w:val="21"/>
          <w:highlight w:val="none"/>
        </w:rPr>
        <w:t xml:space="preserve"> 型号：</w:t>
      </w:r>
      <w:r>
        <w:rPr>
          <w:rFonts w:hint="eastAsia" w:ascii="宋体" w:hAnsi="宋体" w:cs="宋体"/>
          <w:szCs w:val="21"/>
          <w:highlight w:val="none"/>
          <w:u w:val="single"/>
        </w:rPr>
        <w:t xml:space="preserve">       </w:t>
      </w:r>
      <w:r>
        <w:rPr>
          <w:rFonts w:hint="eastAsia" w:ascii="宋体" w:hAnsi="宋体" w:cs="宋体"/>
          <w:szCs w:val="21"/>
          <w:highlight w:val="none"/>
        </w:rPr>
        <w:t xml:space="preserve"> </w:t>
      </w:r>
    </w:p>
    <w:p w14:paraId="345228A6">
      <w:pPr>
        <w:pStyle w:val="64"/>
        <w:ind w:firstLine="420"/>
        <w:rPr>
          <w:rFonts w:ascii="宋体" w:hAnsi="宋体" w:eastAsia="宋体" w:cs="宋体"/>
          <w:sz w:val="21"/>
          <w:highlight w:val="none"/>
        </w:rPr>
      </w:pPr>
      <w:r>
        <w:rPr>
          <w:rFonts w:hint="eastAsia" w:ascii="宋体" w:hAnsi="宋体" w:eastAsia="宋体" w:cs="宋体"/>
          <w:sz w:val="21"/>
          <w:highlight w:val="none"/>
        </w:rPr>
        <w:t xml:space="preserve">     </w:t>
      </w:r>
      <w:r>
        <w:rPr>
          <w:rFonts w:hint="eastAsia" w:ascii="宋体" w:hAnsi="宋体" w:eastAsia="宋体" w:cs="宋体"/>
          <w:kern w:val="2"/>
          <w:sz w:val="21"/>
          <w:highlight w:val="none"/>
        </w:rPr>
        <w:t>关键部件</w:t>
      </w:r>
      <w:r>
        <w:rPr>
          <w:rFonts w:hint="eastAsia" w:ascii="宋体" w:hAnsi="宋体" w:eastAsia="宋体" w:cs="宋体"/>
          <w:sz w:val="21"/>
          <w:highlight w:val="none"/>
        </w:rPr>
        <w:t>：</w:t>
      </w:r>
      <w:r>
        <w:rPr>
          <w:rFonts w:hint="eastAsia" w:ascii="宋体" w:hAnsi="宋体" w:eastAsia="宋体" w:cs="宋体"/>
          <w:sz w:val="21"/>
          <w:highlight w:val="none"/>
          <w:u w:val="single"/>
        </w:rPr>
        <w:t xml:space="preserve">          </w:t>
      </w:r>
      <w:r>
        <w:rPr>
          <w:rFonts w:hint="eastAsia" w:ascii="宋体" w:hAnsi="宋体" w:eastAsia="宋体" w:cs="宋体"/>
          <w:sz w:val="21"/>
          <w:highlight w:val="none"/>
        </w:rPr>
        <w:t xml:space="preserve"> 品牌：</w:t>
      </w:r>
      <w:r>
        <w:rPr>
          <w:rFonts w:hint="eastAsia" w:ascii="宋体" w:hAnsi="宋体" w:eastAsia="宋体" w:cs="宋体"/>
          <w:sz w:val="21"/>
          <w:highlight w:val="none"/>
          <w:u w:val="single"/>
        </w:rPr>
        <w:t xml:space="preserve">        </w:t>
      </w:r>
      <w:r>
        <w:rPr>
          <w:rFonts w:hint="eastAsia" w:ascii="宋体" w:hAnsi="宋体" w:eastAsia="宋体" w:cs="宋体"/>
          <w:sz w:val="21"/>
          <w:highlight w:val="none"/>
        </w:rPr>
        <w:t xml:space="preserve"> 型号：</w:t>
      </w:r>
      <w:r>
        <w:rPr>
          <w:rFonts w:hint="eastAsia" w:ascii="宋体" w:hAnsi="宋体" w:eastAsia="宋体" w:cs="宋体"/>
          <w:sz w:val="21"/>
          <w:highlight w:val="none"/>
          <w:u w:val="single"/>
        </w:rPr>
        <w:t xml:space="preserve">       </w:t>
      </w:r>
      <w:r>
        <w:rPr>
          <w:rFonts w:hint="eastAsia" w:ascii="宋体" w:hAnsi="宋体" w:eastAsia="宋体" w:cs="宋体"/>
          <w:sz w:val="21"/>
          <w:highlight w:val="none"/>
        </w:rPr>
        <w:t xml:space="preserve"> </w:t>
      </w:r>
    </w:p>
    <w:p w14:paraId="35329A53">
      <w:pPr>
        <w:pStyle w:val="64"/>
        <w:ind w:firstLine="420"/>
        <w:rPr>
          <w:rFonts w:ascii="宋体" w:hAnsi="宋体" w:eastAsia="宋体" w:cs="宋体"/>
          <w:sz w:val="21"/>
          <w:highlight w:val="none"/>
        </w:rPr>
      </w:pPr>
      <w:r>
        <w:rPr>
          <w:rFonts w:hint="eastAsia" w:ascii="宋体" w:hAnsi="宋体" w:eastAsia="宋体" w:cs="宋体"/>
          <w:sz w:val="21"/>
          <w:highlight w:val="none"/>
        </w:rPr>
        <w:t xml:space="preserve">     关键部件：</w:t>
      </w:r>
      <w:r>
        <w:rPr>
          <w:rFonts w:hint="eastAsia" w:ascii="宋体" w:hAnsi="宋体" w:eastAsia="宋体" w:cs="宋体"/>
          <w:sz w:val="21"/>
          <w:highlight w:val="none"/>
          <w:u w:val="single"/>
        </w:rPr>
        <w:t xml:space="preserve">          </w:t>
      </w:r>
      <w:r>
        <w:rPr>
          <w:rFonts w:hint="eastAsia" w:ascii="宋体" w:hAnsi="宋体" w:eastAsia="宋体" w:cs="宋体"/>
          <w:sz w:val="21"/>
          <w:highlight w:val="none"/>
        </w:rPr>
        <w:t xml:space="preserve"> 品牌：</w:t>
      </w:r>
      <w:r>
        <w:rPr>
          <w:rFonts w:hint="eastAsia" w:ascii="宋体" w:hAnsi="宋体" w:eastAsia="宋体" w:cs="宋体"/>
          <w:sz w:val="21"/>
          <w:highlight w:val="none"/>
          <w:u w:val="single"/>
        </w:rPr>
        <w:t xml:space="preserve">        </w:t>
      </w:r>
      <w:r>
        <w:rPr>
          <w:rFonts w:hint="eastAsia" w:ascii="宋体" w:hAnsi="宋体" w:eastAsia="宋体" w:cs="宋体"/>
          <w:sz w:val="21"/>
          <w:highlight w:val="none"/>
        </w:rPr>
        <w:t xml:space="preserve"> 型号：</w:t>
      </w:r>
      <w:r>
        <w:rPr>
          <w:rFonts w:hint="eastAsia" w:ascii="宋体" w:hAnsi="宋体" w:eastAsia="宋体" w:cs="宋体"/>
          <w:sz w:val="21"/>
          <w:highlight w:val="none"/>
          <w:u w:val="single"/>
        </w:rPr>
        <w:t xml:space="preserve">       </w:t>
      </w:r>
    </w:p>
    <w:p w14:paraId="157BA842">
      <w:pPr>
        <w:pStyle w:val="64"/>
        <w:snapToGrid w:val="0"/>
        <w:ind w:firstLine="0" w:firstLineChars="0"/>
        <w:rPr>
          <w:rFonts w:ascii="宋体" w:hAnsi="宋体" w:eastAsia="宋体" w:cs="宋体"/>
          <w:sz w:val="21"/>
          <w:highlight w:val="none"/>
        </w:rPr>
      </w:pPr>
      <w:r>
        <w:rPr>
          <w:rFonts w:hint="eastAsia" w:ascii="宋体" w:hAnsi="宋体" w:eastAsia="宋体" w:cs="宋体"/>
          <w:sz w:val="21"/>
          <w:highlight w:val="none"/>
        </w:rPr>
        <w:t xml:space="preserve">   （注：关键部件是指财政部会同有关部门发布的政府采购需求标准规定的需要通过国家有关部门指定的测评机构开展的安全可靠测评的软硬件，如CPU芯片、操作系统、数据库等。）</w:t>
      </w:r>
    </w:p>
    <w:p w14:paraId="5641F3BE">
      <w:pPr>
        <w:pStyle w:val="64"/>
        <w:snapToGrid w:val="0"/>
        <w:ind w:firstLine="0" w:firstLineChars="0"/>
        <w:rPr>
          <w:rFonts w:ascii="宋体" w:hAnsi="宋体" w:eastAsia="宋体" w:cs="宋体"/>
          <w:sz w:val="21"/>
          <w:highlight w:val="none"/>
        </w:rPr>
      </w:pPr>
      <w:r>
        <w:rPr>
          <w:rFonts w:hint="eastAsia" w:ascii="宋体" w:hAnsi="宋体" w:eastAsia="宋体" w:cs="宋体"/>
          <w:sz w:val="21"/>
          <w:highlight w:val="none"/>
        </w:rPr>
        <w:t xml:space="preserve">         </w:t>
      </w:r>
      <w:r>
        <w:rPr>
          <w:rFonts w:hint="eastAsia" w:ascii="汉仪书宋二S" w:hAnsi="汉仪书宋二S" w:eastAsia="汉仪书宋二S" w:cs="汉仪书宋二S"/>
          <w:sz w:val="21"/>
          <w:highlight w:val="none"/>
        </w:rPr>
        <w:t>②</w:t>
      </w:r>
      <w:r>
        <w:rPr>
          <w:rFonts w:hint="eastAsia" w:ascii="宋体" w:hAnsi="宋体" w:eastAsia="宋体" w:cs="宋体"/>
          <w:sz w:val="21"/>
          <w:highlight w:val="none"/>
        </w:rPr>
        <w:t>涉及车辆采购，请填写是否属于新能源汽车：</w:t>
      </w:r>
    </w:p>
    <w:p w14:paraId="20E67125">
      <w:pPr>
        <w:pStyle w:val="64"/>
        <w:snapToGrid w:val="0"/>
        <w:ind w:firstLine="0" w:firstLineChars="0"/>
        <w:rPr>
          <w:rFonts w:ascii="宋体" w:hAnsi="宋体" w:eastAsia="宋体" w:cs="宋体"/>
          <w:sz w:val="21"/>
          <w:highlight w:val="none"/>
        </w:rPr>
      </w:pPr>
      <w:r>
        <w:rPr>
          <w:rFonts w:hint="eastAsia" w:ascii="宋体" w:hAnsi="宋体" w:eastAsia="宋体" w:cs="宋体"/>
          <w:sz w:val="21"/>
          <w:highlight w:val="none"/>
        </w:rPr>
        <w:t xml:space="preserve">         </w:t>
      </w:r>
      <w:r>
        <w:rPr>
          <w:rFonts w:hint="eastAsia" w:ascii="宋体" w:hAnsi="宋体" w:eastAsia="宋体" w:cs="宋体"/>
          <w:sz w:val="21"/>
          <w:highlight w:val="none"/>
        </w:rPr>
        <w:sym w:font="Wingdings" w:char="00A8"/>
      </w:r>
      <w:r>
        <w:rPr>
          <w:rFonts w:hint="eastAsia" w:ascii="宋体" w:hAnsi="宋体" w:eastAsia="宋体" w:cs="宋体"/>
          <w:sz w:val="21"/>
          <w:highlight w:val="none"/>
        </w:rPr>
        <w:t>是，《政府采购品目分类目录》底级品目名称：</w:t>
      </w:r>
      <w:r>
        <w:rPr>
          <w:rFonts w:hint="eastAsia" w:ascii="宋体" w:hAnsi="宋体" w:eastAsia="宋体" w:cs="宋体"/>
          <w:sz w:val="21"/>
          <w:highlight w:val="none"/>
          <w:u w:val="single"/>
        </w:rPr>
        <w:t xml:space="preserve">  /   </w:t>
      </w:r>
      <w:r>
        <w:rPr>
          <w:rFonts w:hint="eastAsia" w:ascii="宋体" w:hAnsi="宋体" w:eastAsia="宋体" w:cs="宋体"/>
          <w:sz w:val="21"/>
          <w:highlight w:val="none"/>
        </w:rPr>
        <w:t xml:space="preserve"> 数量：</w:t>
      </w:r>
      <w:r>
        <w:rPr>
          <w:rFonts w:hint="eastAsia" w:ascii="宋体" w:hAnsi="宋体" w:eastAsia="宋体" w:cs="宋体"/>
          <w:sz w:val="21"/>
          <w:highlight w:val="none"/>
          <w:u w:val="single"/>
        </w:rPr>
        <w:t xml:space="preserve">  /  </w:t>
      </w:r>
      <w:r>
        <w:rPr>
          <w:rFonts w:hint="eastAsia" w:ascii="宋体" w:hAnsi="宋体" w:eastAsia="宋体" w:cs="宋体"/>
          <w:sz w:val="21"/>
          <w:highlight w:val="none"/>
        </w:rPr>
        <w:t xml:space="preserve"> 金额：</w:t>
      </w:r>
      <w:r>
        <w:rPr>
          <w:rFonts w:hint="eastAsia" w:ascii="宋体" w:hAnsi="宋体" w:eastAsia="宋体" w:cs="宋体"/>
          <w:sz w:val="21"/>
          <w:highlight w:val="none"/>
          <w:u w:val="single"/>
        </w:rPr>
        <w:t xml:space="preserve">  /   </w:t>
      </w:r>
      <w:r>
        <w:rPr>
          <w:rFonts w:hint="eastAsia" w:ascii="宋体" w:hAnsi="宋体" w:eastAsia="宋体" w:cs="宋体"/>
          <w:sz w:val="21"/>
          <w:highlight w:val="none"/>
        </w:rPr>
        <w:t xml:space="preserve"> </w:t>
      </w:r>
    </w:p>
    <w:p w14:paraId="0207429B">
      <w:pPr>
        <w:pStyle w:val="64"/>
        <w:snapToGrid w:val="0"/>
        <w:ind w:firstLine="0" w:firstLineChars="0"/>
        <w:rPr>
          <w:rFonts w:ascii="宋体" w:hAnsi="宋体" w:eastAsia="宋体" w:cs="宋体"/>
          <w:sz w:val="21"/>
          <w:highlight w:val="none"/>
        </w:rPr>
      </w:pPr>
      <w:r>
        <w:rPr>
          <w:rFonts w:hint="eastAsia" w:ascii="宋体" w:hAnsi="宋体" w:eastAsia="宋体" w:cs="宋体"/>
          <w:sz w:val="21"/>
          <w:highlight w:val="none"/>
        </w:rPr>
        <w:t xml:space="preserve">         </w:t>
      </w:r>
      <w:r>
        <w:rPr>
          <w:rFonts w:hint="eastAsia" w:ascii="宋体" w:hAnsi="宋体" w:eastAsia="宋体" w:cs="宋体"/>
          <w:sz w:val="21"/>
          <w:highlight w:val="none"/>
        </w:rPr>
        <w:sym w:font="Wingdings" w:char="00A8"/>
      </w:r>
      <w:r>
        <w:rPr>
          <w:rFonts w:hint="eastAsia" w:ascii="宋体" w:hAnsi="宋体" w:eastAsia="宋体" w:cs="宋体"/>
          <w:sz w:val="21"/>
          <w:highlight w:val="none"/>
        </w:rPr>
        <w:t>否</w:t>
      </w:r>
    </w:p>
    <w:p w14:paraId="294CB4A1">
      <w:pPr>
        <w:pStyle w:val="64"/>
        <w:snapToGrid w:val="0"/>
        <w:ind w:firstLine="0" w:firstLineChars="0"/>
        <w:rPr>
          <w:rFonts w:ascii="宋体" w:hAnsi="宋体" w:eastAsia="宋体" w:cs="宋体"/>
          <w:sz w:val="21"/>
          <w:highlight w:val="none"/>
        </w:rPr>
      </w:pPr>
      <w:r>
        <w:rPr>
          <w:rFonts w:hint="eastAsia" w:ascii="宋体" w:hAnsi="宋体" w:eastAsia="宋体" w:cs="宋体"/>
          <w:sz w:val="21"/>
          <w:highlight w:val="none"/>
        </w:rPr>
        <w:t xml:space="preserve">    （</w:t>
      </w:r>
      <w:r>
        <w:rPr>
          <w:rFonts w:ascii="宋体" w:hAnsi="宋体" w:eastAsia="宋体" w:cs="宋体"/>
          <w:sz w:val="21"/>
          <w:highlight w:val="none"/>
          <w:lang w:val="en"/>
        </w:rPr>
        <w:t>4</w:t>
      </w:r>
      <w:r>
        <w:rPr>
          <w:rFonts w:hint="eastAsia" w:ascii="宋体" w:hAnsi="宋体" w:eastAsia="宋体" w:cs="宋体"/>
          <w:sz w:val="21"/>
          <w:highlight w:val="none"/>
        </w:rPr>
        <w:t>）政府采购组织形式：</w:t>
      </w:r>
      <w:r>
        <w:rPr>
          <w:rFonts w:hint="eastAsia" w:ascii="宋体" w:hAnsi="宋体" w:eastAsia="宋体" w:cs="宋体"/>
          <w:sz w:val="21"/>
          <w:highlight w:val="none"/>
        </w:rPr>
        <w:sym w:font="Wingdings" w:char="00FE"/>
      </w:r>
      <w:r>
        <w:rPr>
          <w:rFonts w:hint="eastAsia" w:ascii="宋体" w:hAnsi="宋体" w:eastAsia="宋体" w:cs="宋体"/>
          <w:sz w:val="21"/>
          <w:highlight w:val="none"/>
        </w:rPr>
        <w:t xml:space="preserve">政府集中采购  </w:t>
      </w:r>
      <w:r>
        <w:rPr>
          <w:rFonts w:hint="eastAsia" w:ascii="宋体" w:hAnsi="宋体" w:eastAsia="宋体" w:cs="宋体"/>
          <w:sz w:val="21"/>
          <w:highlight w:val="none"/>
        </w:rPr>
        <w:sym w:font="Wingdings" w:char="00A8"/>
      </w:r>
      <w:r>
        <w:rPr>
          <w:rFonts w:hint="eastAsia" w:ascii="宋体" w:hAnsi="宋体" w:eastAsia="宋体" w:cs="宋体"/>
          <w:sz w:val="21"/>
          <w:highlight w:val="none"/>
        </w:rPr>
        <w:t xml:space="preserve">部门集中采购  </w:t>
      </w:r>
      <w:r>
        <w:rPr>
          <w:rFonts w:hint="eastAsia" w:ascii="宋体" w:hAnsi="宋体" w:eastAsia="宋体" w:cs="宋体"/>
          <w:sz w:val="21"/>
          <w:highlight w:val="none"/>
        </w:rPr>
        <w:sym w:font="Wingdings" w:char="00A8"/>
      </w:r>
      <w:r>
        <w:rPr>
          <w:rFonts w:hint="eastAsia" w:ascii="宋体" w:hAnsi="宋体" w:eastAsia="宋体" w:cs="宋体"/>
          <w:sz w:val="21"/>
          <w:highlight w:val="none"/>
        </w:rPr>
        <w:t>分散采购</w:t>
      </w:r>
    </w:p>
    <w:p w14:paraId="5EDEE5CA">
      <w:pPr>
        <w:pStyle w:val="64"/>
        <w:snapToGrid w:val="0"/>
        <w:ind w:firstLine="420" w:firstLineChars="0"/>
        <w:rPr>
          <w:rFonts w:ascii="宋体" w:hAnsi="宋体" w:eastAsia="宋体" w:cs="宋体"/>
          <w:sz w:val="21"/>
          <w:highlight w:val="none"/>
        </w:rPr>
      </w:pPr>
      <w:r>
        <w:rPr>
          <w:rFonts w:hint="eastAsia" w:ascii="宋体" w:hAnsi="宋体" w:eastAsia="宋体" w:cs="宋体"/>
          <w:sz w:val="21"/>
          <w:highlight w:val="none"/>
        </w:rPr>
        <w:t>（</w:t>
      </w:r>
      <w:r>
        <w:rPr>
          <w:rFonts w:ascii="宋体" w:hAnsi="宋体" w:eastAsia="宋体" w:cs="宋体"/>
          <w:sz w:val="21"/>
          <w:highlight w:val="none"/>
          <w:lang w:val="en"/>
        </w:rPr>
        <w:t>5</w:t>
      </w:r>
      <w:r>
        <w:rPr>
          <w:rFonts w:hint="eastAsia" w:ascii="宋体" w:hAnsi="宋体" w:eastAsia="宋体" w:cs="宋体"/>
          <w:sz w:val="21"/>
          <w:highlight w:val="none"/>
        </w:rPr>
        <w:t>）政府采购方式：</w:t>
      </w:r>
      <w:r>
        <w:rPr>
          <w:rFonts w:hint="eastAsia" w:ascii="宋体" w:hAnsi="宋体" w:eastAsia="宋体" w:cs="宋体"/>
          <w:sz w:val="21"/>
          <w:highlight w:val="none"/>
        </w:rPr>
        <w:sym w:font="Wingdings" w:char="00FE"/>
      </w:r>
      <w:r>
        <w:rPr>
          <w:rFonts w:hint="eastAsia" w:ascii="宋体" w:hAnsi="宋体" w:eastAsia="宋体" w:cs="宋体"/>
          <w:sz w:val="21"/>
          <w:highlight w:val="none"/>
        </w:rPr>
        <w:t xml:space="preserve">公开招标 </w:t>
      </w:r>
      <w:r>
        <w:rPr>
          <w:rFonts w:hint="eastAsia" w:ascii="宋体" w:hAnsi="宋体" w:eastAsia="宋体" w:cs="宋体"/>
          <w:sz w:val="21"/>
          <w:highlight w:val="none"/>
        </w:rPr>
        <w:sym w:font="Wingdings" w:char="00A8"/>
      </w:r>
      <w:r>
        <w:rPr>
          <w:rFonts w:hint="eastAsia" w:ascii="宋体" w:hAnsi="宋体" w:eastAsia="宋体" w:cs="宋体"/>
          <w:sz w:val="21"/>
          <w:highlight w:val="none"/>
        </w:rPr>
        <w:t xml:space="preserve">邀请招标 </w:t>
      </w:r>
      <w:r>
        <w:rPr>
          <w:rFonts w:hint="eastAsia" w:ascii="宋体" w:hAnsi="宋体" w:eastAsia="宋体" w:cs="宋体"/>
          <w:sz w:val="21"/>
          <w:highlight w:val="none"/>
        </w:rPr>
        <w:sym w:font="Wingdings" w:char="00A8"/>
      </w:r>
      <w:r>
        <w:rPr>
          <w:rFonts w:hint="eastAsia" w:ascii="宋体" w:hAnsi="宋体" w:eastAsia="宋体" w:cs="宋体"/>
          <w:sz w:val="21"/>
          <w:highlight w:val="none"/>
        </w:rPr>
        <w:t xml:space="preserve">竞争性谈判 </w:t>
      </w:r>
      <w:r>
        <w:rPr>
          <w:rFonts w:hint="eastAsia" w:ascii="宋体" w:hAnsi="宋体" w:eastAsia="宋体" w:cs="宋体"/>
          <w:sz w:val="21"/>
          <w:highlight w:val="none"/>
        </w:rPr>
        <w:sym w:font="Wingdings" w:char="00A8"/>
      </w:r>
      <w:r>
        <w:rPr>
          <w:rFonts w:hint="eastAsia" w:ascii="宋体" w:hAnsi="宋体" w:eastAsia="宋体" w:cs="宋体"/>
          <w:sz w:val="21"/>
          <w:highlight w:val="none"/>
        </w:rPr>
        <w:t>竞争性磋商</w:t>
      </w:r>
    </w:p>
    <w:p w14:paraId="04F74A7C">
      <w:pPr>
        <w:pStyle w:val="64"/>
        <w:snapToGrid w:val="0"/>
        <w:ind w:firstLine="420" w:firstLineChars="0"/>
        <w:rPr>
          <w:rFonts w:ascii="宋体" w:hAnsi="宋体" w:eastAsia="宋体" w:cs="宋体"/>
          <w:sz w:val="21"/>
          <w:highlight w:val="none"/>
          <w:u w:val="single"/>
        </w:rPr>
      </w:pPr>
      <w:r>
        <w:rPr>
          <w:rFonts w:hint="eastAsia" w:ascii="宋体" w:hAnsi="宋体" w:cs="宋体"/>
          <w:sz w:val="21"/>
          <w:highlight w:val="none"/>
        </w:rPr>
        <w:t xml:space="preserve">                   </w:t>
      </w:r>
      <w:r>
        <w:rPr>
          <w:rFonts w:hint="eastAsia" w:ascii="宋体" w:hAnsi="宋体" w:eastAsia="宋体" w:cs="宋体"/>
          <w:sz w:val="21"/>
          <w:highlight w:val="none"/>
        </w:rPr>
        <w:sym w:font="Wingdings" w:char="00A8"/>
      </w:r>
      <w:r>
        <w:rPr>
          <w:rFonts w:hint="eastAsia" w:ascii="宋体" w:hAnsi="宋体" w:eastAsia="宋体" w:cs="宋体"/>
          <w:sz w:val="21"/>
          <w:highlight w:val="none"/>
        </w:rPr>
        <w:t xml:space="preserve">询价 </w:t>
      </w:r>
      <w:r>
        <w:rPr>
          <w:rFonts w:hint="eastAsia" w:ascii="宋体" w:hAnsi="宋体" w:eastAsia="宋体" w:cs="宋体"/>
          <w:sz w:val="21"/>
          <w:highlight w:val="none"/>
        </w:rPr>
        <w:sym w:font="Wingdings" w:char="00A8"/>
      </w:r>
      <w:r>
        <w:rPr>
          <w:rFonts w:hint="eastAsia" w:ascii="宋体" w:hAnsi="宋体" w:eastAsia="宋体" w:cs="宋体"/>
          <w:sz w:val="21"/>
          <w:highlight w:val="none"/>
        </w:rPr>
        <w:t xml:space="preserve">单一来源 </w:t>
      </w:r>
      <w:r>
        <w:rPr>
          <w:rFonts w:hint="eastAsia" w:ascii="宋体" w:hAnsi="宋体" w:eastAsia="宋体" w:cs="宋体"/>
          <w:sz w:val="21"/>
          <w:highlight w:val="none"/>
        </w:rPr>
        <w:sym w:font="Wingdings" w:char="00A8"/>
      </w:r>
      <w:r>
        <w:rPr>
          <w:rFonts w:hint="eastAsia" w:ascii="宋体" w:hAnsi="宋体" w:eastAsia="宋体" w:cs="宋体"/>
          <w:sz w:val="21"/>
          <w:highlight w:val="none"/>
        </w:rPr>
        <w:t xml:space="preserve">框架协议 </w:t>
      </w:r>
      <w:r>
        <w:rPr>
          <w:rFonts w:hint="eastAsia" w:ascii="宋体" w:hAnsi="宋体" w:eastAsia="宋体" w:cs="宋体"/>
          <w:sz w:val="21"/>
          <w:highlight w:val="none"/>
        </w:rPr>
        <w:sym w:font="Wingdings" w:char="00A8"/>
      </w:r>
      <w:r>
        <w:rPr>
          <w:rFonts w:hint="eastAsia" w:ascii="宋体" w:hAnsi="宋体" w:eastAsia="宋体" w:cs="宋体"/>
          <w:sz w:val="21"/>
          <w:highlight w:val="none"/>
        </w:rPr>
        <w:t>其他：</w:t>
      </w:r>
      <w:r>
        <w:rPr>
          <w:rFonts w:hint="eastAsia" w:ascii="宋体" w:hAnsi="宋体" w:eastAsia="宋体" w:cs="宋体"/>
          <w:sz w:val="21"/>
          <w:highlight w:val="none"/>
          <w:u w:val="single"/>
        </w:rPr>
        <w:t xml:space="preserve">          </w:t>
      </w:r>
    </w:p>
    <w:p w14:paraId="6D945764">
      <w:pPr>
        <w:pStyle w:val="64"/>
        <w:snapToGrid w:val="0"/>
        <w:ind w:firstLine="420" w:firstLineChars="0"/>
        <w:rPr>
          <w:rFonts w:ascii="宋体" w:hAnsi="宋体" w:eastAsia="宋体" w:cs="宋体"/>
          <w:sz w:val="21"/>
          <w:highlight w:val="none"/>
        </w:rPr>
      </w:pPr>
      <w:r>
        <w:rPr>
          <w:rFonts w:hint="eastAsia" w:ascii="宋体" w:hAnsi="宋体" w:eastAsia="宋体" w:cs="宋体"/>
          <w:sz w:val="21"/>
          <w:highlight w:val="none"/>
        </w:rPr>
        <w:t>（注：在框架协议采购的第二阶段，可选择使用该合同文本）</w:t>
      </w:r>
    </w:p>
    <w:p w14:paraId="768BB41E">
      <w:pPr>
        <w:pStyle w:val="64"/>
        <w:snapToGrid w:val="0"/>
        <w:ind w:firstLine="210" w:firstLineChars="100"/>
        <w:rPr>
          <w:rFonts w:ascii="宋体" w:hAnsi="宋体" w:eastAsia="宋体" w:cs="Times New Roman"/>
          <w:kern w:val="2"/>
          <w:sz w:val="21"/>
          <w:highlight w:val="none"/>
        </w:rPr>
      </w:pPr>
      <w:r>
        <w:rPr>
          <w:rFonts w:hint="eastAsia" w:ascii="宋体" w:hAnsi="宋体"/>
          <w:sz w:val="21"/>
          <w:highlight w:val="none"/>
        </w:rPr>
        <w:t xml:space="preserve"> （</w:t>
      </w:r>
      <w:r>
        <w:rPr>
          <w:rFonts w:ascii="宋体" w:hAnsi="宋体"/>
          <w:sz w:val="21"/>
          <w:highlight w:val="none"/>
          <w:lang w:val="en"/>
        </w:rPr>
        <w:t>6</w:t>
      </w:r>
      <w:r>
        <w:rPr>
          <w:rFonts w:hint="eastAsia" w:ascii="宋体" w:hAnsi="宋体"/>
          <w:sz w:val="21"/>
          <w:highlight w:val="none"/>
        </w:rPr>
        <w:t>）</w:t>
      </w:r>
      <w:r>
        <w:rPr>
          <w:rFonts w:hint="eastAsia" w:ascii="宋体" w:hAnsi="宋体" w:eastAsia="宋体" w:cs="Times New Roman"/>
          <w:kern w:val="2"/>
          <w:sz w:val="21"/>
          <w:highlight w:val="none"/>
        </w:rPr>
        <w:t>中标（成交）采购标的制造商是否为中小企业：</w:t>
      </w:r>
      <w:r>
        <w:rPr>
          <w:rFonts w:hint="eastAsia" w:ascii="宋体" w:hAnsi="宋体" w:eastAsia="宋体" w:cs="Times New Roman"/>
          <w:kern w:val="2"/>
          <w:sz w:val="21"/>
          <w:highlight w:val="none"/>
        </w:rPr>
        <w:sym w:font="Wingdings" w:char="00A8"/>
      </w:r>
      <w:r>
        <w:rPr>
          <w:rFonts w:hint="eastAsia" w:ascii="宋体" w:hAnsi="宋体" w:eastAsia="宋体" w:cs="Times New Roman"/>
          <w:kern w:val="2"/>
          <w:sz w:val="21"/>
          <w:highlight w:val="none"/>
        </w:rPr>
        <w:t xml:space="preserve">是      </w:t>
      </w:r>
      <w:r>
        <w:rPr>
          <w:rFonts w:hint="eastAsia" w:ascii="宋体" w:hAnsi="宋体" w:eastAsia="宋体" w:cs="Times New Roman"/>
          <w:kern w:val="2"/>
          <w:sz w:val="21"/>
          <w:highlight w:val="none"/>
        </w:rPr>
        <w:sym w:font="Wingdings" w:char="00A8"/>
      </w:r>
      <w:r>
        <w:rPr>
          <w:rFonts w:hint="eastAsia" w:ascii="宋体" w:hAnsi="宋体" w:eastAsia="宋体" w:cs="Times New Roman"/>
          <w:kern w:val="2"/>
          <w:sz w:val="21"/>
          <w:highlight w:val="none"/>
        </w:rPr>
        <w:t>否</w:t>
      </w:r>
    </w:p>
    <w:p w14:paraId="544F8C62">
      <w:pPr>
        <w:adjustRightInd w:val="0"/>
        <w:snapToGrid w:val="0"/>
        <w:spacing w:line="400" w:lineRule="exact"/>
        <w:rPr>
          <w:rFonts w:ascii="宋体" w:hAnsi="宋体"/>
          <w:iCs/>
          <w:szCs w:val="21"/>
          <w:highlight w:val="none"/>
        </w:rPr>
      </w:pPr>
      <w:r>
        <w:rPr>
          <w:rFonts w:hint="eastAsia" w:ascii="宋体" w:hAnsi="宋体"/>
          <w:szCs w:val="21"/>
          <w:highlight w:val="none"/>
        </w:rPr>
        <w:t xml:space="preserve">         本合同是否为专门面向中小企业的采购合同（中小企业预留合同）：</w:t>
      </w:r>
      <w:r>
        <w:rPr>
          <w:rFonts w:hint="eastAsia" w:ascii="宋体" w:hAnsi="宋体"/>
          <w:iCs/>
          <w:szCs w:val="21"/>
          <w:highlight w:val="none"/>
        </w:rPr>
        <w:sym w:font="Wingdings" w:char="00A8"/>
      </w:r>
      <w:r>
        <w:rPr>
          <w:rFonts w:hint="eastAsia" w:ascii="宋体" w:hAnsi="宋体"/>
          <w:iCs/>
          <w:szCs w:val="21"/>
          <w:highlight w:val="none"/>
        </w:rPr>
        <w:t xml:space="preserve">是    </w:t>
      </w:r>
      <w:r>
        <w:rPr>
          <w:rFonts w:hint="eastAsia" w:ascii="宋体" w:hAnsi="宋体"/>
          <w:iCs/>
          <w:szCs w:val="21"/>
          <w:highlight w:val="none"/>
        </w:rPr>
        <w:sym w:font="Wingdings" w:char="00FE"/>
      </w:r>
      <w:r>
        <w:rPr>
          <w:rFonts w:hint="eastAsia" w:ascii="宋体" w:hAnsi="宋体"/>
          <w:iCs/>
          <w:szCs w:val="21"/>
          <w:highlight w:val="none"/>
        </w:rPr>
        <w:t>否</w:t>
      </w:r>
    </w:p>
    <w:p w14:paraId="1D0CD42E">
      <w:pPr>
        <w:adjustRightInd w:val="0"/>
        <w:snapToGrid w:val="0"/>
        <w:spacing w:line="400" w:lineRule="exact"/>
        <w:rPr>
          <w:rFonts w:ascii="宋体" w:hAnsi="宋体"/>
          <w:iCs/>
          <w:szCs w:val="21"/>
          <w:highlight w:val="none"/>
        </w:rPr>
      </w:pPr>
      <w:r>
        <w:rPr>
          <w:rFonts w:hint="eastAsia"/>
          <w:szCs w:val="21"/>
          <w:highlight w:val="none"/>
        </w:rPr>
        <w:t xml:space="preserve">         若本项目不专门面向中小企业采购，是否给予小微企业评审优惠：</w:t>
      </w:r>
      <w:r>
        <w:rPr>
          <w:rFonts w:hint="eastAsia" w:ascii="宋体" w:hAnsi="宋体"/>
          <w:iCs/>
          <w:szCs w:val="21"/>
          <w:highlight w:val="none"/>
        </w:rPr>
        <w:sym w:font="Wingdings" w:char="00FE"/>
      </w:r>
      <w:r>
        <w:rPr>
          <w:rFonts w:hint="eastAsia" w:ascii="宋体" w:hAnsi="宋体"/>
          <w:iCs/>
          <w:szCs w:val="21"/>
          <w:highlight w:val="none"/>
        </w:rPr>
        <w:t xml:space="preserve">是   </w:t>
      </w:r>
      <w:r>
        <w:rPr>
          <w:rFonts w:hint="eastAsia" w:ascii="宋体" w:hAnsi="宋体"/>
          <w:iCs/>
          <w:szCs w:val="21"/>
          <w:highlight w:val="none"/>
        </w:rPr>
        <w:sym w:font="Wingdings" w:char="00A8"/>
      </w:r>
      <w:r>
        <w:rPr>
          <w:rFonts w:hint="eastAsia" w:ascii="宋体" w:hAnsi="宋体"/>
          <w:iCs/>
          <w:szCs w:val="21"/>
          <w:highlight w:val="none"/>
        </w:rPr>
        <w:t>否</w:t>
      </w:r>
    </w:p>
    <w:p w14:paraId="744CDF3A">
      <w:pPr>
        <w:adjustRightInd w:val="0"/>
        <w:snapToGrid w:val="0"/>
        <w:spacing w:line="400" w:lineRule="exact"/>
        <w:rPr>
          <w:rFonts w:ascii="宋体" w:hAnsi="宋体"/>
          <w:iCs/>
          <w:szCs w:val="21"/>
          <w:highlight w:val="none"/>
        </w:rPr>
      </w:pPr>
      <w:r>
        <w:rPr>
          <w:rFonts w:hint="eastAsia"/>
          <w:szCs w:val="21"/>
          <w:highlight w:val="none"/>
        </w:rPr>
        <w:t xml:space="preserve">         中标（成交）采购标的制造商是否为残疾人福利性单位：</w:t>
      </w:r>
      <w:r>
        <w:rPr>
          <w:rFonts w:hint="eastAsia" w:ascii="宋体" w:hAnsi="宋体"/>
          <w:iCs/>
          <w:szCs w:val="21"/>
          <w:highlight w:val="none"/>
        </w:rPr>
        <w:sym w:font="Wingdings" w:char="00A8"/>
      </w:r>
      <w:r>
        <w:rPr>
          <w:rFonts w:hint="eastAsia" w:ascii="宋体" w:hAnsi="宋体"/>
          <w:iCs/>
          <w:szCs w:val="21"/>
          <w:highlight w:val="none"/>
        </w:rPr>
        <w:t xml:space="preserve">是   </w:t>
      </w:r>
      <w:r>
        <w:rPr>
          <w:rFonts w:hint="eastAsia" w:ascii="宋体" w:hAnsi="宋体"/>
          <w:iCs/>
          <w:szCs w:val="21"/>
          <w:highlight w:val="none"/>
        </w:rPr>
        <w:sym w:font="Wingdings" w:char="00A8"/>
      </w:r>
      <w:r>
        <w:rPr>
          <w:rFonts w:hint="eastAsia" w:ascii="宋体" w:hAnsi="宋体"/>
          <w:iCs/>
          <w:szCs w:val="21"/>
          <w:highlight w:val="none"/>
        </w:rPr>
        <w:t>否</w:t>
      </w:r>
    </w:p>
    <w:p w14:paraId="6D11E880">
      <w:pPr>
        <w:snapToGrid w:val="0"/>
        <w:spacing w:line="400" w:lineRule="exact"/>
        <w:rPr>
          <w:szCs w:val="21"/>
          <w:highlight w:val="none"/>
        </w:rPr>
      </w:pPr>
      <w:r>
        <w:rPr>
          <w:rFonts w:hint="eastAsia"/>
          <w:szCs w:val="21"/>
          <w:highlight w:val="none"/>
        </w:rPr>
        <w:t xml:space="preserve">         中标（成交）采购标的制造商是否为监狱企业：</w:t>
      </w:r>
      <w:r>
        <w:rPr>
          <w:rFonts w:hint="eastAsia" w:ascii="宋体" w:hAnsi="宋体"/>
          <w:iCs/>
          <w:szCs w:val="21"/>
          <w:highlight w:val="none"/>
        </w:rPr>
        <w:sym w:font="Wingdings" w:char="00A8"/>
      </w:r>
      <w:r>
        <w:rPr>
          <w:rFonts w:hint="eastAsia" w:ascii="宋体" w:hAnsi="宋体"/>
          <w:iCs/>
          <w:szCs w:val="21"/>
          <w:highlight w:val="none"/>
        </w:rPr>
        <w:t xml:space="preserve">是       </w:t>
      </w:r>
      <w:r>
        <w:rPr>
          <w:rFonts w:hint="eastAsia" w:ascii="宋体" w:hAnsi="宋体"/>
          <w:iCs/>
          <w:szCs w:val="21"/>
          <w:highlight w:val="none"/>
        </w:rPr>
        <w:sym w:font="Wingdings" w:char="00A8"/>
      </w:r>
      <w:r>
        <w:rPr>
          <w:rFonts w:hint="eastAsia" w:ascii="宋体" w:hAnsi="宋体"/>
          <w:iCs/>
          <w:szCs w:val="21"/>
          <w:highlight w:val="none"/>
        </w:rPr>
        <w:t>否</w:t>
      </w:r>
    </w:p>
    <w:p w14:paraId="34B01352">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w:t>
      </w:r>
      <w:r>
        <w:rPr>
          <w:rFonts w:ascii="宋体" w:hAnsi="宋体"/>
          <w:szCs w:val="21"/>
          <w:highlight w:val="none"/>
          <w:lang w:val="en"/>
        </w:rPr>
        <w:t>7</w:t>
      </w:r>
      <w:r>
        <w:rPr>
          <w:rFonts w:hint="eastAsia" w:ascii="宋体" w:hAnsi="宋体"/>
          <w:szCs w:val="21"/>
          <w:highlight w:val="none"/>
        </w:rPr>
        <w:t>）合同是否分包：</w:t>
      </w:r>
      <w:r>
        <w:rPr>
          <w:rFonts w:hint="eastAsia" w:ascii="宋体" w:hAnsi="宋体"/>
          <w:iCs/>
          <w:szCs w:val="21"/>
          <w:highlight w:val="none"/>
        </w:rPr>
        <w:sym w:font="Wingdings" w:char="00A8"/>
      </w:r>
      <w:r>
        <w:rPr>
          <w:rFonts w:hint="eastAsia" w:ascii="宋体" w:hAnsi="宋体"/>
          <w:iCs/>
          <w:szCs w:val="21"/>
          <w:highlight w:val="none"/>
        </w:rPr>
        <w:t xml:space="preserve">是       </w:t>
      </w:r>
      <w:r>
        <w:rPr>
          <w:rFonts w:hint="eastAsia" w:ascii="宋体" w:hAnsi="宋体"/>
          <w:iCs/>
          <w:szCs w:val="21"/>
          <w:highlight w:val="none"/>
        </w:rPr>
        <w:sym w:font="Wingdings" w:char="00FE"/>
      </w:r>
      <w:r>
        <w:rPr>
          <w:rFonts w:hint="eastAsia" w:ascii="宋体" w:hAnsi="宋体"/>
          <w:iCs/>
          <w:szCs w:val="21"/>
          <w:highlight w:val="none"/>
        </w:rPr>
        <w:t>否</w:t>
      </w:r>
    </w:p>
    <w:p w14:paraId="1B302E52">
      <w:pPr>
        <w:adjustRightInd w:val="0"/>
        <w:snapToGrid w:val="0"/>
        <w:spacing w:line="400" w:lineRule="exact"/>
        <w:ind w:firstLine="840" w:firstLineChars="400"/>
        <w:rPr>
          <w:rFonts w:ascii="宋体" w:hAnsi="宋体"/>
          <w:szCs w:val="21"/>
          <w:highlight w:val="none"/>
          <w:u w:val="single"/>
        </w:rPr>
      </w:pPr>
      <w:r>
        <w:rPr>
          <w:rFonts w:hint="eastAsia" w:ascii="宋体" w:hAnsi="宋体"/>
          <w:szCs w:val="21"/>
          <w:highlight w:val="none"/>
        </w:rPr>
        <w:t xml:space="preserve"> 分包主要内容：</w:t>
      </w:r>
      <w:r>
        <w:rPr>
          <w:rFonts w:hint="eastAsia" w:ascii="宋体" w:hAnsi="宋体"/>
          <w:szCs w:val="21"/>
          <w:highlight w:val="none"/>
          <w:u w:val="single"/>
        </w:rPr>
        <w:t>/。</w:t>
      </w:r>
    </w:p>
    <w:p w14:paraId="50EFD4CE">
      <w:pPr>
        <w:adjustRightInd w:val="0"/>
        <w:snapToGrid w:val="0"/>
        <w:spacing w:line="400" w:lineRule="exact"/>
        <w:ind w:firstLine="840" w:firstLineChars="400"/>
        <w:rPr>
          <w:rFonts w:ascii="宋体" w:hAnsi="宋体"/>
          <w:szCs w:val="21"/>
          <w:highlight w:val="none"/>
        </w:rPr>
      </w:pPr>
      <w:r>
        <w:rPr>
          <w:rFonts w:hint="eastAsia" w:ascii="宋体" w:hAnsi="宋体"/>
          <w:szCs w:val="21"/>
          <w:highlight w:val="none"/>
        </w:rPr>
        <w:t xml:space="preserve"> 分包供应商/制造商名称（如供应商和制造商不同，请分别填写）：</w:t>
      </w:r>
    </w:p>
    <w:p w14:paraId="344A98BB">
      <w:pPr>
        <w:adjustRightInd w:val="0"/>
        <w:snapToGrid w:val="0"/>
        <w:spacing w:line="400" w:lineRule="exact"/>
        <w:ind w:firstLine="840" w:firstLineChars="400"/>
        <w:rPr>
          <w:rFonts w:ascii="宋体" w:hAnsi="宋体"/>
          <w:szCs w:val="21"/>
          <w:highlight w:val="none"/>
          <w:u w:val="single"/>
        </w:rPr>
      </w:pPr>
      <w:r>
        <w:rPr>
          <w:rFonts w:hint="eastAsia" w:ascii="宋体" w:hAnsi="宋体"/>
          <w:szCs w:val="21"/>
          <w:highlight w:val="none"/>
        </w:rPr>
        <w:t xml:space="preserve"> </w:t>
      </w:r>
      <w:r>
        <w:rPr>
          <w:rFonts w:hint="eastAsia" w:ascii="宋体" w:hAnsi="宋体"/>
          <w:szCs w:val="21"/>
          <w:highlight w:val="none"/>
          <w:u w:val="single"/>
        </w:rPr>
        <w:t xml:space="preserve">                                /                          </w:t>
      </w:r>
    </w:p>
    <w:p w14:paraId="6D2D9906">
      <w:pPr>
        <w:adjustRightInd w:val="0"/>
        <w:snapToGrid w:val="0"/>
        <w:spacing w:line="400" w:lineRule="exact"/>
        <w:ind w:firstLine="840" w:firstLineChars="400"/>
        <w:rPr>
          <w:rFonts w:ascii="宋体" w:hAnsi="宋体"/>
          <w:szCs w:val="21"/>
          <w:highlight w:val="none"/>
        </w:rPr>
      </w:pPr>
      <w:r>
        <w:rPr>
          <w:rFonts w:hint="eastAsia" w:ascii="宋体" w:hAnsi="宋体"/>
          <w:szCs w:val="21"/>
          <w:highlight w:val="none"/>
        </w:rPr>
        <w:t xml:space="preserve"> 分包供应商/制造商类型（如果供应商和制造商不同，只填写制造商类型）：</w:t>
      </w:r>
    </w:p>
    <w:p w14:paraId="27710D68">
      <w:pPr>
        <w:adjustRightInd w:val="0"/>
        <w:snapToGrid w:val="0"/>
        <w:spacing w:line="400" w:lineRule="exact"/>
        <w:ind w:firstLine="840" w:firstLineChars="400"/>
        <w:rPr>
          <w:rFonts w:ascii="宋体" w:hAnsi="宋体"/>
          <w:iCs/>
          <w:szCs w:val="21"/>
          <w:highlight w:val="none"/>
        </w:rPr>
      </w:pPr>
      <w:r>
        <w:rPr>
          <w:rFonts w:hint="eastAsia" w:ascii="宋体" w:hAnsi="宋体"/>
          <w:iCs/>
          <w:szCs w:val="21"/>
          <w:highlight w:val="none"/>
        </w:rPr>
        <w:t xml:space="preserve"> </w:t>
      </w:r>
      <w:r>
        <w:rPr>
          <w:rFonts w:hint="eastAsia" w:ascii="宋体" w:hAnsi="宋体"/>
          <w:iCs/>
          <w:szCs w:val="21"/>
          <w:highlight w:val="none"/>
        </w:rPr>
        <w:sym w:font="Wingdings" w:char="00A8"/>
      </w:r>
      <w:r>
        <w:rPr>
          <w:rFonts w:hint="eastAsia" w:ascii="宋体" w:hAnsi="宋体"/>
          <w:iCs/>
          <w:szCs w:val="21"/>
          <w:highlight w:val="none"/>
        </w:rPr>
        <w:t xml:space="preserve">大型企业  </w:t>
      </w:r>
      <w:r>
        <w:rPr>
          <w:rFonts w:hint="eastAsia" w:ascii="宋体" w:hAnsi="宋体"/>
          <w:iCs/>
          <w:szCs w:val="21"/>
          <w:highlight w:val="none"/>
        </w:rPr>
        <w:sym w:font="Wingdings" w:char="00A8"/>
      </w:r>
      <w:r>
        <w:rPr>
          <w:rFonts w:hint="eastAsia" w:ascii="宋体" w:hAnsi="宋体"/>
          <w:iCs/>
          <w:szCs w:val="21"/>
          <w:highlight w:val="none"/>
        </w:rPr>
        <w:t xml:space="preserve">中型企业  </w:t>
      </w:r>
      <w:r>
        <w:rPr>
          <w:rFonts w:hint="eastAsia" w:ascii="宋体" w:hAnsi="宋体"/>
          <w:iCs/>
          <w:szCs w:val="21"/>
          <w:highlight w:val="none"/>
        </w:rPr>
        <w:sym w:font="Wingdings" w:char="00A8"/>
      </w:r>
      <w:r>
        <w:rPr>
          <w:rFonts w:hint="eastAsia" w:ascii="宋体" w:hAnsi="宋体"/>
          <w:iCs/>
          <w:szCs w:val="21"/>
          <w:highlight w:val="none"/>
        </w:rPr>
        <w:t xml:space="preserve">小微型企业  </w:t>
      </w:r>
    </w:p>
    <w:p w14:paraId="5EE38BF5">
      <w:pPr>
        <w:adjustRightInd w:val="0"/>
        <w:snapToGrid w:val="0"/>
        <w:spacing w:line="400" w:lineRule="exact"/>
        <w:ind w:firstLine="840" w:firstLineChars="400"/>
        <w:rPr>
          <w:rFonts w:eastAsia="华文楷体"/>
          <w:szCs w:val="21"/>
          <w:highlight w:val="none"/>
        </w:rPr>
      </w:pPr>
      <w:r>
        <w:rPr>
          <w:rFonts w:hint="eastAsia" w:ascii="宋体" w:hAnsi="宋体"/>
          <w:iCs/>
          <w:szCs w:val="21"/>
          <w:highlight w:val="none"/>
        </w:rPr>
        <w:t xml:space="preserve"> </w:t>
      </w:r>
      <w:r>
        <w:rPr>
          <w:rFonts w:hint="eastAsia" w:ascii="宋体" w:hAnsi="宋体"/>
          <w:iCs/>
          <w:szCs w:val="21"/>
          <w:highlight w:val="none"/>
        </w:rPr>
        <w:sym w:font="Wingdings" w:char="00A8"/>
      </w:r>
      <w:r>
        <w:rPr>
          <w:rFonts w:hint="eastAsia" w:ascii="宋体" w:hAnsi="宋体"/>
          <w:iCs/>
          <w:szCs w:val="21"/>
          <w:highlight w:val="none"/>
        </w:rPr>
        <w:t xml:space="preserve">残疾人福利性单位 </w:t>
      </w:r>
      <w:r>
        <w:rPr>
          <w:rFonts w:hint="eastAsia" w:ascii="宋体" w:hAnsi="宋体"/>
          <w:iCs/>
          <w:szCs w:val="21"/>
          <w:highlight w:val="none"/>
        </w:rPr>
        <w:sym w:font="Wingdings" w:char="00A8"/>
      </w:r>
      <w:r>
        <w:rPr>
          <w:rFonts w:hint="eastAsia" w:ascii="宋体" w:hAnsi="宋体"/>
          <w:iCs/>
          <w:szCs w:val="21"/>
          <w:highlight w:val="none"/>
        </w:rPr>
        <w:t xml:space="preserve">监狱企业 </w:t>
      </w:r>
      <w:r>
        <w:rPr>
          <w:rFonts w:hint="eastAsia" w:ascii="宋体" w:hAnsi="宋体"/>
          <w:iCs/>
          <w:szCs w:val="21"/>
          <w:highlight w:val="none"/>
        </w:rPr>
        <w:sym w:font="Wingdings" w:char="00A8"/>
      </w:r>
      <w:r>
        <w:rPr>
          <w:rFonts w:hint="eastAsia" w:ascii="宋体" w:hAnsi="宋体"/>
          <w:iCs/>
          <w:szCs w:val="21"/>
          <w:highlight w:val="none"/>
        </w:rPr>
        <w:t>其他</w:t>
      </w:r>
    </w:p>
    <w:p w14:paraId="4A9EC239">
      <w:pPr>
        <w:adjustRightInd w:val="0"/>
        <w:snapToGrid w:val="0"/>
        <w:spacing w:line="400" w:lineRule="exact"/>
        <w:rPr>
          <w:rFonts w:ascii="宋体" w:hAnsi="宋体" w:cs="宋体"/>
          <w:iCs/>
          <w:szCs w:val="21"/>
          <w:highlight w:val="none"/>
        </w:rPr>
      </w:pPr>
      <w:r>
        <w:rPr>
          <w:rFonts w:hint="eastAsia" w:ascii="宋体" w:hAnsi="宋体"/>
          <w:szCs w:val="21"/>
          <w:highlight w:val="none"/>
        </w:rPr>
        <w:t xml:space="preserve">    </w:t>
      </w:r>
      <w:r>
        <w:rPr>
          <w:rFonts w:hint="eastAsia" w:ascii="宋体" w:hAnsi="宋体" w:cs="宋体"/>
          <w:szCs w:val="21"/>
          <w:highlight w:val="none"/>
        </w:rPr>
        <w:t>（</w:t>
      </w:r>
      <w:r>
        <w:rPr>
          <w:rFonts w:ascii="宋体" w:hAnsi="宋体" w:cs="宋体"/>
          <w:szCs w:val="21"/>
          <w:highlight w:val="none"/>
          <w:lang w:val="en"/>
        </w:rPr>
        <w:t>8</w:t>
      </w:r>
      <w:r>
        <w:rPr>
          <w:rFonts w:hint="eastAsia" w:ascii="宋体" w:hAnsi="宋体" w:cs="宋体"/>
          <w:szCs w:val="21"/>
          <w:highlight w:val="none"/>
        </w:rPr>
        <w:t>）中标（成交）供应商是否为外商投资企业：</w:t>
      </w:r>
      <w:r>
        <w:rPr>
          <w:rFonts w:hint="eastAsia" w:ascii="宋体" w:hAnsi="宋体" w:cs="宋体"/>
          <w:iCs/>
          <w:szCs w:val="21"/>
          <w:highlight w:val="none"/>
        </w:rPr>
        <w:sym w:font="Wingdings" w:char="00A8"/>
      </w:r>
      <w:r>
        <w:rPr>
          <w:rFonts w:hint="eastAsia" w:ascii="宋体" w:hAnsi="宋体" w:cs="宋体"/>
          <w:iCs/>
          <w:szCs w:val="21"/>
          <w:highlight w:val="none"/>
        </w:rPr>
        <w:t xml:space="preserve">是       </w:t>
      </w:r>
      <w:r>
        <w:rPr>
          <w:rFonts w:hint="eastAsia" w:ascii="宋体" w:hAnsi="宋体" w:cs="宋体"/>
          <w:iCs/>
          <w:szCs w:val="21"/>
          <w:highlight w:val="none"/>
        </w:rPr>
        <w:sym w:font="Wingdings" w:char="00A8"/>
      </w:r>
      <w:r>
        <w:rPr>
          <w:rFonts w:hint="eastAsia" w:ascii="宋体" w:hAnsi="宋体" w:cs="宋体"/>
          <w:iCs/>
          <w:szCs w:val="21"/>
          <w:highlight w:val="none"/>
        </w:rPr>
        <w:t>否</w:t>
      </w:r>
    </w:p>
    <w:p w14:paraId="220B77EE">
      <w:pPr>
        <w:pStyle w:val="64"/>
        <w:tabs>
          <w:tab w:val="left" w:pos="1340"/>
        </w:tabs>
        <w:ind w:firstLine="420"/>
        <w:rPr>
          <w:rFonts w:ascii="宋体" w:hAnsi="宋体" w:eastAsia="宋体" w:cs="宋体"/>
          <w:sz w:val="21"/>
          <w:highlight w:val="none"/>
          <w:u w:val="single"/>
        </w:rPr>
      </w:pPr>
      <w:r>
        <w:rPr>
          <w:rFonts w:hint="eastAsia" w:ascii="宋体" w:hAnsi="宋体" w:eastAsia="宋体" w:cs="宋体"/>
          <w:sz w:val="21"/>
          <w:highlight w:val="none"/>
        </w:rPr>
        <w:t xml:space="preserve">     外商投资企业类型：</w:t>
      </w:r>
      <w:r>
        <w:rPr>
          <w:rFonts w:hint="eastAsia" w:ascii="宋体" w:hAnsi="宋体" w:eastAsia="宋体" w:cs="宋体"/>
          <w:iCs/>
          <w:sz w:val="21"/>
          <w:highlight w:val="none"/>
        </w:rPr>
        <w:sym w:font="Wingdings" w:char="00A8"/>
      </w:r>
      <w:r>
        <w:rPr>
          <w:rFonts w:hint="eastAsia" w:ascii="宋体" w:hAnsi="宋体" w:eastAsia="宋体" w:cs="宋体"/>
          <w:sz w:val="21"/>
          <w:highlight w:val="none"/>
        </w:rPr>
        <w:t xml:space="preserve">全部由外国投资者投资  </w:t>
      </w:r>
      <w:r>
        <w:rPr>
          <w:rFonts w:hint="eastAsia" w:ascii="宋体" w:hAnsi="宋体" w:eastAsia="宋体" w:cs="宋体"/>
          <w:iCs/>
          <w:sz w:val="21"/>
          <w:highlight w:val="none"/>
        </w:rPr>
        <w:sym w:font="Wingdings" w:char="00A8"/>
      </w:r>
      <w:r>
        <w:rPr>
          <w:rFonts w:hint="eastAsia" w:ascii="宋体" w:hAnsi="宋体" w:eastAsia="宋体" w:cs="宋体"/>
          <w:iCs/>
          <w:sz w:val="21"/>
          <w:highlight w:val="none"/>
        </w:rPr>
        <w:t>部分由外国投资者投资</w:t>
      </w:r>
    </w:p>
    <w:p w14:paraId="4706A61C">
      <w:pPr>
        <w:adjustRightInd w:val="0"/>
        <w:snapToGrid w:val="0"/>
        <w:spacing w:line="400" w:lineRule="exact"/>
        <w:ind w:firstLine="420" w:firstLineChars="200"/>
        <w:rPr>
          <w:rFonts w:ascii="宋体" w:hAnsi="宋体" w:cs="宋体"/>
          <w:szCs w:val="21"/>
          <w:highlight w:val="none"/>
        </w:rPr>
      </w:pPr>
      <w:r>
        <w:rPr>
          <w:rFonts w:hint="eastAsia" w:ascii="宋体" w:hAnsi="宋体" w:cs="宋体"/>
          <w:szCs w:val="21"/>
          <w:highlight w:val="none"/>
        </w:rPr>
        <w:t>（</w:t>
      </w:r>
      <w:r>
        <w:rPr>
          <w:rFonts w:ascii="宋体" w:hAnsi="宋体" w:cs="宋体"/>
          <w:szCs w:val="21"/>
          <w:highlight w:val="none"/>
          <w:lang w:val="en"/>
        </w:rPr>
        <w:t>9</w:t>
      </w:r>
      <w:r>
        <w:rPr>
          <w:rFonts w:hint="eastAsia" w:ascii="宋体" w:hAnsi="宋体" w:cs="宋体"/>
          <w:szCs w:val="21"/>
          <w:highlight w:val="none"/>
        </w:rPr>
        <w:t>）是否涉及进口产品：</w:t>
      </w:r>
    </w:p>
    <w:p w14:paraId="6C3D0143">
      <w:pPr>
        <w:adjustRightInd w:val="0"/>
        <w:snapToGrid w:val="0"/>
        <w:spacing w:line="400" w:lineRule="exact"/>
        <w:ind w:firstLine="840" w:firstLineChars="400"/>
        <w:rPr>
          <w:rFonts w:ascii="宋体" w:hAnsi="宋体" w:cs="宋体"/>
          <w:szCs w:val="21"/>
          <w:highlight w:val="none"/>
          <w:u w:val="single"/>
        </w:rPr>
      </w:pPr>
      <w:r>
        <w:rPr>
          <w:rFonts w:hint="eastAsia" w:ascii="宋体" w:hAnsi="宋体" w:cs="宋体"/>
          <w:szCs w:val="21"/>
          <w:highlight w:val="none"/>
        </w:rPr>
        <w:t xml:space="preserve"> </w:t>
      </w:r>
      <w:r>
        <w:rPr>
          <w:rFonts w:hint="eastAsia" w:ascii="宋体" w:hAnsi="宋体" w:cs="宋体"/>
          <w:szCs w:val="21"/>
          <w:highlight w:val="none"/>
        </w:rPr>
        <w:sym w:font="Wingdings" w:char="00A8"/>
      </w:r>
      <w:r>
        <w:rPr>
          <w:rFonts w:hint="eastAsia" w:ascii="宋体" w:hAnsi="宋体" w:cs="宋体"/>
          <w:szCs w:val="21"/>
          <w:highlight w:val="none"/>
        </w:rPr>
        <w:t>是，《政府采购品目分类目录》底级品目名称：</w:t>
      </w:r>
      <w:r>
        <w:rPr>
          <w:rFonts w:hint="eastAsia" w:ascii="宋体" w:hAnsi="宋体" w:cs="宋体"/>
          <w:szCs w:val="21"/>
          <w:highlight w:val="none"/>
          <w:u w:val="single"/>
        </w:rPr>
        <w:t xml:space="preserve">         </w:t>
      </w:r>
      <w:r>
        <w:rPr>
          <w:rFonts w:hint="eastAsia" w:ascii="宋体" w:hAnsi="宋体" w:cs="宋体"/>
          <w:szCs w:val="21"/>
          <w:highlight w:val="none"/>
        </w:rPr>
        <w:t xml:space="preserve"> 金额：</w:t>
      </w:r>
      <w:r>
        <w:rPr>
          <w:rFonts w:hint="eastAsia" w:ascii="宋体" w:hAnsi="宋体" w:cs="宋体"/>
          <w:szCs w:val="21"/>
          <w:highlight w:val="none"/>
          <w:u w:val="single"/>
        </w:rPr>
        <w:t xml:space="preserve">        </w:t>
      </w:r>
    </w:p>
    <w:p w14:paraId="0D015141">
      <w:pPr>
        <w:adjustRightInd w:val="0"/>
        <w:snapToGrid w:val="0"/>
        <w:spacing w:line="400" w:lineRule="exact"/>
        <w:ind w:firstLine="840" w:firstLineChars="400"/>
        <w:rPr>
          <w:rFonts w:ascii="宋体" w:hAnsi="宋体"/>
          <w:szCs w:val="21"/>
          <w:highlight w:val="none"/>
        </w:rPr>
      </w:pPr>
      <w:r>
        <w:rPr>
          <w:rFonts w:hint="eastAsia" w:ascii="宋体" w:hAnsi="宋体" w:cs="宋体"/>
          <w:szCs w:val="21"/>
          <w:highlight w:val="none"/>
        </w:rPr>
        <w:t xml:space="preserve">        国别：</w:t>
      </w:r>
      <w:r>
        <w:rPr>
          <w:rFonts w:hint="eastAsia" w:ascii="宋体" w:hAnsi="宋体" w:cs="宋体"/>
          <w:szCs w:val="21"/>
          <w:highlight w:val="none"/>
          <w:u w:val="single"/>
        </w:rPr>
        <w:t xml:space="preserve">        </w:t>
      </w:r>
      <w:r>
        <w:rPr>
          <w:rFonts w:hint="eastAsia" w:ascii="宋体" w:hAnsi="宋体" w:cs="宋体"/>
          <w:szCs w:val="21"/>
          <w:highlight w:val="none"/>
        </w:rPr>
        <w:t xml:space="preserve"> 品牌：</w:t>
      </w:r>
      <w:r>
        <w:rPr>
          <w:rFonts w:hint="eastAsia" w:ascii="宋体" w:hAnsi="宋体" w:cs="宋体"/>
          <w:szCs w:val="21"/>
          <w:highlight w:val="none"/>
          <w:u w:val="single"/>
        </w:rPr>
        <w:t xml:space="preserve">        </w:t>
      </w:r>
      <w:r>
        <w:rPr>
          <w:rFonts w:hint="eastAsia" w:ascii="宋体" w:hAnsi="宋体" w:cs="宋体"/>
          <w:szCs w:val="21"/>
          <w:highlight w:val="none"/>
        </w:rPr>
        <w:t xml:space="preserve"> 规格型号：</w:t>
      </w:r>
      <w:r>
        <w:rPr>
          <w:rFonts w:hint="eastAsia" w:ascii="宋体" w:hAnsi="宋体" w:cs="宋体"/>
          <w:szCs w:val="21"/>
          <w:highlight w:val="none"/>
          <w:u w:val="single"/>
        </w:rPr>
        <w:t xml:space="preserve">        </w:t>
      </w:r>
      <w:r>
        <w:rPr>
          <w:rFonts w:hint="eastAsia" w:ascii="宋体" w:hAnsi="宋体"/>
          <w:szCs w:val="21"/>
          <w:highlight w:val="none"/>
        </w:rPr>
        <w:t xml:space="preserve">      </w:t>
      </w:r>
    </w:p>
    <w:p w14:paraId="6E3518D1">
      <w:pPr>
        <w:adjustRightInd w:val="0"/>
        <w:snapToGrid w:val="0"/>
        <w:spacing w:line="400" w:lineRule="exact"/>
        <w:ind w:firstLine="840" w:firstLineChars="400"/>
        <w:rPr>
          <w:rFonts w:ascii="宋体" w:hAnsi="宋体"/>
          <w:szCs w:val="21"/>
          <w:highlight w:val="none"/>
        </w:rPr>
      </w:pPr>
      <w:r>
        <w:rPr>
          <w:rFonts w:hint="eastAsia" w:ascii="宋体" w:hAnsi="宋体"/>
          <w:szCs w:val="21"/>
          <w:highlight w:val="none"/>
        </w:rPr>
        <w:t xml:space="preserve"> </w:t>
      </w:r>
      <w:r>
        <w:rPr>
          <w:rFonts w:hint="eastAsia" w:ascii="宋体" w:hAnsi="宋体"/>
          <w:szCs w:val="21"/>
          <w:highlight w:val="none"/>
        </w:rPr>
        <w:sym w:font="Wingdings" w:char="00FE"/>
      </w:r>
      <w:r>
        <w:rPr>
          <w:rFonts w:hint="eastAsia" w:ascii="宋体" w:hAnsi="宋体"/>
          <w:szCs w:val="21"/>
          <w:highlight w:val="none"/>
        </w:rPr>
        <w:t>否</w:t>
      </w:r>
    </w:p>
    <w:p w14:paraId="18DEA518">
      <w:pPr>
        <w:tabs>
          <w:tab w:val="left" w:pos="740"/>
        </w:tabs>
        <w:adjustRightInd w:val="0"/>
        <w:snapToGrid w:val="0"/>
        <w:spacing w:line="400" w:lineRule="exact"/>
        <w:rPr>
          <w:rFonts w:ascii="宋体" w:hAnsi="宋体"/>
          <w:szCs w:val="21"/>
          <w:highlight w:val="none"/>
        </w:rPr>
      </w:pPr>
      <w:r>
        <w:rPr>
          <w:rFonts w:hint="eastAsia" w:ascii="宋体" w:hAnsi="宋体"/>
          <w:szCs w:val="21"/>
          <w:highlight w:val="none"/>
        </w:rPr>
        <w:t xml:space="preserve">    （1</w:t>
      </w:r>
      <w:r>
        <w:rPr>
          <w:rFonts w:ascii="宋体" w:hAnsi="宋体"/>
          <w:szCs w:val="21"/>
          <w:highlight w:val="none"/>
          <w:lang w:val="en"/>
        </w:rPr>
        <w:t>0</w:t>
      </w:r>
      <w:r>
        <w:rPr>
          <w:rFonts w:hint="eastAsia" w:ascii="宋体" w:hAnsi="宋体"/>
          <w:szCs w:val="21"/>
          <w:highlight w:val="none"/>
        </w:rPr>
        <w:t>）是否涉及节能产品：</w:t>
      </w:r>
    </w:p>
    <w:p w14:paraId="216A0FB7">
      <w:pPr>
        <w:tabs>
          <w:tab w:val="left" w:pos="740"/>
        </w:tabs>
        <w:adjustRightInd w:val="0"/>
        <w:snapToGrid w:val="0"/>
        <w:spacing w:line="400" w:lineRule="exact"/>
        <w:rPr>
          <w:rFonts w:ascii="宋体" w:hAnsi="宋体"/>
          <w:iCs/>
          <w:szCs w:val="21"/>
          <w:highlight w:val="none"/>
        </w:rPr>
      </w:pPr>
      <w:r>
        <w:rPr>
          <w:rFonts w:hint="eastAsia" w:ascii="宋体" w:hAnsi="宋体"/>
          <w:szCs w:val="21"/>
          <w:highlight w:val="none"/>
        </w:rPr>
        <w:t xml:space="preserve">         </w:t>
      </w:r>
      <w:r>
        <w:rPr>
          <w:rFonts w:hint="eastAsia" w:ascii="宋体" w:hAnsi="宋体"/>
          <w:szCs w:val="21"/>
          <w:highlight w:val="none"/>
        </w:rPr>
        <w:sym w:font="Wingdings" w:char="00FE"/>
      </w:r>
      <w:r>
        <w:rPr>
          <w:rFonts w:hint="eastAsia" w:ascii="宋体" w:hAnsi="宋体"/>
          <w:szCs w:val="21"/>
          <w:highlight w:val="none"/>
        </w:rPr>
        <w:t>是，《节能产品政府采购品目清单》的底级品目名称：</w:t>
      </w:r>
      <w:r>
        <w:rPr>
          <w:rFonts w:hint="eastAsia" w:ascii="宋体" w:hAnsi="宋体"/>
          <w:szCs w:val="21"/>
          <w:highlight w:val="none"/>
          <w:u w:val="single"/>
        </w:rPr>
        <w:t xml:space="preserve">         </w:t>
      </w:r>
      <w:r>
        <w:rPr>
          <w:rFonts w:hint="eastAsia" w:ascii="宋体" w:hAnsi="宋体"/>
          <w:iCs/>
          <w:szCs w:val="21"/>
          <w:highlight w:val="none"/>
        </w:rPr>
        <w:t xml:space="preserve">     </w:t>
      </w:r>
    </w:p>
    <w:p w14:paraId="4B1BE325">
      <w:pPr>
        <w:tabs>
          <w:tab w:val="left" w:pos="740"/>
        </w:tabs>
        <w:adjustRightInd w:val="0"/>
        <w:snapToGrid w:val="0"/>
        <w:spacing w:line="400" w:lineRule="exact"/>
        <w:rPr>
          <w:rFonts w:ascii="宋体" w:hAnsi="宋体"/>
          <w:iCs/>
          <w:szCs w:val="21"/>
          <w:highlight w:val="none"/>
        </w:rPr>
      </w:pPr>
      <w:r>
        <w:rPr>
          <w:rFonts w:hint="eastAsia" w:ascii="宋体" w:hAnsi="宋体"/>
          <w:iCs/>
          <w:szCs w:val="21"/>
          <w:highlight w:val="none"/>
        </w:rPr>
        <w:t xml:space="preserve">                </w:t>
      </w:r>
      <w:r>
        <w:rPr>
          <w:rFonts w:hint="eastAsia" w:ascii="宋体" w:hAnsi="宋体"/>
          <w:iCs/>
          <w:szCs w:val="21"/>
          <w:highlight w:val="none"/>
        </w:rPr>
        <w:sym w:font="Wingdings" w:char="00A8"/>
      </w:r>
      <w:r>
        <w:rPr>
          <w:rFonts w:hint="eastAsia" w:ascii="宋体" w:hAnsi="宋体"/>
          <w:iCs/>
          <w:szCs w:val="21"/>
          <w:highlight w:val="none"/>
        </w:rPr>
        <w:t xml:space="preserve">强制采购       </w:t>
      </w:r>
      <w:r>
        <w:rPr>
          <w:rFonts w:hint="eastAsia" w:ascii="宋体" w:hAnsi="宋体"/>
          <w:iCs/>
          <w:szCs w:val="21"/>
          <w:highlight w:val="none"/>
        </w:rPr>
        <w:sym w:font="Wingdings" w:char="00FE"/>
      </w:r>
      <w:r>
        <w:rPr>
          <w:rFonts w:hint="eastAsia" w:ascii="宋体" w:hAnsi="宋体"/>
          <w:iCs/>
          <w:szCs w:val="21"/>
          <w:highlight w:val="none"/>
        </w:rPr>
        <w:t xml:space="preserve">优先采购    </w:t>
      </w:r>
    </w:p>
    <w:p w14:paraId="15E58BF5">
      <w:pPr>
        <w:tabs>
          <w:tab w:val="left" w:pos="740"/>
        </w:tabs>
        <w:adjustRightInd w:val="0"/>
        <w:snapToGrid w:val="0"/>
        <w:spacing w:line="400" w:lineRule="exact"/>
        <w:rPr>
          <w:rFonts w:ascii="宋体" w:hAnsi="宋体"/>
          <w:szCs w:val="21"/>
          <w:highlight w:val="none"/>
        </w:rPr>
      </w:pPr>
      <w:r>
        <w:rPr>
          <w:rFonts w:hint="eastAsia" w:ascii="宋体" w:hAnsi="宋体"/>
          <w:iCs/>
          <w:szCs w:val="21"/>
          <w:highlight w:val="none"/>
        </w:rPr>
        <w:t xml:space="preserve">         </w:t>
      </w:r>
      <w:r>
        <w:rPr>
          <w:rFonts w:hint="eastAsia" w:ascii="宋体" w:hAnsi="宋体"/>
          <w:szCs w:val="21"/>
          <w:highlight w:val="none"/>
        </w:rPr>
        <w:sym w:font="Wingdings" w:char="00A8"/>
      </w:r>
      <w:r>
        <w:rPr>
          <w:rFonts w:hint="eastAsia" w:ascii="宋体" w:hAnsi="宋体"/>
          <w:szCs w:val="21"/>
          <w:highlight w:val="none"/>
        </w:rPr>
        <w:t>否</w:t>
      </w:r>
    </w:p>
    <w:p w14:paraId="0C8990F6">
      <w:pPr>
        <w:tabs>
          <w:tab w:val="left" w:pos="740"/>
        </w:tabs>
        <w:adjustRightInd w:val="0"/>
        <w:snapToGrid w:val="0"/>
        <w:spacing w:line="400" w:lineRule="exact"/>
        <w:rPr>
          <w:rFonts w:ascii="宋体" w:hAnsi="宋体"/>
          <w:szCs w:val="21"/>
          <w:highlight w:val="none"/>
        </w:rPr>
      </w:pPr>
      <w:r>
        <w:rPr>
          <w:rFonts w:hint="eastAsia" w:ascii="宋体" w:hAnsi="宋体"/>
          <w:szCs w:val="21"/>
          <w:highlight w:val="none"/>
        </w:rPr>
        <w:t xml:space="preserve">          是否涉及环境标志产品：</w:t>
      </w:r>
    </w:p>
    <w:p w14:paraId="326AE877">
      <w:pPr>
        <w:tabs>
          <w:tab w:val="left" w:pos="740"/>
        </w:tabs>
        <w:adjustRightInd w:val="0"/>
        <w:snapToGrid w:val="0"/>
        <w:spacing w:line="400" w:lineRule="exact"/>
        <w:rPr>
          <w:rFonts w:ascii="宋体" w:hAnsi="宋体"/>
          <w:szCs w:val="21"/>
          <w:highlight w:val="none"/>
        </w:rPr>
      </w:pPr>
      <w:r>
        <w:rPr>
          <w:rFonts w:hint="eastAsia" w:ascii="宋体" w:hAnsi="宋体"/>
          <w:szCs w:val="21"/>
          <w:highlight w:val="none"/>
        </w:rPr>
        <w:t xml:space="preserve">         </w:t>
      </w:r>
      <w:r>
        <w:rPr>
          <w:rFonts w:hint="eastAsia" w:ascii="宋体" w:hAnsi="宋体"/>
          <w:szCs w:val="21"/>
          <w:highlight w:val="none"/>
        </w:rPr>
        <w:sym w:font="Wingdings" w:char="00FE"/>
      </w:r>
      <w:r>
        <w:rPr>
          <w:rFonts w:hint="eastAsia" w:ascii="宋体" w:hAnsi="宋体"/>
          <w:szCs w:val="21"/>
          <w:highlight w:val="none"/>
        </w:rPr>
        <w:t>是，《环境标志产品政府采购品目清单》的底级品目名称：</w:t>
      </w:r>
      <w:r>
        <w:rPr>
          <w:rFonts w:hint="eastAsia" w:ascii="宋体" w:hAnsi="宋体"/>
          <w:szCs w:val="21"/>
          <w:highlight w:val="none"/>
          <w:u w:val="single"/>
        </w:rPr>
        <w:t xml:space="preserve">         </w:t>
      </w:r>
      <w:r>
        <w:rPr>
          <w:rFonts w:hint="eastAsia" w:ascii="宋体" w:hAnsi="宋体"/>
          <w:iCs/>
          <w:szCs w:val="21"/>
          <w:highlight w:val="none"/>
        </w:rPr>
        <w:t xml:space="preserve"> </w:t>
      </w:r>
    </w:p>
    <w:p w14:paraId="6870CE3C">
      <w:pPr>
        <w:tabs>
          <w:tab w:val="left" w:pos="740"/>
        </w:tabs>
        <w:adjustRightInd w:val="0"/>
        <w:snapToGrid w:val="0"/>
        <w:spacing w:line="400" w:lineRule="exact"/>
        <w:rPr>
          <w:rFonts w:ascii="宋体" w:hAnsi="宋体"/>
          <w:iCs/>
          <w:szCs w:val="21"/>
          <w:highlight w:val="none"/>
        </w:rPr>
      </w:pPr>
      <w:r>
        <w:rPr>
          <w:rFonts w:hint="eastAsia" w:ascii="宋体" w:hAnsi="宋体"/>
          <w:iCs/>
          <w:szCs w:val="21"/>
          <w:highlight w:val="none"/>
        </w:rPr>
        <w:t xml:space="preserve">                </w:t>
      </w:r>
      <w:r>
        <w:rPr>
          <w:rFonts w:hint="eastAsia" w:ascii="宋体" w:hAnsi="宋体"/>
          <w:iCs/>
          <w:szCs w:val="21"/>
          <w:highlight w:val="none"/>
        </w:rPr>
        <w:sym w:font="Wingdings" w:char="00A8"/>
      </w:r>
      <w:r>
        <w:rPr>
          <w:rFonts w:hint="eastAsia" w:ascii="宋体" w:hAnsi="宋体"/>
          <w:iCs/>
          <w:szCs w:val="21"/>
          <w:highlight w:val="none"/>
        </w:rPr>
        <w:t xml:space="preserve">强制采购       </w:t>
      </w:r>
      <w:r>
        <w:rPr>
          <w:rFonts w:hint="eastAsia" w:ascii="宋体" w:hAnsi="宋体"/>
          <w:iCs/>
          <w:szCs w:val="21"/>
          <w:highlight w:val="none"/>
        </w:rPr>
        <w:sym w:font="Wingdings" w:char="00FE"/>
      </w:r>
      <w:r>
        <w:rPr>
          <w:rFonts w:hint="eastAsia" w:ascii="宋体" w:hAnsi="宋体"/>
          <w:iCs/>
          <w:szCs w:val="21"/>
          <w:highlight w:val="none"/>
        </w:rPr>
        <w:t xml:space="preserve">优先采购    </w:t>
      </w:r>
    </w:p>
    <w:p w14:paraId="02E4F763">
      <w:pPr>
        <w:tabs>
          <w:tab w:val="left" w:pos="740"/>
        </w:tabs>
        <w:adjustRightInd w:val="0"/>
        <w:snapToGrid w:val="0"/>
        <w:spacing w:line="400" w:lineRule="exact"/>
        <w:rPr>
          <w:rFonts w:ascii="宋体" w:hAnsi="宋体"/>
          <w:szCs w:val="21"/>
          <w:highlight w:val="none"/>
        </w:rPr>
      </w:pPr>
      <w:r>
        <w:rPr>
          <w:rFonts w:hint="eastAsia" w:ascii="宋体" w:hAnsi="宋体"/>
          <w:iCs/>
          <w:szCs w:val="21"/>
          <w:highlight w:val="none"/>
        </w:rPr>
        <w:t xml:space="preserve">         </w:t>
      </w:r>
      <w:r>
        <w:rPr>
          <w:rFonts w:hint="eastAsia" w:ascii="宋体" w:hAnsi="宋体"/>
          <w:szCs w:val="21"/>
          <w:highlight w:val="none"/>
        </w:rPr>
        <w:sym w:font="Wingdings" w:char="00A8"/>
      </w:r>
      <w:r>
        <w:rPr>
          <w:rFonts w:hint="eastAsia" w:ascii="宋体" w:hAnsi="宋体"/>
          <w:szCs w:val="21"/>
          <w:highlight w:val="none"/>
        </w:rPr>
        <w:t>否</w:t>
      </w:r>
    </w:p>
    <w:p w14:paraId="2BA2388C">
      <w:pPr>
        <w:pStyle w:val="64"/>
        <w:snapToGrid w:val="0"/>
        <w:ind w:firstLine="0" w:firstLineChars="0"/>
        <w:rPr>
          <w:rFonts w:ascii="宋体" w:hAnsi="宋体" w:eastAsia="宋体" w:cs="Times New Roman"/>
          <w:kern w:val="2"/>
          <w:sz w:val="21"/>
          <w:highlight w:val="none"/>
        </w:rPr>
      </w:pPr>
      <w:r>
        <w:rPr>
          <w:rFonts w:hint="eastAsia" w:ascii="宋体" w:hAnsi="宋体"/>
          <w:sz w:val="21"/>
          <w:highlight w:val="none"/>
        </w:rPr>
        <w:t xml:space="preserve">          </w:t>
      </w:r>
      <w:r>
        <w:rPr>
          <w:rFonts w:hint="eastAsia" w:ascii="宋体" w:hAnsi="宋体" w:eastAsia="宋体" w:cs="Times New Roman"/>
          <w:kern w:val="2"/>
          <w:sz w:val="21"/>
          <w:highlight w:val="none"/>
        </w:rPr>
        <w:t xml:space="preserve">是否涉及绿色产品： </w:t>
      </w:r>
    </w:p>
    <w:p w14:paraId="7281670E">
      <w:pPr>
        <w:pStyle w:val="64"/>
        <w:ind w:firstLine="420" w:firstLineChars="0"/>
        <w:rPr>
          <w:rFonts w:ascii="宋体" w:hAnsi="宋体" w:eastAsia="宋体"/>
          <w:sz w:val="21"/>
          <w:highlight w:val="none"/>
          <w:u w:val="single"/>
        </w:rPr>
      </w:pPr>
      <w:r>
        <w:rPr>
          <w:rFonts w:hint="eastAsia" w:ascii="宋体" w:hAnsi="宋体" w:eastAsia="宋体" w:cs="Times New Roman"/>
          <w:kern w:val="2"/>
          <w:sz w:val="21"/>
          <w:highlight w:val="none"/>
        </w:rPr>
        <w:t xml:space="preserve">     </w:t>
      </w:r>
      <w:r>
        <w:rPr>
          <w:rFonts w:hint="eastAsia" w:ascii="宋体" w:hAnsi="宋体" w:eastAsia="宋体" w:cs="Times New Roman"/>
          <w:kern w:val="2"/>
          <w:sz w:val="21"/>
          <w:highlight w:val="none"/>
        </w:rPr>
        <w:sym w:font="Wingdings" w:char="00A8"/>
      </w:r>
      <w:r>
        <w:rPr>
          <w:rFonts w:hint="eastAsia" w:ascii="宋体" w:hAnsi="宋体" w:eastAsia="宋体" w:cs="Times New Roman"/>
          <w:kern w:val="2"/>
          <w:sz w:val="21"/>
          <w:highlight w:val="none"/>
        </w:rPr>
        <w:t>是，绿色产品政府采购相关政策确定的底级品目名称：</w:t>
      </w:r>
      <w:r>
        <w:rPr>
          <w:rFonts w:hint="eastAsia" w:ascii="宋体" w:hAnsi="宋体" w:eastAsia="宋体"/>
          <w:sz w:val="21"/>
          <w:highlight w:val="none"/>
          <w:u w:val="single"/>
        </w:rPr>
        <w:t xml:space="preserve">         </w:t>
      </w:r>
    </w:p>
    <w:p w14:paraId="73E1F699">
      <w:pPr>
        <w:tabs>
          <w:tab w:val="left" w:pos="740"/>
        </w:tabs>
        <w:adjustRightInd w:val="0"/>
        <w:snapToGrid w:val="0"/>
        <w:spacing w:line="400" w:lineRule="exact"/>
        <w:rPr>
          <w:rFonts w:ascii="宋体" w:hAnsi="宋体"/>
          <w:iCs/>
          <w:szCs w:val="21"/>
          <w:highlight w:val="none"/>
        </w:rPr>
      </w:pPr>
      <w:r>
        <w:rPr>
          <w:rFonts w:hint="eastAsia" w:ascii="宋体" w:hAnsi="宋体"/>
          <w:iCs/>
          <w:szCs w:val="21"/>
          <w:highlight w:val="none"/>
        </w:rPr>
        <w:t xml:space="preserve">                </w:t>
      </w:r>
      <w:r>
        <w:rPr>
          <w:rFonts w:hint="eastAsia" w:ascii="宋体" w:hAnsi="宋体"/>
          <w:iCs/>
          <w:szCs w:val="21"/>
          <w:highlight w:val="none"/>
        </w:rPr>
        <w:sym w:font="Wingdings" w:char="00A8"/>
      </w:r>
      <w:r>
        <w:rPr>
          <w:rFonts w:hint="eastAsia" w:ascii="宋体" w:hAnsi="宋体"/>
          <w:iCs/>
          <w:szCs w:val="21"/>
          <w:highlight w:val="none"/>
        </w:rPr>
        <w:t xml:space="preserve">强制采购       </w:t>
      </w:r>
      <w:r>
        <w:rPr>
          <w:rFonts w:hint="eastAsia" w:ascii="宋体" w:hAnsi="宋体"/>
          <w:iCs/>
          <w:szCs w:val="21"/>
          <w:highlight w:val="none"/>
        </w:rPr>
        <w:sym w:font="Wingdings" w:char="00A8"/>
      </w:r>
      <w:r>
        <w:rPr>
          <w:rFonts w:hint="eastAsia" w:ascii="宋体" w:hAnsi="宋体"/>
          <w:iCs/>
          <w:szCs w:val="21"/>
          <w:highlight w:val="none"/>
        </w:rPr>
        <w:t xml:space="preserve">优先采购    </w:t>
      </w:r>
    </w:p>
    <w:p w14:paraId="442BE36D">
      <w:pPr>
        <w:pStyle w:val="64"/>
        <w:ind w:firstLine="420" w:firstLineChars="0"/>
        <w:rPr>
          <w:rFonts w:ascii="宋体" w:hAnsi="宋体"/>
          <w:sz w:val="21"/>
          <w:highlight w:val="none"/>
        </w:rPr>
      </w:pPr>
      <w:r>
        <w:rPr>
          <w:rFonts w:hint="eastAsia" w:ascii="宋体" w:hAnsi="宋体" w:eastAsia="宋体" w:cs="Times New Roman"/>
          <w:kern w:val="2"/>
          <w:sz w:val="21"/>
          <w:highlight w:val="none"/>
        </w:rPr>
        <w:t xml:space="preserve">     </w:t>
      </w:r>
      <w:r>
        <w:rPr>
          <w:rFonts w:hint="eastAsia" w:ascii="宋体" w:hAnsi="宋体" w:eastAsia="宋体" w:cs="Times New Roman"/>
          <w:kern w:val="2"/>
          <w:sz w:val="21"/>
          <w:highlight w:val="none"/>
        </w:rPr>
        <w:sym w:font="Wingdings" w:char="00A8"/>
      </w:r>
      <w:r>
        <w:rPr>
          <w:rFonts w:hint="eastAsia" w:ascii="宋体" w:hAnsi="宋体" w:eastAsia="宋体" w:cs="Times New Roman"/>
          <w:kern w:val="2"/>
          <w:sz w:val="21"/>
          <w:highlight w:val="none"/>
        </w:rPr>
        <w:t>否</w:t>
      </w:r>
    </w:p>
    <w:p w14:paraId="03FD5CF7">
      <w:pPr>
        <w:adjustRightInd w:val="0"/>
        <w:snapToGrid w:val="0"/>
        <w:spacing w:line="400" w:lineRule="exact"/>
        <w:rPr>
          <w:rFonts w:ascii="宋体" w:hAnsi="宋体"/>
          <w:szCs w:val="21"/>
          <w:highlight w:val="none"/>
        </w:rPr>
      </w:pPr>
      <w:r>
        <w:rPr>
          <w:rFonts w:hint="eastAsia" w:ascii="宋体" w:hAnsi="宋体"/>
          <w:szCs w:val="21"/>
          <w:highlight w:val="none"/>
        </w:rPr>
        <w:t xml:space="preserve">    （1</w:t>
      </w:r>
      <w:r>
        <w:rPr>
          <w:rFonts w:ascii="宋体" w:hAnsi="宋体"/>
          <w:szCs w:val="21"/>
          <w:highlight w:val="none"/>
          <w:lang w:val="en"/>
        </w:rPr>
        <w:t>1</w:t>
      </w:r>
      <w:r>
        <w:rPr>
          <w:rFonts w:hint="eastAsia" w:ascii="宋体" w:hAnsi="宋体"/>
          <w:szCs w:val="21"/>
          <w:highlight w:val="none"/>
        </w:rPr>
        <w:t>）涉及商品包装和快递包装的，是否参考《商品包装政府采购需求标准（试行）》、《快递包装政府采购需求标准（试行）》明确产品及相关快递服务的具体包装要求：</w:t>
      </w:r>
    </w:p>
    <w:p w14:paraId="0B89DA5A">
      <w:pPr>
        <w:adjustRightInd w:val="0"/>
        <w:snapToGrid w:val="0"/>
        <w:spacing w:line="400" w:lineRule="exact"/>
        <w:ind w:firstLine="840" w:firstLineChars="400"/>
        <w:rPr>
          <w:rFonts w:ascii="宋体" w:hAnsi="宋体"/>
          <w:szCs w:val="21"/>
          <w:highlight w:val="none"/>
        </w:rPr>
      </w:pPr>
      <w:r>
        <w:rPr>
          <w:rFonts w:hint="eastAsia" w:ascii="宋体" w:hAnsi="宋体"/>
          <w:szCs w:val="21"/>
          <w:highlight w:val="none"/>
        </w:rPr>
        <w:sym w:font="Wingdings" w:char="00A8"/>
      </w:r>
      <w:r>
        <w:rPr>
          <w:rFonts w:hint="eastAsia" w:ascii="宋体" w:hAnsi="宋体"/>
          <w:szCs w:val="21"/>
          <w:highlight w:val="none"/>
        </w:rPr>
        <w:t xml:space="preserve">是       </w:t>
      </w:r>
      <w:r>
        <w:rPr>
          <w:rFonts w:hint="eastAsia" w:ascii="宋体" w:hAnsi="宋体"/>
          <w:szCs w:val="21"/>
          <w:highlight w:val="none"/>
        </w:rPr>
        <w:sym w:font="Wingdings" w:char="00A8"/>
      </w:r>
      <w:r>
        <w:rPr>
          <w:rFonts w:hint="eastAsia" w:ascii="宋体" w:hAnsi="宋体"/>
          <w:szCs w:val="21"/>
          <w:highlight w:val="none"/>
        </w:rPr>
        <w:t xml:space="preserve">否      </w:t>
      </w:r>
      <w:r>
        <w:rPr>
          <w:rFonts w:hint="eastAsia" w:ascii="宋体" w:hAnsi="宋体"/>
          <w:szCs w:val="21"/>
          <w:highlight w:val="none"/>
        </w:rPr>
        <w:sym w:font="Wingdings" w:char="00A8"/>
      </w:r>
      <w:r>
        <w:rPr>
          <w:rFonts w:hint="eastAsia" w:ascii="宋体" w:hAnsi="宋体"/>
          <w:szCs w:val="21"/>
          <w:highlight w:val="none"/>
        </w:rPr>
        <w:t>不涉及</w:t>
      </w:r>
    </w:p>
    <w:p w14:paraId="0814F8AD">
      <w:pPr>
        <w:numPr>
          <w:ilvl w:val="0"/>
          <w:numId w:val="167"/>
        </w:numPr>
        <w:adjustRightInd w:val="0"/>
        <w:snapToGrid w:val="0"/>
        <w:spacing w:line="400" w:lineRule="exact"/>
        <w:ind w:firstLine="422" w:firstLineChars="200"/>
        <w:rPr>
          <w:rFonts w:ascii="宋体" w:hAnsi="宋体"/>
          <w:b/>
          <w:szCs w:val="21"/>
          <w:highlight w:val="none"/>
        </w:rPr>
      </w:pPr>
      <w:r>
        <w:rPr>
          <w:rFonts w:hint="eastAsia" w:ascii="宋体" w:hAnsi="宋体"/>
          <w:b/>
          <w:szCs w:val="21"/>
          <w:highlight w:val="none"/>
        </w:rPr>
        <w:t>合同金额</w:t>
      </w:r>
    </w:p>
    <w:p w14:paraId="439421F8">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（1）合同金额小写：</w:t>
      </w:r>
      <w:r>
        <w:rPr>
          <w:rFonts w:hint="eastAsia" w:ascii="宋体" w:hAnsi="宋体"/>
          <w:szCs w:val="21"/>
          <w:highlight w:val="none"/>
          <w:u w:val="single"/>
        </w:rPr>
        <w:t xml:space="preserve">                           </w:t>
      </w:r>
    </w:p>
    <w:p w14:paraId="3E7B46C3">
      <w:pPr>
        <w:adjustRightInd w:val="0"/>
        <w:snapToGrid w:val="0"/>
        <w:spacing w:line="400" w:lineRule="exact"/>
        <w:rPr>
          <w:rFonts w:ascii="宋体" w:hAnsi="宋体"/>
          <w:szCs w:val="21"/>
          <w:highlight w:val="none"/>
          <w:u w:val="single"/>
        </w:rPr>
      </w:pPr>
      <w:r>
        <w:rPr>
          <w:rFonts w:hint="eastAsia" w:ascii="宋体" w:hAnsi="宋体"/>
          <w:szCs w:val="21"/>
          <w:highlight w:val="none"/>
        </w:rPr>
        <w:t xml:space="preserve">                 大写：</w:t>
      </w:r>
      <w:r>
        <w:rPr>
          <w:rFonts w:hint="eastAsia" w:ascii="宋体" w:hAnsi="宋体"/>
          <w:szCs w:val="21"/>
          <w:highlight w:val="none"/>
          <w:u w:val="single"/>
        </w:rPr>
        <w:t xml:space="preserve">                           </w:t>
      </w:r>
    </w:p>
    <w:p w14:paraId="239DAB0A">
      <w:pPr>
        <w:adjustRightInd w:val="0"/>
        <w:snapToGrid w:val="0"/>
        <w:spacing w:line="400" w:lineRule="exact"/>
        <w:rPr>
          <w:rFonts w:ascii="宋体" w:hAnsi="宋体"/>
          <w:szCs w:val="21"/>
          <w:highlight w:val="none"/>
        </w:rPr>
      </w:pPr>
      <w:r>
        <w:rPr>
          <w:rFonts w:hint="eastAsia" w:ascii="宋体" w:hAnsi="宋体"/>
          <w:szCs w:val="21"/>
          <w:highlight w:val="none"/>
        </w:rPr>
        <w:t xml:space="preserve">         分包金额（如有）小写：</w:t>
      </w:r>
      <w:r>
        <w:rPr>
          <w:rFonts w:hint="eastAsia" w:ascii="宋体" w:hAnsi="宋体"/>
          <w:szCs w:val="21"/>
          <w:highlight w:val="none"/>
          <w:u w:val="single"/>
        </w:rPr>
        <w:t xml:space="preserve">                   </w:t>
      </w:r>
    </w:p>
    <w:p w14:paraId="758B341E">
      <w:pPr>
        <w:adjustRightInd w:val="0"/>
        <w:snapToGrid w:val="0"/>
        <w:spacing w:line="400" w:lineRule="exact"/>
        <w:rPr>
          <w:rFonts w:ascii="宋体" w:hAnsi="宋体"/>
          <w:szCs w:val="21"/>
          <w:highlight w:val="none"/>
          <w:u w:val="single"/>
        </w:rPr>
      </w:pPr>
      <w:r>
        <w:rPr>
          <w:rFonts w:hint="eastAsia" w:ascii="宋体" w:hAnsi="宋体"/>
          <w:szCs w:val="21"/>
          <w:highlight w:val="none"/>
        </w:rPr>
        <w:t xml:space="preserve">                         大写：</w:t>
      </w:r>
      <w:r>
        <w:rPr>
          <w:rFonts w:hint="eastAsia" w:ascii="宋体" w:hAnsi="宋体"/>
          <w:szCs w:val="21"/>
          <w:highlight w:val="none"/>
          <w:u w:val="single"/>
        </w:rPr>
        <w:t xml:space="preserve">                   </w:t>
      </w:r>
    </w:p>
    <w:p w14:paraId="52CCDBE2">
      <w:pPr>
        <w:adjustRightInd w:val="0"/>
        <w:snapToGrid w:val="0"/>
        <w:spacing w:line="400" w:lineRule="exact"/>
        <w:rPr>
          <w:rFonts w:ascii="宋体" w:hAnsi="宋体"/>
          <w:szCs w:val="21"/>
          <w:highlight w:val="none"/>
        </w:rPr>
      </w:pPr>
      <w:r>
        <w:rPr>
          <w:rFonts w:hint="eastAsia" w:ascii="宋体" w:hAnsi="宋体"/>
          <w:szCs w:val="21"/>
          <w:highlight w:val="none"/>
        </w:rPr>
        <w:t xml:space="preserve">    （注：固定单价合同应填写单价和最高限价）</w:t>
      </w:r>
    </w:p>
    <w:p w14:paraId="4554992E">
      <w:pPr>
        <w:adjustRightInd w:val="0"/>
        <w:snapToGrid w:val="0"/>
        <w:spacing w:line="400" w:lineRule="exact"/>
        <w:rPr>
          <w:rFonts w:ascii="宋体" w:hAnsi="宋体"/>
          <w:szCs w:val="21"/>
          <w:highlight w:val="none"/>
        </w:rPr>
      </w:pPr>
      <w:r>
        <w:rPr>
          <w:rFonts w:hint="eastAsia" w:ascii="宋体" w:hAnsi="宋体"/>
          <w:szCs w:val="21"/>
          <w:highlight w:val="none"/>
        </w:rPr>
        <w:t xml:space="preserve">    （2）合同定价方式（采用组合定价方式的，可以勾选多项）：</w:t>
      </w:r>
    </w:p>
    <w:p w14:paraId="6271AA47">
      <w:pPr>
        <w:adjustRightInd w:val="0"/>
        <w:snapToGrid w:val="0"/>
        <w:spacing w:line="400" w:lineRule="exact"/>
        <w:ind w:firstLine="420" w:firstLineChars="200"/>
        <w:rPr>
          <w:rFonts w:ascii="宋体" w:hAnsi="宋体"/>
          <w:szCs w:val="21"/>
          <w:highlight w:val="none"/>
        </w:rPr>
      </w:pPr>
      <w:r>
        <w:rPr>
          <w:rFonts w:hint="eastAsia" w:ascii="宋体" w:hAnsi="宋体"/>
          <w:iCs/>
          <w:szCs w:val="21"/>
          <w:highlight w:val="none"/>
        </w:rPr>
        <w:t xml:space="preserve">  </w:t>
      </w:r>
      <w:r>
        <w:rPr>
          <w:rFonts w:hint="eastAsia" w:ascii="宋体" w:hAnsi="宋体"/>
          <w:iCs/>
          <w:szCs w:val="21"/>
          <w:highlight w:val="none"/>
        </w:rPr>
        <w:sym w:font="Wingdings" w:char="00A8"/>
      </w:r>
      <w:r>
        <w:rPr>
          <w:rFonts w:hint="eastAsia" w:ascii="宋体" w:hAnsi="宋体"/>
          <w:iCs/>
          <w:szCs w:val="21"/>
          <w:highlight w:val="none"/>
        </w:rPr>
        <w:t xml:space="preserve">固定总价 </w:t>
      </w:r>
      <w:r>
        <w:rPr>
          <w:rFonts w:hint="eastAsia" w:ascii="宋体" w:hAnsi="宋体"/>
          <w:iCs/>
          <w:szCs w:val="21"/>
          <w:highlight w:val="none"/>
        </w:rPr>
        <w:sym w:font="Wingdings" w:char="00FE"/>
      </w:r>
      <w:r>
        <w:rPr>
          <w:rFonts w:hint="eastAsia" w:ascii="宋体" w:hAnsi="宋体"/>
          <w:iCs/>
          <w:szCs w:val="21"/>
          <w:highlight w:val="none"/>
        </w:rPr>
        <w:t xml:space="preserve">固定单价 </w:t>
      </w:r>
      <w:r>
        <w:rPr>
          <w:rFonts w:hint="eastAsia" w:ascii="宋体" w:hAnsi="宋体"/>
          <w:iCs/>
          <w:szCs w:val="21"/>
          <w:highlight w:val="none"/>
        </w:rPr>
        <w:sym w:font="Wingdings" w:char="00A8"/>
      </w:r>
      <w:r>
        <w:rPr>
          <w:rFonts w:hint="eastAsia" w:ascii="宋体" w:hAnsi="宋体"/>
          <w:iCs/>
          <w:szCs w:val="21"/>
          <w:highlight w:val="none"/>
        </w:rPr>
        <w:t xml:space="preserve">固定费率 </w:t>
      </w:r>
      <w:r>
        <w:rPr>
          <w:rFonts w:hint="eastAsia" w:ascii="宋体" w:hAnsi="宋体"/>
          <w:iCs/>
          <w:szCs w:val="21"/>
          <w:highlight w:val="none"/>
        </w:rPr>
        <w:sym w:font="Wingdings" w:char="00A8"/>
      </w:r>
      <w:r>
        <w:rPr>
          <w:rFonts w:hint="eastAsia" w:ascii="宋体" w:hAnsi="宋体"/>
          <w:iCs/>
          <w:szCs w:val="21"/>
          <w:highlight w:val="none"/>
        </w:rPr>
        <w:t xml:space="preserve">成本补偿 </w:t>
      </w:r>
      <w:r>
        <w:rPr>
          <w:rFonts w:hint="eastAsia" w:ascii="宋体" w:hAnsi="宋体"/>
          <w:iCs/>
          <w:szCs w:val="21"/>
          <w:highlight w:val="none"/>
        </w:rPr>
        <w:sym w:font="Wingdings" w:char="00A8"/>
      </w:r>
      <w:r>
        <w:rPr>
          <w:rFonts w:hint="eastAsia" w:ascii="宋体" w:hAnsi="宋体"/>
          <w:iCs/>
          <w:szCs w:val="21"/>
          <w:highlight w:val="none"/>
        </w:rPr>
        <w:t xml:space="preserve">绩效激励 </w:t>
      </w:r>
      <w:r>
        <w:rPr>
          <w:rFonts w:hint="eastAsia" w:ascii="宋体" w:hAnsi="宋体"/>
          <w:iCs/>
          <w:szCs w:val="21"/>
          <w:highlight w:val="none"/>
        </w:rPr>
        <w:sym w:font="Wingdings" w:char="00A8"/>
      </w:r>
      <w:r>
        <w:rPr>
          <w:rFonts w:hint="eastAsia" w:ascii="宋体" w:hAnsi="宋体"/>
          <w:iCs/>
          <w:szCs w:val="21"/>
          <w:highlight w:val="none"/>
        </w:rPr>
        <w:t>其他</w:t>
      </w:r>
      <w:r>
        <w:rPr>
          <w:rFonts w:hint="eastAsia" w:ascii="宋体" w:hAnsi="宋体"/>
          <w:szCs w:val="21"/>
          <w:highlight w:val="none"/>
          <w:u w:val="single"/>
        </w:rPr>
        <w:t xml:space="preserve">       </w:t>
      </w:r>
    </w:p>
    <w:p w14:paraId="1DEA37DD">
      <w:pPr>
        <w:pStyle w:val="69"/>
        <w:spacing w:line="400" w:lineRule="exact"/>
        <w:rPr>
          <w:szCs w:val="21"/>
          <w:highlight w:val="none"/>
        </w:rPr>
      </w:pPr>
      <w:r>
        <w:rPr>
          <w:rFonts w:hint="eastAsia" w:ascii="宋体" w:hAnsi="宋体"/>
          <w:szCs w:val="21"/>
          <w:highlight w:val="none"/>
        </w:rPr>
        <w:t>（3）付款方式（按项目实际勾选填写）：</w:t>
      </w:r>
    </w:p>
    <w:p w14:paraId="1006E107">
      <w:pPr>
        <w:adjustRightInd w:val="0"/>
        <w:snapToGrid w:val="0"/>
        <w:spacing w:line="400" w:lineRule="exact"/>
        <w:ind w:firstLine="630" w:firstLineChars="300"/>
        <w:rPr>
          <w:rFonts w:ascii="宋体" w:hAnsi="宋体"/>
          <w:szCs w:val="21"/>
          <w:highlight w:val="none"/>
          <w:u w:val="single"/>
        </w:rPr>
      </w:pPr>
      <w:r>
        <w:rPr>
          <w:rFonts w:hint="eastAsia" w:ascii="宋体" w:hAnsi="宋体"/>
          <w:szCs w:val="21"/>
          <w:highlight w:val="none"/>
        </w:rPr>
        <w:sym w:font="Wingdings" w:char="00A8"/>
      </w:r>
      <w:r>
        <w:rPr>
          <w:rFonts w:hint="eastAsia" w:ascii="宋体" w:hAnsi="宋体"/>
          <w:szCs w:val="21"/>
          <w:highlight w:val="none"/>
        </w:rPr>
        <w:t>全额付款：</w:t>
      </w:r>
      <w:r>
        <w:rPr>
          <w:rFonts w:hint="eastAsia" w:ascii="宋体" w:hAnsi="宋体"/>
          <w:szCs w:val="21"/>
          <w:highlight w:val="none"/>
          <w:u w:val="single"/>
        </w:rPr>
        <w:t xml:space="preserve">     （应明确一次性支付合同款项的条件）                    </w:t>
      </w:r>
    </w:p>
    <w:p w14:paraId="7ED2F928">
      <w:pPr>
        <w:snapToGrid w:val="0"/>
        <w:spacing w:line="400" w:lineRule="exact"/>
        <w:ind w:firstLine="630" w:firstLineChars="300"/>
        <w:rPr>
          <w:szCs w:val="21"/>
          <w:highlight w:val="none"/>
        </w:rPr>
      </w:pPr>
      <w:r>
        <w:rPr>
          <w:rFonts w:hint="eastAsia" w:ascii="宋体" w:hAnsi="宋体"/>
          <w:szCs w:val="21"/>
          <w:highlight w:val="none"/>
        </w:rPr>
        <w:sym w:font="Wingdings" w:char="00A8"/>
      </w:r>
      <w:r>
        <w:rPr>
          <w:rFonts w:hint="eastAsia" w:ascii="宋体" w:hAnsi="宋体"/>
          <w:szCs w:val="21"/>
          <w:highlight w:val="none"/>
        </w:rPr>
        <w:t>分期付款：</w:t>
      </w:r>
      <w:r>
        <w:rPr>
          <w:rFonts w:hint="eastAsia" w:ascii="宋体" w:hAnsi="宋体"/>
          <w:szCs w:val="21"/>
          <w:highlight w:val="none"/>
          <w:u w:val="single"/>
        </w:rPr>
        <w:t xml:space="preserve">  /</w:t>
      </w:r>
    </w:p>
    <w:p w14:paraId="5ADD132D">
      <w:pPr>
        <w:adjustRightInd w:val="0"/>
        <w:snapToGrid w:val="0"/>
        <w:spacing w:line="400" w:lineRule="exact"/>
        <w:ind w:firstLine="630" w:firstLineChars="300"/>
        <w:rPr>
          <w:rFonts w:ascii="宋体" w:hAnsi="宋体"/>
          <w:szCs w:val="21"/>
          <w:highlight w:val="none"/>
          <w:u w:val="single"/>
        </w:rPr>
      </w:pPr>
      <w:r>
        <w:rPr>
          <w:rFonts w:hint="eastAsia" w:ascii="宋体" w:hAnsi="宋体"/>
          <w:szCs w:val="21"/>
          <w:highlight w:val="none"/>
        </w:rPr>
        <w:sym w:font="Wingdings" w:char="00A8"/>
      </w:r>
      <w:r>
        <w:rPr>
          <w:rFonts w:hint="eastAsia" w:ascii="宋体" w:hAnsi="宋体"/>
          <w:szCs w:val="21"/>
          <w:highlight w:val="none"/>
        </w:rPr>
        <w:t>成本补偿：</w:t>
      </w:r>
      <w:r>
        <w:rPr>
          <w:rFonts w:hint="eastAsia" w:ascii="宋体" w:hAnsi="宋体"/>
          <w:szCs w:val="21"/>
          <w:highlight w:val="none"/>
          <w:u w:val="single"/>
        </w:rPr>
        <w:t xml:space="preserve">      （应明确按照成本补偿方式的支付方式和支付条件）   </w:t>
      </w:r>
    </w:p>
    <w:p w14:paraId="61D94A3C">
      <w:pPr>
        <w:adjustRightInd w:val="0"/>
        <w:snapToGrid w:val="0"/>
        <w:spacing w:line="400" w:lineRule="exact"/>
        <w:ind w:firstLine="630" w:firstLineChars="300"/>
        <w:rPr>
          <w:rFonts w:ascii="宋体" w:hAnsi="宋体"/>
          <w:szCs w:val="21"/>
          <w:highlight w:val="none"/>
        </w:rPr>
      </w:pPr>
      <w:r>
        <w:rPr>
          <w:rFonts w:hint="eastAsia" w:ascii="宋体" w:hAnsi="宋体"/>
          <w:szCs w:val="21"/>
          <w:highlight w:val="none"/>
        </w:rPr>
        <w:sym w:font="Wingdings" w:char="00A8"/>
      </w:r>
      <w:r>
        <w:rPr>
          <w:rFonts w:hint="eastAsia" w:ascii="宋体" w:hAnsi="宋体"/>
          <w:szCs w:val="21"/>
          <w:highlight w:val="none"/>
        </w:rPr>
        <w:t>绩效激励：</w:t>
      </w:r>
      <w:r>
        <w:rPr>
          <w:rFonts w:hint="eastAsia" w:ascii="宋体" w:hAnsi="宋体"/>
          <w:szCs w:val="21"/>
          <w:highlight w:val="none"/>
          <w:u w:val="single"/>
        </w:rPr>
        <w:t xml:space="preserve">      （应明确按照绩效激励方式的支付方式和支付条件）   </w:t>
      </w:r>
    </w:p>
    <w:p w14:paraId="799C0185">
      <w:pPr>
        <w:numPr>
          <w:ilvl w:val="0"/>
          <w:numId w:val="167"/>
        </w:numPr>
        <w:adjustRightInd w:val="0"/>
        <w:snapToGrid w:val="0"/>
        <w:spacing w:line="400" w:lineRule="exact"/>
        <w:ind w:firstLine="422" w:firstLineChars="200"/>
        <w:rPr>
          <w:rFonts w:ascii="宋体" w:hAnsi="宋体"/>
          <w:b/>
          <w:szCs w:val="21"/>
          <w:highlight w:val="none"/>
          <w:u w:val="single"/>
        </w:rPr>
      </w:pPr>
      <w:r>
        <w:rPr>
          <w:rFonts w:hint="eastAsia" w:ascii="宋体" w:hAnsi="宋体"/>
          <w:b/>
          <w:szCs w:val="21"/>
          <w:highlight w:val="none"/>
        </w:rPr>
        <w:t>合同履行</w:t>
      </w:r>
    </w:p>
    <w:p w14:paraId="3C3FDCD9">
      <w:pPr>
        <w:adjustRightInd w:val="0"/>
        <w:snapToGrid w:val="0"/>
        <w:spacing w:line="400" w:lineRule="exact"/>
        <w:ind w:firstLine="420" w:firstLineChars="200"/>
        <w:rPr>
          <w:rFonts w:ascii="宋体" w:hAnsi="宋体" w:cs="宋体"/>
          <w:szCs w:val="21"/>
          <w:highlight w:val="none"/>
        </w:rPr>
      </w:pPr>
      <w:r>
        <w:rPr>
          <w:rFonts w:hint="eastAsia" w:ascii="宋体" w:hAnsi="宋体" w:cs="宋体"/>
          <w:szCs w:val="21"/>
          <w:highlight w:val="none"/>
        </w:rPr>
        <w:t>（1）起始日期：</w:t>
      </w:r>
      <w:r>
        <w:rPr>
          <w:rFonts w:hint="eastAsia" w:ascii="宋体" w:hAnsi="宋体" w:cs="宋体"/>
          <w:szCs w:val="21"/>
          <w:highlight w:val="none"/>
          <w:u w:val="single"/>
        </w:rPr>
        <w:t xml:space="preserve">    </w:t>
      </w:r>
      <w:r>
        <w:rPr>
          <w:rFonts w:hint="eastAsia" w:ascii="宋体" w:hAnsi="宋体" w:cs="宋体"/>
          <w:szCs w:val="21"/>
          <w:highlight w:val="none"/>
        </w:rPr>
        <w:t>年</w:t>
      </w:r>
      <w:r>
        <w:rPr>
          <w:rFonts w:hint="eastAsia" w:ascii="宋体" w:hAnsi="宋体" w:cs="宋体"/>
          <w:szCs w:val="21"/>
          <w:highlight w:val="none"/>
          <w:u w:val="single"/>
        </w:rPr>
        <w:t xml:space="preserve">   </w:t>
      </w:r>
      <w:r>
        <w:rPr>
          <w:rFonts w:hint="eastAsia" w:ascii="宋体" w:hAnsi="宋体" w:cs="宋体"/>
          <w:szCs w:val="21"/>
          <w:highlight w:val="none"/>
        </w:rPr>
        <w:t>月</w:t>
      </w:r>
      <w:r>
        <w:rPr>
          <w:rFonts w:hint="eastAsia" w:ascii="宋体" w:hAnsi="宋体" w:cs="宋体"/>
          <w:szCs w:val="21"/>
          <w:highlight w:val="none"/>
          <w:u w:val="single"/>
        </w:rPr>
        <w:t xml:space="preserve">   </w:t>
      </w:r>
      <w:r>
        <w:rPr>
          <w:rFonts w:hint="eastAsia" w:ascii="宋体" w:hAnsi="宋体" w:cs="宋体"/>
          <w:szCs w:val="21"/>
          <w:highlight w:val="none"/>
        </w:rPr>
        <w:t>日，完成日期：</w:t>
      </w:r>
      <w:r>
        <w:rPr>
          <w:rFonts w:hint="eastAsia" w:ascii="宋体" w:hAnsi="宋体" w:cs="宋体"/>
          <w:szCs w:val="21"/>
          <w:highlight w:val="none"/>
          <w:u w:val="single"/>
        </w:rPr>
        <w:t xml:space="preserve">    </w:t>
      </w:r>
      <w:r>
        <w:rPr>
          <w:rFonts w:hint="eastAsia" w:ascii="宋体" w:hAnsi="宋体" w:cs="宋体"/>
          <w:szCs w:val="21"/>
          <w:highlight w:val="none"/>
        </w:rPr>
        <w:t>年</w:t>
      </w:r>
      <w:r>
        <w:rPr>
          <w:rFonts w:hint="eastAsia" w:ascii="宋体" w:hAnsi="宋体" w:cs="宋体"/>
          <w:szCs w:val="21"/>
          <w:highlight w:val="none"/>
          <w:u w:val="single"/>
        </w:rPr>
        <w:t xml:space="preserve">   </w:t>
      </w:r>
      <w:r>
        <w:rPr>
          <w:rFonts w:hint="eastAsia" w:ascii="宋体" w:hAnsi="宋体" w:cs="宋体"/>
          <w:szCs w:val="21"/>
          <w:highlight w:val="none"/>
        </w:rPr>
        <w:t>月</w:t>
      </w:r>
      <w:r>
        <w:rPr>
          <w:rFonts w:hint="eastAsia" w:ascii="宋体" w:hAnsi="宋体" w:cs="宋体"/>
          <w:szCs w:val="21"/>
          <w:highlight w:val="none"/>
          <w:u w:val="single"/>
        </w:rPr>
        <w:t xml:space="preserve">   </w:t>
      </w:r>
      <w:r>
        <w:rPr>
          <w:rFonts w:hint="eastAsia" w:ascii="宋体" w:hAnsi="宋体" w:cs="宋体"/>
          <w:szCs w:val="21"/>
          <w:highlight w:val="none"/>
        </w:rPr>
        <w:t>日。</w:t>
      </w:r>
    </w:p>
    <w:p w14:paraId="217FBDF0">
      <w:pPr>
        <w:adjustRightInd w:val="0"/>
        <w:snapToGrid w:val="0"/>
        <w:spacing w:line="400" w:lineRule="exact"/>
        <w:ind w:firstLine="420" w:firstLineChars="200"/>
        <w:rPr>
          <w:rFonts w:ascii="宋体" w:hAnsi="宋体" w:cs="宋体"/>
          <w:szCs w:val="21"/>
          <w:highlight w:val="none"/>
          <w:u w:val="single"/>
        </w:rPr>
      </w:pPr>
      <w:r>
        <w:rPr>
          <w:rFonts w:hint="eastAsia" w:ascii="宋体" w:hAnsi="宋体" w:cs="宋体"/>
          <w:szCs w:val="21"/>
          <w:highlight w:val="none"/>
        </w:rPr>
        <w:t>（2）履约地点</w:t>
      </w:r>
      <w:r>
        <w:rPr>
          <w:rFonts w:hint="eastAsia" w:ascii="宋体" w:hAnsi="宋体" w:cs="宋体"/>
          <w:bCs/>
          <w:szCs w:val="21"/>
          <w:highlight w:val="none"/>
        </w:rPr>
        <w:t>：</w:t>
      </w:r>
      <w:r>
        <w:rPr>
          <w:rFonts w:hint="eastAsia" w:ascii="宋体" w:hAnsi="宋体" w:cs="宋体"/>
          <w:szCs w:val="21"/>
          <w:highlight w:val="none"/>
          <w:u w:val="single"/>
        </w:rPr>
        <w:t xml:space="preserve"> </w:t>
      </w:r>
      <w:r>
        <w:rPr>
          <w:rFonts w:hint="eastAsia" w:ascii="宋体" w:hAnsi="宋体" w:cs="宋体"/>
          <w:szCs w:val="21"/>
          <w:highlight w:val="none"/>
          <w:u w:val="single"/>
          <w:lang w:eastAsia="zh-CN"/>
        </w:rPr>
        <w:t>采购人指定地点</w:t>
      </w:r>
      <w:r>
        <w:rPr>
          <w:rFonts w:hint="eastAsia" w:ascii="宋体" w:hAnsi="宋体" w:cs="宋体"/>
          <w:szCs w:val="21"/>
          <w:highlight w:val="none"/>
          <w:u w:val="single"/>
        </w:rPr>
        <w:t xml:space="preserve"> </w:t>
      </w:r>
    </w:p>
    <w:p w14:paraId="0256E89D">
      <w:pPr>
        <w:adjustRightInd w:val="0"/>
        <w:snapToGrid w:val="0"/>
        <w:spacing w:line="400" w:lineRule="exact"/>
        <w:ind w:firstLine="420" w:firstLineChars="200"/>
        <w:rPr>
          <w:rFonts w:ascii="宋体" w:hAnsi="宋体" w:cs="宋体"/>
          <w:szCs w:val="21"/>
          <w:highlight w:val="none"/>
        </w:rPr>
      </w:pPr>
      <w:r>
        <w:rPr>
          <w:rFonts w:hint="eastAsia" w:ascii="宋体" w:hAnsi="宋体" w:cs="宋体"/>
          <w:bCs/>
          <w:szCs w:val="21"/>
          <w:highlight w:val="none"/>
        </w:rPr>
        <w:t>（3）履约担保：</w:t>
      </w:r>
      <w:r>
        <w:rPr>
          <w:rFonts w:hint="eastAsia" w:ascii="宋体" w:hAnsi="宋体" w:cs="宋体"/>
          <w:szCs w:val="21"/>
          <w:highlight w:val="none"/>
        </w:rPr>
        <w:t>是否收取履约保证金：</w:t>
      </w:r>
      <w:r>
        <w:rPr>
          <w:rFonts w:hint="eastAsia" w:ascii="宋体" w:hAnsi="宋体" w:cs="宋体"/>
          <w:szCs w:val="21"/>
          <w:highlight w:val="none"/>
        </w:rPr>
        <w:sym w:font="Wingdings" w:char="00A8"/>
      </w:r>
      <w:r>
        <w:rPr>
          <w:rFonts w:hint="eastAsia" w:ascii="宋体" w:hAnsi="宋体" w:cs="宋体"/>
          <w:szCs w:val="21"/>
          <w:highlight w:val="none"/>
        </w:rPr>
        <w:t xml:space="preserve">是    </w:t>
      </w:r>
      <w:r>
        <w:rPr>
          <w:rFonts w:hint="eastAsia" w:ascii="宋体" w:hAnsi="宋体" w:cs="宋体"/>
          <w:szCs w:val="21"/>
          <w:highlight w:val="none"/>
        </w:rPr>
        <w:sym w:font="Wingdings" w:char="00FE"/>
      </w:r>
      <w:r>
        <w:rPr>
          <w:rFonts w:hint="eastAsia" w:ascii="宋体" w:hAnsi="宋体" w:cs="宋体"/>
          <w:szCs w:val="21"/>
          <w:highlight w:val="none"/>
        </w:rPr>
        <w:t>否</w:t>
      </w:r>
    </w:p>
    <w:p w14:paraId="63BF400C">
      <w:pPr>
        <w:snapToGrid w:val="0"/>
        <w:spacing w:line="400" w:lineRule="exact"/>
        <w:ind w:firstLine="420" w:firstLineChars="200"/>
        <w:rPr>
          <w:rFonts w:hint="eastAsia" w:ascii="宋体" w:hAnsi="宋体" w:eastAsia="宋体" w:cs="宋体"/>
          <w:sz w:val="21"/>
          <w:highlight w:val="none"/>
        </w:rPr>
      </w:pPr>
      <w:r>
        <w:rPr>
          <w:rFonts w:hint="eastAsia" w:ascii="宋体" w:hAnsi="宋体" w:cs="宋体"/>
          <w:bCs/>
          <w:sz w:val="21"/>
          <w:highlight w:val="none"/>
        </w:rPr>
        <w:t xml:space="preserve">  </w:t>
      </w:r>
      <w:r>
        <w:rPr>
          <w:rFonts w:hint="eastAsia" w:ascii="宋体" w:hAnsi="宋体" w:eastAsia="宋体" w:cs="宋体"/>
          <w:sz w:val="21"/>
          <w:highlight w:val="none"/>
        </w:rPr>
        <w:t xml:space="preserve">  1）收取履约保证金形式：中标结果公告发布，投标人提供的样品经采购人验收合格后，2个工作日内向采购人缴纳（履约保证金可以以支票、汇票、本票或者金融机构、担保机构出具的保函等非现金形式提交）。</w:t>
      </w:r>
    </w:p>
    <w:p w14:paraId="3CFDCF7B">
      <w:pPr>
        <w:snapToGrid w:val="0"/>
        <w:spacing w:line="400" w:lineRule="exact"/>
        <w:ind w:firstLine="840" w:firstLineChars="400"/>
        <w:rPr>
          <w:rFonts w:hint="eastAsia" w:ascii="宋体" w:hAnsi="宋体" w:eastAsia="宋体" w:cs="宋体"/>
          <w:sz w:val="21"/>
          <w:highlight w:val="none"/>
          <w:lang w:eastAsia="zh-CN"/>
        </w:rPr>
      </w:pPr>
      <w:r>
        <w:rPr>
          <w:rFonts w:hint="eastAsia" w:ascii="宋体" w:hAnsi="宋体" w:eastAsia="宋体" w:cs="宋体"/>
          <w:sz w:val="21"/>
          <w:highlight w:val="none"/>
        </w:rPr>
        <w:t>2）收取履约保证金金额：中标金额的10%</w:t>
      </w:r>
      <w:r>
        <w:rPr>
          <w:rFonts w:hint="eastAsia" w:ascii="宋体" w:hAnsi="宋体" w:cs="宋体"/>
          <w:sz w:val="21"/>
          <w:highlight w:val="none"/>
          <w:lang w:eastAsia="zh-CN"/>
        </w:rPr>
        <w:t>。</w:t>
      </w:r>
    </w:p>
    <w:p w14:paraId="3D19FBEE">
      <w:pPr>
        <w:snapToGrid w:val="0"/>
        <w:spacing w:line="400" w:lineRule="exact"/>
        <w:ind w:firstLine="840" w:firstLineChars="400"/>
        <w:rPr>
          <w:rFonts w:hint="eastAsia" w:ascii="宋体" w:hAnsi="宋体" w:eastAsia="宋体" w:cs="宋体"/>
          <w:sz w:val="21"/>
          <w:szCs w:val="21"/>
          <w:highlight w:val="none"/>
        </w:rPr>
      </w:pPr>
      <w:r>
        <w:rPr>
          <w:rFonts w:hint="eastAsia" w:ascii="宋体" w:hAnsi="宋体" w:eastAsia="宋体" w:cs="宋体"/>
          <w:sz w:val="21"/>
          <w:highlight w:val="none"/>
        </w:rPr>
        <w:t>3）履约担保期限：验收合格后一年</w:t>
      </w:r>
      <w:r>
        <w:rPr>
          <w:rFonts w:hint="eastAsia" w:ascii="宋体" w:hAnsi="宋体" w:cs="宋体"/>
          <w:sz w:val="21"/>
          <w:highlight w:val="none"/>
          <w:lang w:eastAsia="zh-CN"/>
        </w:rPr>
        <w:t>退还</w:t>
      </w:r>
      <w:r>
        <w:rPr>
          <w:rFonts w:hint="eastAsia" w:ascii="宋体" w:hAnsi="宋体" w:eastAsia="宋体" w:cs="宋体"/>
          <w:sz w:val="21"/>
          <w:highlight w:val="none"/>
        </w:rPr>
        <w:t>。</w:t>
      </w:r>
    </w:p>
    <w:p w14:paraId="26A56976">
      <w:pPr>
        <w:adjustRightInd w:val="0"/>
        <w:snapToGrid w:val="0"/>
        <w:spacing w:line="400" w:lineRule="exact"/>
        <w:ind w:firstLine="420" w:firstLineChars="200"/>
        <w:rPr>
          <w:rFonts w:ascii="宋体" w:hAnsi="宋体" w:cs="宋体"/>
          <w:bCs/>
          <w:szCs w:val="21"/>
          <w:highlight w:val="none"/>
        </w:rPr>
      </w:pPr>
      <w:r>
        <w:rPr>
          <w:rFonts w:hint="eastAsia" w:ascii="宋体" w:hAnsi="宋体" w:cs="宋体"/>
          <w:bCs/>
          <w:szCs w:val="21"/>
          <w:highlight w:val="none"/>
        </w:rPr>
        <w:t>（4）分期履行要求：</w:t>
      </w:r>
      <w:r>
        <w:rPr>
          <w:rFonts w:hint="eastAsia" w:ascii="宋体" w:hAnsi="宋体" w:cs="宋体"/>
          <w:bCs/>
          <w:szCs w:val="21"/>
          <w:highlight w:val="none"/>
          <w:u w:val="single"/>
        </w:rPr>
        <w:t xml:space="preserve">                                                        </w:t>
      </w:r>
    </w:p>
    <w:p w14:paraId="7BE64DD5">
      <w:pPr>
        <w:adjustRightInd w:val="0"/>
        <w:snapToGrid w:val="0"/>
        <w:spacing w:line="400" w:lineRule="exact"/>
        <w:ind w:firstLine="420" w:firstLineChars="200"/>
        <w:rPr>
          <w:rFonts w:ascii="宋体" w:hAnsi="宋体" w:cs="宋体"/>
          <w:szCs w:val="21"/>
          <w:highlight w:val="none"/>
          <w:u w:val="single"/>
        </w:rPr>
      </w:pPr>
      <w:r>
        <w:rPr>
          <w:rFonts w:hint="eastAsia" w:ascii="宋体" w:hAnsi="宋体" w:cs="宋体"/>
          <w:bCs/>
          <w:szCs w:val="21"/>
          <w:highlight w:val="none"/>
        </w:rPr>
        <w:t>（5）风险处置措施和替代方案：</w:t>
      </w:r>
      <w:r>
        <w:rPr>
          <w:rFonts w:hint="eastAsia" w:ascii="宋体" w:hAnsi="宋体" w:cs="宋体"/>
          <w:color w:val="0000FF"/>
          <w:szCs w:val="21"/>
          <w:highlight w:val="none"/>
          <w:u w:val="single"/>
        </w:rPr>
        <w:t xml:space="preserve"> </w:t>
      </w:r>
      <w:r>
        <w:rPr>
          <w:rFonts w:hint="eastAsia" w:ascii="宋体" w:hAnsi="宋体" w:cs="宋体"/>
          <w:color w:val="000000"/>
          <w:szCs w:val="21"/>
          <w:highlight w:val="none"/>
          <w:u w:val="single"/>
        </w:rPr>
        <w:t xml:space="preserve">              </w:t>
      </w:r>
      <w:r>
        <w:rPr>
          <w:rFonts w:hint="eastAsia" w:ascii="宋体" w:hAnsi="宋体" w:cs="宋体"/>
          <w:szCs w:val="21"/>
          <w:highlight w:val="none"/>
          <w:u w:val="single"/>
        </w:rPr>
        <w:t xml:space="preserve">                                                </w:t>
      </w:r>
    </w:p>
    <w:p w14:paraId="60F62E22">
      <w:pPr>
        <w:numPr>
          <w:ilvl w:val="0"/>
          <w:numId w:val="167"/>
        </w:numPr>
        <w:adjustRightInd w:val="0"/>
        <w:snapToGrid w:val="0"/>
        <w:spacing w:line="400" w:lineRule="exact"/>
        <w:ind w:firstLine="422" w:firstLineChars="200"/>
        <w:rPr>
          <w:rFonts w:ascii="宋体" w:hAnsi="宋体"/>
          <w:b/>
          <w:szCs w:val="21"/>
          <w:highlight w:val="none"/>
        </w:rPr>
      </w:pPr>
      <w:r>
        <w:rPr>
          <w:rFonts w:hint="eastAsia" w:ascii="宋体" w:hAnsi="宋体"/>
          <w:b/>
          <w:szCs w:val="21"/>
          <w:highlight w:val="none"/>
        </w:rPr>
        <w:t>合同验收</w:t>
      </w:r>
    </w:p>
    <w:p w14:paraId="5C1E9397">
      <w:pPr>
        <w:numPr>
          <w:ilvl w:val="0"/>
          <w:numId w:val="169"/>
        </w:numPr>
        <w:adjustRightInd w:val="0"/>
        <w:snapToGrid w:val="0"/>
        <w:spacing w:line="400" w:lineRule="exact"/>
        <w:ind w:firstLine="420" w:firstLineChars="200"/>
        <w:rPr>
          <w:rFonts w:ascii="宋体" w:hAnsi="宋体"/>
          <w:bCs/>
          <w:szCs w:val="21"/>
          <w:highlight w:val="none"/>
        </w:rPr>
      </w:pPr>
      <w:r>
        <w:rPr>
          <w:rFonts w:hint="eastAsia" w:ascii="宋体" w:hAnsi="宋体"/>
          <w:bCs/>
          <w:szCs w:val="21"/>
          <w:highlight w:val="none"/>
        </w:rPr>
        <w:t>验收组织方式：</w:t>
      </w:r>
      <w:r>
        <w:rPr>
          <w:rFonts w:hint="eastAsia" w:ascii="宋体" w:hAnsi="宋体" w:cs="宋体"/>
          <w:szCs w:val="21"/>
          <w:highlight w:val="none"/>
        </w:rPr>
        <w:sym w:font="Wingdings" w:char="00A8"/>
      </w:r>
      <w:r>
        <w:rPr>
          <w:rFonts w:hint="eastAsia" w:ascii="宋体" w:hAnsi="宋体"/>
          <w:bCs/>
          <w:szCs w:val="21"/>
          <w:highlight w:val="none"/>
        </w:rPr>
        <w:t xml:space="preserve">自行组织 </w:t>
      </w:r>
      <w:r>
        <w:rPr>
          <w:rFonts w:hint="eastAsia" w:ascii="宋体" w:hAnsi="宋体" w:cs="宋体"/>
          <w:szCs w:val="21"/>
          <w:highlight w:val="none"/>
        </w:rPr>
        <w:sym w:font="Wingdings" w:char="00A8"/>
      </w:r>
      <w:r>
        <w:rPr>
          <w:rFonts w:hint="eastAsia" w:ascii="宋体" w:hAnsi="宋体"/>
          <w:bCs/>
          <w:szCs w:val="21"/>
          <w:highlight w:val="none"/>
        </w:rPr>
        <w:t>委托第三方组织</w:t>
      </w:r>
    </w:p>
    <w:p w14:paraId="287EC63D">
      <w:pPr>
        <w:adjustRightInd w:val="0"/>
        <w:snapToGrid w:val="0"/>
        <w:spacing w:line="400" w:lineRule="exact"/>
        <w:rPr>
          <w:rFonts w:ascii="宋体" w:hAnsi="宋体"/>
          <w:bCs/>
          <w:szCs w:val="21"/>
          <w:highlight w:val="none"/>
          <w:u w:val="single"/>
        </w:rPr>
      </w:pPr>
      <w:r>
        <w:rPr>
          <w:rFonts w:hint="eastAsia" w:ascii="宋体" w:hAnsi="宋体"/>
          <w:bCs/>
          <w:szCs w:val="21"/>
          <w:highlight w:val="none"/>
        </w:rPr>
        <w:t xml:space="preserve">         验收主体：</w:t>
      </w:r>
      <w:r>
        <w:rPr>
          <w:rFonts w:hint="eastAsia" w:ascii="宋体" w:hAnsi="宋体"/>
          <w:bCs/>
          <w:szCs w:val="21"/>
          <w:highlight w:val="none"/>
          <w:u w:val="single"/>
        </w:rPr>
        <w:t xml:space="preserve">                  </w:t>
      </w:r>
    </w:p>
    <w:p w14:paraId="463AE953">
      <w:pPr>
        <w:adjustRightInd w:val="0"/>
        <w:snapToGrid w:val="0"/>
        <w:spacing w:line="400" w:lineRule="exact"/>
        <w:ind w:firstLine="1050" w:firstLineChars="500"/>
        <w:rPr>
          <w:rFonts w:ascii="宋体" w:hAnsi="宋体"/>
          <w:bCs/>
          <w:szCs w:val="21"/>
          <w:highlight w:val="none"/>
        </w:rPr>
      </w:pPr>
      <w:r>
        <w:rPr>
          <w:rFonts w:hint="eastAsia" w:ascii="宋体" w:hAnsi="宋体"/>
          <w:bCs/>
          <w:szCs w:val="21"/>
          <w:highlight w:val="none"/>
        </w:rPr>
        <w:t>是否邀请本项目的其他供应商参加验收：</w:t>
      </w:r>
      <w:r>
        <w:rPr>
          <w:rFonts w:hint="eastAsia" w:ascii="宋体" w:hAnsi="宋体" w:cs="宋体"/>
          <w:szCs w:val="21"/>
          <w:highlight w:val="none"/>
        </w:rPr>
        <w:sym w:font="Wingdings" w:char="00A8"/>
      </w:r>
      <w:r>
        <w:rPr>
          <w:rFonts w:hint="eastAsia" w:ascii="宋体" w:hAnsi="宋体"/>
          <w:bCs/>
          <w:szCs w:val="21"/>
          <w:highlight w:val="none"/>
        </w:rPr>
        <w:t xml:space="preserve">是  </w:t>
      </w:r>
      <w:r>
        <w:rPr>
          <w:rFonts w:hint="eastAsia" w:ascii="宋体" w:hAnsi="宋体" w:cs="宋体"/>
          <w:szCs w:val="21"/>
          <w:highlight w:val="none"/>
        </w:rPr>
        <w:sym w:font="Wingdings" w:char="00FE"/>
      </w:r>
      <w:r>
        <w:rPr>
          <w:rFonts w:hint="eastAsia" w:ascii="宋体" w:hAnsi="宋体"/>
          <w:bCs/>
          <w:szCs w:val="21"/>
          <w:highlight w:val="none"/>
        </w:rPr>
        <w:t>否</w:t>
      </w:r>
    </w:p>
    <w:p w14:paraId="623D7884">
      <w:pPr>
        <w:adjustRightInd w:val="0"/>
        <w:snapToGrid w:val="0"/>
        <w:spacing w:line="400" w:lineRule="exact"/>
        <w:ind w:firstLine="1050" w:firstLineChars="500"/>
        <w:rPr>
          <w:rFonts w:ascii="宋体" w:hAnsi="宋体"/>
          <w:bCs/>
          <w:szCs w:val="21"/>
          <w:highlight w:val="none"/>
        </w:rPr>
      </w:pPr>
      <w:r>
        <w:rPr>
          <w:rFonts w:hint="eastAsia" w:ascii="宋体" w:hAnsi="宋体"/>
          <w:bCs/>
          <w:szCs w:val="21"/>
          <w:highlight w:val="none"/>
        </w:rPr>
        <w:t>是否邀请专家参加验收：</w:t>
      </w:r>
      <w:r>
        <w:rPr>
          <w:rFonts w:hint="eastAsia" w:ascii="宋体" w:hAnsi="宋体" w:cs="宋体"/>
          <w:szCs w:val="21"/>
          <w:highlight w:val="none"/>
        </w:rPr>
        <w:sym w:font="Wingdings" w:char="00A8"/>
      </w:r>
      <w:r>
        <w:rPr>
          <w:rFonts w:hint="eastAsia" w:ascii="宋体" w:hAnsi="宋体"/>
          <w:bCs/>
          <w:szCs w:val="21"/>
          <w:highlight w:val="none"/>
        </w:rPr>
        <w:t xml:space="preserve">是  </w:t>
      </w:r>
      <w:r>
        <w:rPr>
          <w:rFonts w:hint="eastAsia" w:ascii="宋体" w:hAnsi="宋体" w:cs="宋体"/>
          <w:szCs w:val="21"/>
          <w:highlight w:val="none"/>
        </w:rPr>
        <w:sym w:font="Wingdings" w:char="00FE"/>
      </w:r>
      <w:r>
        <w:rPr>
          <w:rFonts w:hint="eastAsia" w:ascii="宋体" w:hAnsi="宋体"/>
          <w:bCs/>
          <w:szCs w:val="21"/>
          <w:highlight w:val="none"/>
        </w:rPr>
        <w:t>否</w:t>
      </w:r>
    </w:p>
    <w:p w14:paraId="5F4D70A6">
      <w:pPr>
        <w:adjustRightInd w:val="0"/>
        <w:snapToGrid w:val="0"/>
        <w:spacing w:line="400" w:lineRule="exact"/>
        <w:ind w:firstLine="1050" w:firstLineChars="500"/>
        <w:rPr>
          <w:rFonts w:ascii="宋体" w:hAnsi="宋体"/>
          <w:bCs/>
          <w:szCs w:val="21"/>
          <w:highlight w:val="none"/>
        </w:rPr>
      </w:pPr>
      <w:r>
        <w:rPr>
          <w:rFonts w:hint="eastAsia" w:ascii="宋体" w:hAnsi="宋体"/>
          <w:bCs/>
          <w:szCs w:val="21"/>
          <w:highlight w:val="none"/>
        </w:rPr>
        <w:t>是否邀请服务对象参加验收：</w:t>
      </w:r>
      <w:r>
        <w:rPr>
          <w:rFonts w:hint="eastAsia" w:ascii="宋体" w:hAnsi="宋体" w:cs="宋体"/>
          <w:szCs w:val="21"/>
          <w:highlight w:val="none"/>
        </w:rPr>
        <w:sym w:font="Wingdings" w:char="00A8"/>
      </w:r>
      <w:r>
        <w:rPr>
          <w:rFonts w:hint="eastAsia" w:ascii="宋体" w:hAnsi="宋体"/>
          <w:bCs/>
          <w:szCs w:val="21"/>
          <w:highlight w:val="none"/>
        </w:rPr>
        <w:t xml:space="preserve">是  </w:t>
      </w:r>
      <w:r>
        <w:rPr>
          <w:rFonts w:hint="eastAsia" w:ascii="宋体" w:hAnsi="宋体" w:cs="宋体"/>
          <w:szCs w:val="21"/>
          <w:highlight w:val="none"/>
        </w:rPr>
        <w:sym w:font="Wingdings" w:char="00FE"/>
      </w:r>
      <w:r>
        <w:rPr>
          <w:rFonts w:hint="eastAsia" w:ascii="宋体" w:hAnsi="宋体"/>
          <w:bCs/>
          <w:szCs w:val="21"/>
          <w:highlight w:val="none"/>
        </w:rPr>
        <w:t>否</w:t>
      </w:r>
    </w:p>
    <w:p w14:paraId="63C9EAA2">
      <w:pPr>
        <w:adjustRightInd w:val="0"/>
        <w:snapToGrid w:val="0"/>
        <w:spacing w:line="400" w:lineRule="exact"/>
        <w:ind w:firstLine="1050" w:firstLineChars="500"/>
        <w:rPr>
          <w:rFonts w:ascii="宋体" w:hAnsi="宋体"/>
          <w:bCs/>
          <w:szCs w:val="21"/>
          <w:highlight w:val="none"/>
        </w:rPr>
      </w:pPr>
      <w:r>
        <w:rPr>
          <w:rFonts w:hint="eastAsia" w:ascii="宋体" w:hAnsi="宋体"/>
          <w:bCs/>
          <w:szCs w:val="21"/>
          <w:highlight w:val="none"/>
        </w:rPr>
        <w:t>是否邀请第三方检测机构参加验收：</w:t>
      </w:r>
      <w:r>
        <w:rPr>
          <w:rFonts w:hint="eastAsia" w:ascii="宋体" w:hAnsi="宋体" w:cs="宋体"/>
          <w:szCs w:val="21"/>
          <w:highlight w:val="none"/>
        </w:rPr>
        <w:sym w:font="Wingdings" w:char="00A8"/>
      </w:r>
      <w:r>
        <w:rPr>
          <w:rFonts w:hint="eastAsia" w:ascii="宋体" w:hAnsi="宋体"/>
          <w:bCs/>
          <w:szCs w:val="21"/>
          <w:highlight w:val="none"/>
        </w:rPr>
        <w:t xml:space="preserve">是  </w:t>
      </w:r>
      <w:r>
        <w:rPr>
          <w:rFonts w:hint="eastAsia" w:ascii="宋体" w:hAnsi="宋体" w:cs="宋体"/>
          <w:szCs w:val="21"/>
          <w:highlight w:val="none"/>
        </w:rPr>
        <w:sym w:font="Wingdings" w:char="00FE"/>
      </w:r>
      <w:r>
        <w:rPr>
          <w:rFonts w:hint="eastAsia" w:ascii="宋体" w:hAnsi="宋体"/>
          <w:bCs/>
          <w:szCs w:val="21"/>
          <w:highlight w:val="none"/>
        </w:rPr>
        <w:t>否</w:t>
      </w:r>
    </w:p>
    <w:p w14:paraId="5EF90700">
      <w:pPr>
        <w:adjustRightInd w:val="0"/>
        <w:snapToGrid w:val="0"/>
        <w:spacing w:line="400" w:lineRule="exact"/>
        <w:ind w:firstLine="1050" w:firstLineChars="500"/>
        <w:rPr>
          <w:rFonts w:ascii="宋体" w:hAnsi="宋体"/>
          <w:bCs/>
          <w:szCs w:val="21"/>
          <w:highlight w:val="none"/>
        </w:rPr>
      </w:pPr>
      <w:r>
        <w:rPr>
          <w:rFonts w:hint="eastAsia" w:ascii="宋体" w:hAnsi="宋体"/>
          <w:bCs/>
          <w:szCs w:val="21"/>
          <w:highlight w:val="none"/>
        </w:rPr>
        <w:t>是否进行抽查检测：</w:t>
      </w:r>
      <w:r>
        <w:rPr>
          <w:rFonts w:hint="eastAsia" w:ascii="宋体" w:hAnsi="宋体" w:cs="宋体"/>
          <w:szCs w:val="21"/>
          <w:highlight w:val="none"/>
        </w:rPr>
        <w:sym w:font="Wingdings" w:char="00A8"/>
      </w:r>
      <w:r>
        <w:rPr>
          <w:rFonts w:hint="eastAsia" w:ascii="宋体" w:hAnsi="宋体"/>
          <w:bCs/>
          <w:szCs w:val="21"/>
          <w:highlight w:val="none"/>
        </w:rPr>
        <w:t>是，抽查比例：</w:t>
      </w:r>
      <w:r>
        <w:rPr>
          <w:rFonts w:hint="eastAsia" w:ascii="宋体" w:hAnsi="宋体"/>
          <w:bCs/>
          <w:szCs w:val="21"/>
          <w:highlight w:val="none"/>
          <w:u w:val="single"/>
        </w:rPr>
        <w:t xml:space="preserve">        </w:t>
      </w:r>
      <w:r>
        <w:rPr>
          <w:rFonts w:hint="eastAsia" w:ascii="宋体" w:hAnsi="宋体"/>
          <w:bCs/>
          <w:szCs w:val="21"/>
          <w:highlight w:val="none"/>
        </w:rPr>
        <w:t xml:space="preserve"> </w:t>
      </w:r>
      <w:r>
        <w:rPr>
          <w:rFonts w:hint="eastAsia" w:ascii="宋体" w:hAnsi="宋体" w:cs="宋体"/>
          <w:szCs w:val="21"/>
          <w:highlight w:val="none"/>
        </w:rPr>
        <w:sym w:font="Wingdings" w:char="00A8"/>
      </w:r>
      <w:r>
        <w:rPr>
          <w:rFonts w:hint="eastAsia" w:ascii="宋体" w:hAnsi="宋体"/>
          <w:bCs/>
          <w:szCs w:val="21"/>
          <w:highlight w:val="none"/>
        </w:rPr>
        <w:t>否</w:t>
      </w:r>
    </w:p>
    <w:p w14:paraId="6B85506A">
      <w:pPr>
        <w:adjustRightInd w:val="0"/>
        <w:snapToGrid w:val="0"/>
        <w:spacing w:line="400" w:lineRule="exact"/>
        <w:ind w:firstLine="1050" w:firstLineChars="500"/>
        <w:rPr>
          <w:rFonts w:ascii="宋体" w:hAnsi="宋体"/>
          <w:bCs/>
          <w:szCs w:val="21"/>
          <w:highlight w:val="none"/>
          <w:u w:val="single"/>
        </w:rPr>
      </w:pPr>
      <w:r>
        <w:rPr>
          <w:rFonts w:hint="eastAsia" w:ascii="宋体" w:hAnsi="宋体"/>
          <w:bCs/>
          <w:szCs w:val="21"/>
          <w:highlight w:val="none"/>
        </w:rPr>
        <w:t>是否存在破坏性检测：</w:t>
      </w:r>
      <w:r>
        <w:rPr>
          <w:rFonts w:hint="eastAsia" w:ascii="宋体" w:hAnsi="宋体" w:cs="宋体"/>
          <w:szCs w:val="21"/>
          <w:highlight w:val="none"/>
        </w:rPr>
        <w:sym w:font="Wingdings" w:char="00A8"/>
      </w:r>
      <w:r>
        <w:rPr>
          <w:rFonts w:hint="eastAsia" w:ascii="宋体" w:hAnsi="宋体"/>
          <w:bCs/>
          <w:szCs w:val="21"/>
          <w:highlight w:val="none"/>
        </w:rPr>
        <w:t>是，</w:t>
      </w:r>
      <w:r>
        <w:rPr>
          <w:rFonts w:hint="eastAsia" w:ascii="宋体" w:hAnsi="宋体"/>
          <w:bCs/>
          <w:szCs w:val="21"/>
          <w:highlight w:val="none"/>
          <w:u w:val="single"/>
        </w:rPr>
        <w:t>（应明确对被破坏的检测产品的处理方式）</w:t>
      </w:r>
    </w:p>
    <w:p w14:paraId="22E8F771">
      <w:pPr>
        <w:adjustRightInd w:val="0"/>
        <w:snapToGrid w:val="0"/>
        <w:spacing w:line="400" w:lineRule="exact"/>
        <w:ind w:firstLine="840" w:firstLineChars="400"/>
        <w:rPr>
          <w:rFonts w:ascii="宋体" w:hAnsi="宋体"/>
          <w:bCs/>
          <w:szCs w:val="21"/>
          <w:highlight w:val="none"/>
        </w:rPr>
      </w:pPr>
      <w:r>
        <w:rPr>
          <w:rFonts w:hint="eastAsia" w:ascii="宋体" w:hAnsi="宋体"/>
          <w:bCs/>
          <w:szCs w:val="21"/>
          <w:highlight w:val="none"/>
        </w:rPr>
        <w:t xml:space="preserve">                    </w:t>
      </w:r>
      <w:r>
        <w:rPr>
          <w:rFonts w:hint="eastAsia" w:ascii="宋体" w:hAnsi="宋体" w:cs="宋体"/>
          <w:szCs w:val="21"/>
          <w:highlight w:val="none"/>
        </w:rPr>
        <w:sym w:font="Wingdings" w:char="00A8"/>
      </w:r>
      <w:r>
        <w:rPr>
          <w:rFonts w:hint="eastAsia" w:ascii="宋体" w:hAnsi="宋体"/>
          <w:bCs/>
          <w:szCs w:val="21"/>
          <w:highlight w:val="none"/>
        </w:rPr>
        <w:t>否</w:t>
      </w:r>
    </w:p>
    <w:p w14:paraId="237F8FB8">
      <w:pPr>
        <w:adjustRightInd w:val="0"/>
        <w:snapToGrid w:val="0"/>
        <w:spacing w:line="400" w:lineRule="exact"/>
        <w:ind w:firstLine="1050" w:firstLineChars="500"/>
        <w:rPr>
          <w:rFonts w:ascii="宋体" w:hAnsi="宋体"/>
          <w:bCs/>
          <w:szCs w:val="21"/>
          <w:highlight w:val="none"/>
          <w:u w:val="single"/>
        </w:rPr>
      </w:pPr>
      <w:r>
        <w:rPr>
          <w:rFonts w:hint="eastAsia" w:ascii="宋体" w:hAnsi="宋体"/>
          <w:bCs/>
          <w:szCs w:val="21"/>
          <w:highlight w:val="none"/>
        </w:rPr>
        <w:t>验收组织的其他事项：</w:t>
      </w:r>
      <w:r>
        <w:rPr>
          <w:rFonts w:hint="eastAsia" w:ascii="宋体" w:hAnsi="宋体"/>
          <w:bCs/>
          <w:szCs w:val="21"/>
          <w:highlight w:val="none"/>
          <w:u w:val="single"/>
        </w:rPr>
        <w:t xml:space="preserve">                </w:t>
      </w:r>
    </w:p>
    <w:p w14:paraId="50466E49">
      <w:pPr>
        <w:adjustRightInd w:val="0"/>
        <w:snapToGrid w:val="0"/>
        <w:spacing w:line="400" w:lineRule="exact"/>
        <w:ind w:firstLine="420" w:firstLineChars="200"/>
        <w:rPr>
          <w:rFonts w:ascii="宋体" w:hAnsi="宋体"/>
          <w:bCs/>
          <w:szCs w:val="21"/>
          <w:highlight w:val="none"/>
          <w:u w:val="single"/>
        </w:rPr>
      </w:pPr>
      <w:r>
        <w:rPr>
          <w:rFonts w:hint="eastAsia" w:ascii="宋体" w:hAnsi="宋体"/>
          <w:bCs/>
          <w:szCs w:val="21"/>
          <w:highlight w:val="none"/>
        </w:rPr>
        <w:t>（2）履约验收时间：</w:t>
      </w:r>
      <w:r>
        <w:rPr>
          <w:rFonts w:hint="eastAsia" w:ascii="宋体" w:hAnsi="宋体"/>
          <w:bCs/>
          <w:szCs w:val="21"/>
          <w:highlight w:val="none"/>
          <w:u w:val="single"/>
        </w:rPr>
        <w:t xml:space="preserve">（计划于何时验收/供应商提出验收申请之日起   日内组织验收） </w:t>
      </w:r>
    </w:p>
    <w:p w14:paraId="6A358AFA">
      <w:pPr>
        <w:adjustRightInd w:val="0"/>
        <w:snapToGrid w:val="0"/>
        <w:spacing w:line="400" w:lineRule="exact"/>
        <w:ind w:firstLine="420" w:firstLineChars="200"/>
        <w:rPr>
          <w:rFonts w:ascii="宋体" w:hAnsi="宋体"/>
          <w:bCs/>
          <w:szCs w:val="21"/>
          <w:highlight w:val="none"/>
        </w:rPr>
      </w:pPr>
      <w:r>
        <w:rPr>
          <w:rFonts w:hint="eastAsia" w:ascii="宋体" w:hAnsi="宋体"/>
          <w:bCs/>
          <w:szCs w:val="21"/>
          <w:highlight w:val="none"/>
        </w:rPr>
        <w:t>（3）履约验收方式：</w:t>
      </w:r>
      <w:r>
        <w:rPr>
          <w:rFonts w:hint="eastAsia" w:ascii="宋体" w:hAnsi="宋体" w:cs="宋体"/>
          <w:szCs w:val="21"/>
          <w:highlight w:val="none"/>
        </w:rPr>
        <w:sym w:font="Wingdings" w:char="00A8"/>
      </w:r>
      <w:r>
        <w:rPr>
          <w:rFonts w:hint="eastAsia" w:ascii="宋体" w:hAnsi="宋体"/>
          <w:bCs/>
          <w:szCs w:val="21"/>
          <w:highlight w:val="none"/>
        </w:rPr>
        <w:t xml:space="preserve">一次性验收         </w:t>
      </w:r>
    </w:p>
    <w:p w14:paraId="18407AAE">
      <w:pPr>
        <w:adjustRightInd w:val="0"/>
        <w:snapToGrid w:val="0"/>
        <w:spacing w:line="400" w:lineRule="exact"/>
        <w:rPr>
          <w:rFonts w:ascii="宋体" w:hAnsi="宋体"/>
          <w:bCs/>
          <w:color w:val="FF0000"/>
          <w:szCs w:val="21"/>
          <w:highlight w:val="none"/>
        </w:rPr>
      </w:pPr>
      <w:r>
        <w:rPr>
          <w:rFonts w:hint="eastAsia" w:ascii="宋体" w:hAnsi="宋体"/>
          <w:bCs/>
          <w:szCs w:val="21"/>
          <w:highlight w:val="none"/>
        </w:rPr>
        <w:t xml:space="preserve">                       </w:t>
      </w:r>
      <w:r>
        <w:rPr>
          <w:rFonts w:hint="eastAsia" w:ascii="宋体" w:hAnsi="宋体" w:cs="宋体"/>
          <w:szCs w:val="21"/>
          <w:highlight w:val="none"/>
        </w:rPr>
        <w:sym w:font="Wingdings" w:char="00A8"/>
      </w:r>
      <w:r>
        <w:rPr>
          <w:rFonts w:hint="eastAsia" w:ascii="宋体" w:hAnsi="宋体"/>
          <w:bCs/>
          <w:szCs w:val="21"/>
          <w:highlight w:val="none"/>
        </w:rPr>
        <w:t>分期/分项验收：</w:t>
      </w:r>
      <w:r>
        <w:rPr>
          <w:rFonts w:hint="eastAsia" w:ascii="宋体" w:hAnsi="宋体"/>
          <w:bCs/>
          <w:szCs w:val="21"/>
          <w:highlight w:val="none"/>
          <w:u w:val="single"/>
        </w:rPr>
        <w:t>/</w:t>
      </w:r>
      <w:r>
        <w:rPr>
          <w:rFonts w:hint="eastAsia" w:ascii="宋体" w:hAnsi="宋体"/>
          <w:bCs/>
          <w:color w:val="FF0000"/>
          <w:szCs w:val="21"/>
          <w:highlight w:val="none"/>
          <w:u w:val="single"/>
        </w:rPr>
        <w:t xml:space="preserve"> </w:t>
      </w:r>
    </w:p>
    <w:p w14:paraId="1EEB36C5">
      <w:pPr>
        <w:adjustRightInd w:val="0"/>
        <w:snapToGrid w:val="0"/>
        <w:spacing w:line="400" w:lineRule="exact"/>
        <w:ind w:firstLine="420" w:firstLineChars="200"/>
        <w:rPr>
          <w:rFonts w:ascii="宋体" w:hAnsi="宋体"/>
          <w:bCs/>
          <w:szCs w:val="21"/>
          <w:highlight w:val="none"/>
        </w:rPr>
      </w:pPr>
      <w:r>
        <w:rPr>
          <w:rFonts w:hint="eastAsia" w:ascii="宋体" w:hAnsi="宋体"/>
          <w:bCs/>
          <w:szCs w:val="21"/>
          <w:highlight w:val="none"/>
        </w:rPr>
        <w:t>（4）履约验收程序：</w:t>
      </w:r>
      <w:r>
        <w:rPr>
          <w:rFonts w:hint="eastAsia" w:ascii="宋体" w:hAnsi="宋体"/>
          <w:bCs/>
          <w:szCs w:val="21"/>
          <w:highlight w:val="none"/>
          <w:u w:val="single"/>
        </w:rPr>
        <w:t xml:space="preserve">                                         </w:t>
      </w:r>
    </w:p>
    <w:p w14:paraId="64ABB030">
      <w:pPr>
        <w:adjustRightInd w:val="0"/>
        <w:snapToGrid w:val="0"/>
        <w:spacing w:line="400" w:lineRule="exact"/>
        <w:ind w:firstLine="420" w:firstLineChars="200"/>
        <w:rPr>
          <w:rFonts w:ascii="宋体" w:hAnsi="宋体"/>
          <w:bCs/>
          <w:szCs w:val="21"/>
          <w:highlight w:val="none"/>
          <w:u w:val="single"/>
        </w:rPr>
      </w:pPr>
      <w:r>
        <w:rPr>
          <w:rFonts w:hint="eastAsia" w:ascii="宋体" w:hAnsi="宋体"/>
          <w:bCs/>
          <w:szCs w:val="21"/>
          <w:highlight w:val="none"/>
        </w:rPr>
        <w:t>（5）履约验收的内容：</w:t>
      </w:r>
      <w:r>
        <w:rPr>
          <w:rFonts w:hint="eastAsia" w:ascii="宋体" w:hAnsi="宋体"/>
          <w:bCs/>
          <w:szCs w:val="21"/>
          <w:highlight w:val="none"/>
          <w:u w:val="single"/>
        </w:rPr>
        <w:t xml:space="preserve"> （应当包括每一项技术和商务要求的履约情况，特别是落实政府采购扶持中小企业，支持绿色发展和乡村振兴等政策情况）                                      </w:t>
      </w:r>
    </w:p>
    <w:p w14:paraId="26BE3AFA">
      <w:pPr>
        <w:adjustRightInd w:val="0"/>
        <w:snapToGrid w:val="0"/>
        <w:spacing w:line="400" w:lineRule="exact"/>
        <w:ind w:firstLine="420" w:firstLineChars="200"/>
        <w:rPr>
          <w:rFonts w:ascii="宋体" w:hAnsi="宋体"/>
          <w:bCs/>
          <w:szCs w:val="21"/>
          <w:highlight w:val="none"/>
          <w:u w:val="single"/>
        </w:rPr>
      </w:pPr>
      <w:r>
        <w:rPr>
          <w:rFonts w:hint="eastAsia" w:ascii="宋体" w:hAnsi="宋体"/>
          <w:bCs/>
          <w:szCs w:val="21"/>
          <w:highlight w:val="none"/>
        </w:rPr>
        <w:t>（6）履约验收标准：</w:t>
      </w:r>
      <w:r>
        <w:rPr>
          <w:rFonts w:hint="eastAsia" w:ascii="宋体" w:hAnsi="宋体"/>
          <w:bCs/>
          <w:szCs w:val="21"/>
          <w:highlight w:val="none"/>
          <w:u w:val="single"/>
        </w:rPr>
        <w:t xml:space="preserve">                                         </w:t>
      </w:r>
    </w:p>
    <w:p w14:paraId="45407A86">
      <w:pPr>
        <w:pStyle w:val="64"/>
        <w:ind w:firstLine="420"/>
        <w:rPr>
          <w:rFonts w:ascii="宋体" w:hAnsi="宋体" w:eastAsia="宋体" w:cs="宋体"/>
          <w:sz w:val="21"/>
          <w:highlight w:val="none"/>
        </w:rPr>
      </w:pPr>
      <w:r>
        <w:rPr>
          <w:rFonts w:hint="eastAsia" w:ascii="宋体" w:hAnsi="宋体" w:eastAsia="宋体" w:cs="宋体"/>
          <w:bCs/>
          <w:sz w:val="21"/>
          <w:highlight w:val="none"/>
        </w:rPr>
        <w:t>（7）是否以采购活动中供应商提供的样品作为参考：</w:t>
      </w:r>
      <w:r>
        <w:rPr>
          <w:rFonts w:hint="eastAsia" w:ascii="宋体" w:hAnsi="宋体" w:eastAsia="宋体" w:cs="宋体"/>
          <w:sz w:val="21"/>
          <w:highlight w:val="none"/>
        </w:rPr>
        <w:sym w:font="Wingdings" w:char="00A8"/>
      </w:r>
      <w:r>
        <w:rPr>
          <w:rFonts w:hint="eastAsia" w:ascii="宋体" w:hAnsi="宋体" w:eastAsia="宋体" w:cs="宋体"/>
          <w:bCs/>
          <w:sz w:val="21"/>
          <w:highlight w:val="none"/>
        </w:rPr>
        <w:t xml:space="preserve">是  </w:t>
      </w:r>
      <w:r>
        <w:rPr>
          <w:rFonts w:hint="eastAsia" w:ascii="宋体" w:hAnsi="宋体" w:eastAsia="宋体" w:cs="宋体"/>
          <w:sz w:val="21"/>
          <w:highlight w:val="none"/>
        </w:rPr>
        <w:sym w:font="Wingdings" w:char="00A8"/>
      </w:r>
      <w:r>
        <w:rPr>
          <w:rFonts w:hint="eastAsia" w:ascii="宋体" w:hAnsi="宋体" w:eastAsia="宋体" w:cs="宋体"/>
          <w:bCs/>
          <w:sz w:val="21"/>
          <w:highlight w:val="none"/>
        </w:rPr>
        <w:t>否</w:t>
      </w:r>
    </w:p>
    <w:p w14:paraId="3E8BAA44">
      <w:pPr>
        <w:adjustRightInd w:val="0"/>
        <w:snapToGrid w:val="0"/>
        <w:spacing w:line="400" w:lineRule="exact"/>
        <w:ind w:firstLine="420" w:firstLineChars="200"/>
        <w:rPr>
          <w:rFonts w:ascii="宋体" w:hAnsi="宋体" w:cs="宋体"/>
          <w:bCs/>
          <w:szCs w:val="21"/>
          <w:highlight w:val="none"/>
          <w:u w:val="single"/>
        </w:rPr>
      </w:pPr>
      <w:r>
        <w:rPr>
          <w:rFonts w:hint="eastAsia" w:ascii="宋体" w:hAnsi="宋体" w:cs="宋体"/>
          <w:bCs/>
          <w:szCs w:val="21"/>
          <w:highlight w:val="none"/>
        </w:rPr>
        <w:t>（8）履约验收其他事项：</w:t>
      </w:r>
      <w:r>
        <w:rPr>
          <w:rFonts w:hint="eastAsia" w:ascii="宋体" w:hAnsi="宋体" w:cs="宋体"/>
          <w:bCs/>
          <w:szCs w:val="21"/>
          <w:highlight w:val="none"/>
          <w:u w:val="single"/>
        </w:rPr>
        <w:t xml:space="preserve">      （产权过户登记等）          </w:t>
      </w:r>
    </w:p>
    <w:p w14:paraId="086F32F1">
      <w:pPr>
        <w:numPr>
          <w:ilvl w:val="0"/>
          <w:numId w:val="167"/>
        </w:numPr>
        <w:adjustRightInd w:val="0"/>
        <w:snapToGrid w:val="0"/>
        <w:spacing w:line="400" w:lineRule="exact"/>
        <w:ind w:firstLine="422" w:firstLineChars="200"/>
        <w:rPr>
          <w:rFonts w:ascii="宋体" w:hAnsi="宋体"/>
          <w:b/>
          <w:szCs w:val="21"/>
          <w:highlight w:val="none"/>
        </w:rPr>
      </w:pPr>
      <w:r>
        <w:rPr>
          <w:rFonts w:hint="eastAsia" w:ascii="宋体" w:hAnsi="宋体"/>
          <w:b/>
          <w:szCs w:val="21"/>
          <w:highlight w:val="none"/>
        </w:rPr>
        <w:t>组成合同的文件</w:t>
      </w:r>
    </w:p>
    <w:p w14:paraId="370C3BE8">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本协议书与下列文件一起构成合同文件，如下述文件之间有任何抵触、矛盾或歧义，应按以下顺序解释：</w:t>
      </w:r>
    </w:p>
    <w:p w14:paraId="279F3FCC">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（1）政府采购合同协议书及其变更、补充协议</w:t>
      </w:r>
    </w:p>
    <w:p w14:paraId="74D1316B">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（2）政府采购合同专用条款</w:t>
      </w:r>
    </w:p>
    <w:p w14:paraId="35C01F41">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（3）政府采购合同通用条款</w:t>
      </w:r>
    </w:p>
    <w:p w14:paraId="00AD7278">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（4）中标（成交）通知书</w:t>
      </w:r>
    </w:p>
    <w:p w14:paraId="142AFFD9">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（5）投标（响应）文件</w:t>
      </w:r>
    </w:p>
    <w:p w14:paraId="581E4D37">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（6）采购文件</w:t>
      </w:r>
    </w:p>
    <w:p w14:paraId="62E7780F">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（7）有关技术文件，图纸</w:t>
      </w:r>
    </w:p>
    <w:p w14:paraId="250A3178">
      <w:pPr>
        <w:pStyle w:val="64"/>
        <w:ind w:firstLine="420"/>
        <w:rPr>
          <w:rFonts w:ascii="宋体" w:hAnsi="宋体" w:eastAsia="宋体" w:cs="宋体"/>
          <w:kern w:val="2"/>
          <w:sz w:val="21"/>
          <w:highlight w:val="none"/>
        </w:rPr>
      </w:pPr>
      <w:r>
        <w:rPr>
          <w:rFonts w:hint="eastAsia" w:ascii="宋体" w:hAnsi="宋体" w:eastAsia="宋体" w:cs="宋体"/>
          <w:sz w:val="21"/>
          <w:highlight w:val="none"/>
        </w:rPr>
        <w:t>（8）</w:t>
      </w:r>
      <w:r>
        <w:rPr>
          <w:rFonts w:hint="eastAsia" w:ascii="宋体" w:hAnsi="宋体" w:eastAsia="宋体" w:cs="宋体"/>
          <w:color w:val="000000"/>
          <w:kern w:val="2"/>
          <w:sz w:val="21"/>
          <w:highlight w:val="none"/>
        </w:rPr>
        <w:t>国家法律、行政法规和规章制度规定或合同约定的作为合同组成部分的其他文件</w:t>
      </w:r>
    </w:p>
    <w:p w14:paraId="61033652">
      <w:pPr>
        <w:numPr>
          <w:ilvl w:val="0"/>
          <w:numId w:val="167"/>
        </w:numPr>
        <w:adjustRightInd w:val="0"/>
        <w:snapToGrid w:val="0"/>
        <w:spacing w:line="400" w:lineRule="exact"/>
        <w:ind w:firstLine="422" w:firstLineChars="200"/>
        <w:rPr>
          <w:rFonts w:ascii="宋体" w:hAnsi="宋体"/>
          <w:b/>
          <w:szCs w:val="21"/>
          <w:highlight w:val="none"/>
        </w:rPr>
      </w:pPr>
      <w:r>
        <w:rPr>
          <w:rFonts w:hint="eastAsia" w:ascii="宋体" w:hAnsi="宋体"/>
          <w:b/>
          <w:szCs w:val="21"/>
          <w:highlight w:val="none"/>
        </w:rPr>
        <w:t>合同生效</w:t>
      </w:r>
    </w:p>
    <w:p w14:paraId="316069C3">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本合同自</w:t>
      </w:r>
      <w:r>
        <w:rPr>
          <w:rFonts w:hint="eastAsia" w:ascii="宋体" w:hAnsi="宋体"/>
          <w:szCs w:val="21"/>
          <w:highlight w:val="none"/>
          <w:u w:val="single"/>
        </w:rPr>
        <w:t xml:space="preserve">  双方签字盖章后  </w:t>
      </w:r>
      <w:r>
        <w:rPr>
          <w:rFonts w:hint="eastAsia" w:ascii="宋体" w:hAnsi="宋体"/>
          <w:szCs w:val="21"/>
          <w:highlight w:val="none"/>
        </w:rPr>
        <w:t>生效。</w:t>
      </w:r>
    </w:p>
    <w:p w14:paraId="4719C4F8">
      <w:pPr>
        <w:numPr>
          <w:ilvl w:val="0"/>
          <w:numId w:val="167"/>
        </w:numPr>
        <w:adjustRightInd w:val="0"/>
        <w:snapToGrid w:val="0"/>
        <w:spacing w:line="400" w:lineRule="exact"/>
        <w:ind w:firstLine="422" w:firstLineChars="200"/>
        <w:rPr>
          <w:rFonts w:ascii="宋体" w:hAnsi="宋体"/>
          <w:b/>
          <w:szCs w:val="21"/>
          <w:highlight w:val="none"/>
        </w:rPr>
      </w:pPr>
      <w:r>
        <w:rPr>
          <w:rFonts w:hint="eastAsia" w:ascii="宋体" w:hAnsi="宋体"/>
          <w:b/>
          <w:szCs w:val="21"/>
          <w:highlight w:val="none"/>
        </w:rPr>
        <w:t>合同份数</w:t>
      </w:r>
    </w:p>
    <w:p w14:paraId="3CB0E39E">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本合同一式</w:t>
      </w:r>
      <w:r>
        <w:rPr>
          <w:rFonts w:hint="eastAsia" w:ascii="宋体" w:hAnsi="宋体"/>
          <w:szCs w:val="21"/>
          <w:highlight w:val="none"/>
          <w:u w:val="single"/>
        </w:rPr>
        <w:t>7</w:t>
      </w:r>
      <w:r>
        <w:rPr>
          <w:rFonts w:hint="eastAsia" w:ascii="宋体" w:hAnsi="宋体"/>
          <w:szCs w:val="21"/>
          <w:highlight w:val="none"/>
        </w:rPr>
        <w:t>份，甲方执</w:t>
      </w:r>
      <w:r>
        <w:rPr>
          <w:rFonts w:hint="eastAsia" w:ascii="宋体" w:hAnsi="宋体"/>
          <w:szCs w:val="21"/>
          <w:highlight w:val="none"/>
          <w:u w:val="single"/>
        </w:rPr>
        <w:t>3</w:t>
      </w:r>
      <w:r>
        <w:rPr>
          <w:rFonts w:hint="eastAsia" w:ascii="宋体" w:hAnsi="宋体"/>
          <w:szCs w:val="21"/>
          <w:highlight w:val="none"/>
        </w:rPr>
        <w:t>份，乙方执</w:t>
      </w:r>
      <w:r>
        <w:rPr>
          <w:rFonts w:hint="eastAsia" w:ascii="宋体" w:hAnsi="宋体"/>
          <w:szCs w:val="21"/>
          <w:highlight w:val="none"/>
          <w:u w:val="single"/>
        </w:rPr>
        <w:t>2</w:t>
      </w:r>
      <w:r>
        <w:rPr>
          <w:rFonts w:hint="eastAsia" w:ascii="宋体" w:hAnsi="宋体"/>
          <w:szCs w:val="21"/>
          <w:highlight w:val="none"/>
        </w:rPr>
        <w:t>份，采购代理机构</w:t>
      </w:r>
      <w:r>
        <w:rPr>
          <w:rFonts w:hint="eastAsia" w:ascii="宋体" w:hAnsi="宋体"/>
          <w:szCs w:val="21"/>
          <w:highlight w:val="none"/>
          <w:u w:val="single"/>
        </w:rPr>
        <w:t>1</w:t>
      </w:r>
      <w:r>
        <w:rPr>
          <w:rFonts w:hint="eastAsia" w:ascii="宋体" w:hAnsi="宋体"/>
          <w:szCs w:val="21"/>
          <w:highlight w:val="none"/>
        </w:rPr>
        <w:t>份，财政部门</w:t>
      </w:r>
      <w:r>
        <w:rPr>
          <w:rFonts w:hint="eastAsia" w:ascii="宋体" w:hAnsi="宋体"/>
          <w:szCs w:val="21"/>
          <w:highlight w:val="none"/>
          <w:u w:val="single"/>
        </w:rPr>
        <w:t>1</w:t>
      </w:r>
      <w:r>
        <w:rPr>
          <w:rFonts w:hint="eastAsia" w:ascii="宋体" w:hAnsi="宋体"/>
          <w:szCs w:val="21"/>
          <w:highlight w:val="none"/>
        </w:rPr>
        <w:t>份，均具有同等法律效力。</w:t>
      </w:r>
    </w:p>
    <w:p w14:paraId="6AC911DB">
      <w:pPr>
        <w:adjustRightInd w:val="0"/>
        <w:snapToGrid w:val="0"/>
        <w:spacing w:line="400" w:lineRule="exact"/>
        <w:ind w:firstLine="420" w:firstLineChars="200"/>
        <w:rPr>
          <w:rFonts w:ascii="宋体" w:hAnsi="宋体"/>
          <w:szCs w:val="21"/>
          <w:highlight w:val="none"/>
        </w:rPr>
      </w:pPr>
    </w:p>
    <w:p w14:paraId="0091DD8B">
      <w:pPr>
        <w:adjustRightInd w:val="0"/>
        <w:snapToGrid w:val="0"/>
        <w:spacing w:line="400" w:lineRule="exact"/>
        <w:ind w:firstLine="420" w:firstLineChars="200"/>
        <w:rPr>
          <w:rFonts w:ascii="宋体" w:hAnsi="宋体"/>
          <w:szCs w:val="21"/>
          <w:highlight w:val="none"/>
        </w:rPr>
      </w:pPr>
    </w:p>
    <w:p w14:paraId="059FC051">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合同订立时间：</w:t>
      </w:r>
      <w:r>
        <w:rPr>
          <w:rFonts w:hint="eastAsia" w:ascii="宋体" w:hAnsi="宋体"/>
          <w:szCs w:val="21"/>
          <w:highlight w:val="none"/>
          <w:u w:val="single"/>
        </w:rPr>
        <w:t xml:space="preserve">         </w:t>
      </w:r>
      <w:r>
        <w:rPr>
          <w:rFonts w:hint="eastAsia" w:ascii="宋体" w:hAnsi="宋体"/>
          <w:szCs w:val="21"/>
          <w:highlight w:val="none"/>
        </w:rPr>
        <w:t>年</w:t>
      </w:r>
      <w:r>
        <w:rPr>
          <w:rFonts w:hint="eastAsia" w:ascii="宋体" w:hAnsi="宋体"/>
          <w:szCs w:val="21"/>
          <w:highlight w:val="none"/>
          <w:u w:val="single"/>
        </w:rPr>
        <w:t xml:space="preserve">      </w:t>
      </w:r>
      <w:r>
        <w:rPr>
          <w:rFonts w:hint="eastAsia" w:ascii="宋体" w:hAnsi="宋体"/>
          <w:szCs w:val="21"/>
          <w:highlight w:val="none"/>
        </w:rPr>
        <w:t>月</w:t>
      </w:r>
      <w:r>
        <w:rPr>
          <w:rFonts w:hint="eastAsia" w:ascii="宋体" w:hAnsi="宋体"/>
          <w:szCs w:val="21"/>
          <w:highlight w:val="none"/>
          <w:u w:val="single"/>
        </w:rPr>
        <w:t xml:space="preserve">      </w:t>
      </w:r>
      <w:r>
        <w:rPr>
          <w:rFonts w:hint="eastAsia" w:ascii="宋体" w:hAnsi="宋体"/>
          <w:szCs w:val="21"/>
          <w:highlight w:val="none"/>
        </w:rPr>
        <w:t>日</w:t>
      </w:r>
    </w:p>
    <w:p w14:paraId="0C14B619">
      <w:pPr>
        <w:adjustRightInd w:val="0"/>
        <w:snapToGrid w:val="0"/>
        <w:spacing w:line="400" w:lineRule="exact"/>
        <w:ind w:firstLine="420" w:firstLineChars="200"/>
        <w:rPr>
          <w:rFonts w:ascii="宋体" w:hAnsi="宋体"/>
          <w:szCs w:val="21"/>
          <w:highlight w:val="none"/>
        </w:rPr>
      </w:pPr>
      <w:r>
        <w:rPr>
          <w:rFonts w:hint="eastAsia" w:ascii="宋体" w:hAnsi="宋体"/>
          <w:szCs w:val="21"/>
          <w:highlight w:val="none"/>
        </w:rPr>
        <w:t>合同订立地点：</w:t>
      </w:r>
      <w:r>
        <w:rPr>
          <w:rFonts w:hint="eastAsia" w:ascii="宋体" w:hAnsi="宋体"/>
          <w:szCs w:val="21"/>
          <w:highlight w:val="none"/>
          <w:u w:val="single"/>
        </w:rPr>
        <w:t xml:space="preserve"> </w:t>
      </w:r>
      <w:r>
        <w:rPr>
          <w:rFonts w:hint="eastAsia" w:ascii="宋体" w:hAnsi="宋体"/>
          <w:szCs w:val="21"/>
          <w:highlight w:val="none"/>
          <w:u w:val="single"/>
          <w:lang w:eastAsia="zh-CN"/>
        </w:rPr>
        <w:t>大祥区教育局</w:t>
      </w:r>
      <w:r>
        <w:rPr>
          <w:rFonts w:hint="eastAsia" w:ascii="宋体" w:hAnsi="宋体"/>
          <w:szCs w:val="21"/>
          <w:highlight w:val="none"/>
          <w:u w:val="single"/>
        </w:rPr>
        <w:t xml:space="preserve">   </w:t>
      </w:r>
    </w:p>
    <w:p w14:paraId="27898C0F">
      <w:pPr>
        <w:adjustRightInd w:val="0"/>
        <w:snapToGrid w:val="0"/>
        <w:spacing w:line="400" w:lineRule="exact"/>
        <w:ind w:firstLine="420" w:firstLineChars="200"/>
        <w:rPr>
          <w:rFonts w:ascii="宋体" w:hAnsi="宋体"/>
          <w:szCs w:val="21"/>
          <w:highlight w:val="none"/>
        </w:rPr>
      </w:pPr>
    </w:p>
    <w:p w14:paraId="196FD68E">
      <w:pPr>
        <w:adjustRightInd w:val="0"/>
        <w:snapToGrid w:val="0"/>
        <w:spacing w:line="400" w:lineRule="exact"/>
        <w:ind w:firstLine="422" w:firstLineChars="200"/>
        <w:rPr>
          <w:szCs w:val="21"/>
          <w:highlight w:val="none"/>
        </w:rPr>
      </w:pPr>
      <w:r>
        <w:rPr>
          <w:rFonts w:hint="eastAsia" w:ascii="宋体" w:hAnsi="宋体"/>
          <w:b/>
          <w:bCs/>
          <w:szCs w:val="21"/>
          <w:highlight w:val="none"/>
        </w:rPr>
        <w:t>附件：</w:t>
      </w:r>
      <w:r>
        <w:rPr>
          <w:rFonts w:hint="eastAsia" w:ascii="宋体" w:hAnsi="宋体"/>
          <w:szCs w:val="21"/>
          <w:highlight w:val="none"/>
        </w:rPr>
        <w:t>具体标的及其技术要求和商务要求、联合协议、分包意向协议等。</w:t>
      </w:r>
    </w:p>
    <w:p w14:paraId="2F651EC6">
      <w:pPr>
        <w:pStyle w:val="69"/>
        <w:spacing w:line="400" w:lineRule="exact"/>
        <w:rPr>
          <w:szCs w:val="21"/>
          <w:highlight w:val="none"/>
        </w:rPr>
      </w:pPr>
    </w:p>
    <w:p w14:paraId="6A676079">
      <w:pPr>
        <w:bidi w:val="0"/>
      </w:pPr>
      <w:r>
        <w:rPr>
          <w:sz w:val="21"/>
          <w:szCs w:val="21"/>
          <w:highlight w:val="none"/>
          <w:lang w:val="en"/>
        </w:rPr>
        <w:t xml:space="preserve"> </w:t>
      </w:r>
      <w:r>
        <w:rPr>
          <w:lang w:val="en"/>
        </w:rPr>
        <w:t xml:space="preserve">  </w:t>
      </w:r>
    </w:p>
    <w:p w14:paraId="6D299716">
      <w:pPr>
        <w:rPr>
          <w:szCs w:val="21"/>
          <w:highlight w:val="none"/>
        </w:rPr>
      </w:pPr>
      <w:r>
        <w:rPr>
          <w:rFonts w:hint="eastAsia"/>
          <w:szCs w:val="21"/>
          <w:highlight w:val="none"/>
        </w:rPr>
        <w:br w:type="page"/>
      </w:r>
    </w:p>
    <w:p w14:paraId="22935434">
      <w:pPr>
        <w:pStyle w:val="69"/>
        <w:rPr>
          <w:szCs w:val="21"/>
          <w:highlight w:val="none"/>
        </w:rPr>
      </w:pPr>
    </w:p>
    <w:tbl>
      <w:tblPr>
        <w:tblStyle w:val="43"/>
        <w:tblW w:w="4927" w:type="pct"/>
        <w:tblInd w:w="0" w:type="dxa"/>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1946"/>
        <w:gridCol w:w="2482"/>
        <w:gridCol w:w="2036"/>
        <w:gridCol w:w="2178"/>
      </w:tblGrid>
      <w:tr w14:paraId="528E9C3E">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90" w:hRule="atLeast"/>
        </w:trPr>
        <w:tc>
          <w:tcPr>
            <w:tcW w:w="2562" w:type="pct"/>
            <w:gridSpan w:val="2"/>
            <w:tcBorders>
              <w:bottom w:val="single" w:color="auto" w:sz="2" w:space="0"/>
              <w:right w:val="single" w:color="auto" w:sz="2" w:space="0"/>
            </w:tcBorders>
            <w:vAlign w:val="center"/>
          </w:tcPr>
          <w:p w14:paraId="0D9AB8CA">
            <w:pPr>
              <w:adjustRightInd w:val="0"/>
              <w:snapToGrid w:val="0"/>
              <w:spacing w:line="300" w:lineRule="exact"/>
              <w:jc w:val="center"/>
              <w:rPr>
                <w:szCs w:val="21"/>
                <w:highlight w:val="none"/>
              </w:rPr>
            </w:pPr>
            <w:r>
              <w:rPr>
                <w:szCs w:val="21"/>
                <w:highlight w:val="none"/>
              </w:rPr>
              <w:t>甲方</w:t>
            </w:r>
            <w:r>
              <w:rPr>
                <w:rFonts w:hint="eastAsia"/>
                <w:szCs w:val="21"/>
                <w:highlight w:val="none"/>
              </w:rPr>
              <w:t>（采购人</w:t>
            </w:r>
            <w:r>
              <w:rPr>
                <w:rFonts w:hint="eastAsia" w:ascii="宋体" w:hAnsi="宋体"/>
                <w:szCs w:val="21"/>
                <w:highlight w:val="none"/>
              </w:rPr>
              <w:t>、受采购人委托签订合同的单位或</w:t>
            </w:r>
            <w:r>
              <w:rPr>
                <w:rFonts w:hint="eastAsia"/>
                <w:szCs w:val="21"/>
                <w:highlight w:val="none"/>
              </w:rPr>
              <w:t>采购文件约定的合同甲方）</w:t>
            </w:r>
          </w:p>
        </w:tc>
        <w:tc>
          <w:tcPr>
            <w:tcW w:w="2437" w:type="pct"/>
            <w:gridSpan w:val="2"/>
            <w:tcBorders>
              <w:left w:val="single" w:color="auto" w:sz="2" w:space="0"/>
              <w:bottom w:val="single" w:color="auto" w:sz="2" w:space="0"/>
            </w:tcBorders>
            <w:vAlign w:val="center"/>
          </w:tcPr>
          <w:p w14:paraId="7265608D">
            <w:pPr>
              <w:adjustRightInd w:val="0"/>
              <w:snapToGrid w:val="0"/>
              <w:spacing w:line="300" w:lineRule="exact"/>
              <w:jc w:val="center"/>
              <w:rPr>
                <w:szCs w:val="21"/>
                <w:highlight w:val="none"/>
              </w:rPr>
            </w:pPr>
            <w:r>
              <w:rPr>
                <w:szCs w:val="21"/>
                <w:highlight w:val="none"/>
              </w:rPr>
              <w:t>乙方</w:t>
            </w:r>
            <w:r>
              <w:rPr>
                <w:rFonts w:hint="eastAsia"/>
                <w:szCs w:val="21"/>
                <w:highlight w:val="none"/>
              </w:rPr>
              <w:t>（供应商）</w:t>
            </w:r>
          </w:p>
        </w:tc>
      </w:tr>
      <w:tr w14:paraId="09B7EE84">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917" w:hRule="atLeast"/>
        </w:trPr>
        <w:tc>
          <w:tcPr>
            <w:tcW w:w="1126" w:type="pct"/>
            <w:tcBorders>
              <w:top w:val="single" w:color="auto" w:sz="2" w:space="0"/>
              <w:bottom w:val="single" w:color="auto" w:sz="2" w:space="0"/>
              <w:right w:val="single" w:color="auto" w:sz="2" w:space="0"/>
            </w:tcBorders>
            <w:vAlign w:val="center"/>
          </w:tcPr>
          <w:p w14:paraId="2CDD4997">
            <w:pPr>
              <w:adjustRightInd w:val="0"/>
              <w:snapToGrid w:val="0"/>
              <w:spacing w:line="300" w:lineRule="exact"/>
              <w:jc w:val="center"/>
              <w:rPr>
                <w:szCs w:val="21"/>
                <w:highlight w:val="none"/>
              </w:rPr>
            </w:pPr>
            <w:r>
              <w:rPr>
                <w:szCs w:val="21"/>
                <w:highlight w:val="none"/>
              </w:rPr>
              <w:t>单位名称</w:t>
            </w:r>
            <w:r>
              <w:rPr>
                <w:rFonts w:hint="eastAsia"/>
                <w:szCs w:val="21"/>
                <w:highlight w:val="none"/>
              </w:rPr>
              <w:t>（公章或合同章）</w:t>
            </w:r>
          </w:p>
        </w:tc>
        <w:tc>
          <w:tcPr>
            <w:tcW w:w="1436" w:type="pct"/>
            <w:tcBorders>
              <w:top w:val="single" w:color="auto" w:sz="2" w:space="0"/>
              <w:left w:val="single" w:color="auto" w:sz="2" w:space="0"/>
              <w:bottom w:val="single" w:color="auto" w:sz="2" w:space="0"/>
              <w:right w:val="single" w:color="auto" w:sz="2" w:space="0"/>
            </w:tcBorders>
            <w:vAlign w:val="center"/>
          </w:tcPr>
          <w:p w14:paraId="05361F29">
            <w:pPr>
              <w:adjustRightInd w:val="0"/>
              <w:snapToGrid w:val="0"/>
              <w:spacing w:line="300" w:lineRule="exact"/>
              <w:jc w:val="center"/>
              <w:rPr>
                <w:rFonts w:hint="eastAsia" w:eastAsia="宋体"/>
                <w:szCs w:val="21"/>
                <w:highlight w:val="none"/>
                <w:lang w:eastAsia="zh-CN"/>
              </w:rPr>
            </w:pPr>
            <w:r>
              <w:rPr>
                <w:rFonts w:hint="eastAsia"/>
                <w:szCs w:val="21"/>
                <w:highlight w:val="none"/>
                <w:lang w:eastAsia="zh-CN"/>
              </w:rPr>
              <w:t>大祥区教育局</w:t>
            </w:r>
          </w:p>
        </w:tc>
        <w:tc>
          <w:tcPr>
            <w:tcW w:w="1178" w:type="pct"/>
            <w:tcBorders>
              <w:top w:val="single" w:color="auto" w:sz="2" w:space="0"/>
              <w:left w:val="single" w:color="auto" w:sz="2" w:space="0"/>
              <w:bottom w:val="single" w:color="auto" w:sz="2" w:space="0"/>
              <w:right w:val="single" w:color="auto" w:sz="2" w:space="0"/>
            </w:tcBorders>
            <w:vAlign w:val="center"/>
          </w:tcPr>
          <w:p w14:paraId="5E01F601">
            <w:pPr>
              <w:adjustRightInd w:val="0"/>
              <w:snapToGrid w:val="0"/>
              <w:spacing w:line="300" w:lineRule="exact"/>
              <w:jc w:val="center"/>
              <w:rPr>
                <w:szCs w:val="21"/>
                <w:highlight w:val="none"/>
              </w:rPr>
            </w:pPr>
            <w:r>
              <w:rPr>
                <w:szCs w:val="21"/>
                <w:highlight w:val="none"/>
              </w:rPr>
              <w:t>单位名称</w:t>
            </w:r>
            <w:r>
              <w:rPr>
                <w:rFonts w:hint="eastAsia"/>
                <w:szCs w:val="21"/>
                <w:highlight w:val="none"/>
              </w:rPr>
              <w:t>（公章或合同章）</w:t>
            </w:r>
          </w:p>
        </w:tc>
        <w:tc>
          <w:tcPr>
            <w:tcW w:w="1259" w:type="pct"/>
            <w:tcBorders>
              <w:top w:val="single" w:color="auto" w:sz="2" w:space="0"/>
              <w:left w:val="single" w:color="auto" w:sz="2" w:space="0"/>
              <w:bottom w:val="single" w:color="auto" w:sz="2" w:space="0"/>
            </w:tcBorders>
            <w:vAlign w:val="center"/>
          </w:tcPr>
          <w:p w14:paraId="58B99681">
            <w:pPr>
              <w:adjustRightInd w:val="0"/>
              <w:snapToGrid w:val="0"/>
              <w:spacing w:line="300" w:lineRule="exact"/>
              <w:jc w:val="center"/>
              <w:rPr>
                <w:spacing w:val="20"/>
                <w:szCs w:val="21"/>
                <w:highlight w:val="none"/>
              </w:rPr>
            </w:pPr>
          </w:p>
        </w:tc>
      </w:tr>
      <w:tr w14:paraId="30312487">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1171" w:hRule="atLeast"/>
        </w:trPr>
        <w:tc>
          <w:tcPr>
            <w:tcW w:w="1126" w:type="pct"/>
            <w:vMerge w:val="restart"/>
            <w:tcBorders>
              <w:top w:val="single" w:color="auto" w:sz="2" w:space="0"/>
              <w:right w:val="single" w:color="auto" w:sz="2" w:space="0"/>
            </w:tcBorders>
            <w:vAlign w:val="center"/>
          </w:tcPr>
          <w:p w14:paraId="423CDEF8">
            <w:pPr>
              <w:adjustRightInd w:val="0"/>
              <w:snapToGrid w:val="0"/>
              <w:spacing w:line="300" w:lineRule="exact"/>
              <w:jc w:val="center"/>
              <w:rPr>
                <w:szCs w:val="21"/>
                <w:highlight w:val="none"/>
              </w:rPr>
            </w:pPr>
            <w:r>
              <w:rPr>
                <w:szCs w:val="21"/>
                <w:highlight w:val="none"/>
              </w:rPr>
              <w:t>法定代表人</w:t>
            </w:r>
          </w:p>
          <w:p w14:paraId="356AB20A">
            <w:pPr>
              <w:adjustRightInd w:val="0"/>
              <w:snapToGrid w:val="0"/>
              <w:spacing w:line="300" w:lineRule="exact"/>
              <w:ind w:firstLine="100" w:firstLineChars="48"/>
              <w:jc w:val="center"/>
              <w:rPr>
                <w:szCs w:val="21"/>
                <w:highlight w:val="none"/>
              </w:rPr>
            </w:pPr>
            <w:r>
              <w:rPr>
                <w:rFonts w:hint="eastAsia"/>
                <w:szCs w:val="21"/>
                <w:highlight w:val="none"/>
              </w:rPr>
              <w:t>或其</w:t>
            </w:r>
            <w:r>
              <w:rPr>
                <w:szCs w:val="21"/>
                <w:highlight w:val="none"/>
              </w:rPr>
              <w:t>委托代理人</w:t>
            </w:r>
            <w:r>
              <w:rPr>
                <w:rFonts w:hint="eastAsia"/>
                <w:szCs w:val="21"/>
                <w:highlight w:val="none"/>
              </w:rPr>
              <w:t>（签章）</w:t>
            </w:r>
          </w:p>
        </w:tc>
        <w:tc>
          <w:tcPr>
            <w:tcW w:w="1436" w:type="pct"/>
            <w:vMerge w:val="restart"/>
            <w:tcBorders>
              <w:top w:val="single" w:color="auto" w:sz="2" w:space="0"/>
              <w:left w:val="single" w:color="auto" w:sz="2" w:space="0"/>
              <w:right w:val="single" w:color="auto" w:sz="2" w:space="0"/>
            </w:tcBorders>
            <w:vAlign w:val="center"/>
          </w:tcPr>
          <w:p w14:paraId="4ABBF9DE">
            <w:pPr>
              <w:adjustRightInd w:val="0"/>
              <w:snapToGrid w:val="0"/>
              <w:spacing w:line="300" w:lineRule="exact"/>
              <w:jc w:val="center"/>
              <w:rPr>
                <w:szCs w:val="21"/>
                <w:highlight w:val="none"/>
              </w:rPr>
            </w:pPr>
          </w:p>
        </w:tc>
        <w:tc>
          <w:tcPr>
            <w:tcW w:w="1178" w:type="pct"/>
            <w:tcBorders>
              <w:top w:val="single" w:color="auto" w:sz="2" w:space="0"/>
              <w:left w:val="single" w:color="auto" w:sz="2" w:space="0"/>
              <w:right w:val="single" w:color="auto" w:sz="2" w:space="0"/>
            </w:tcBorders>
            <w:vAlign w:val="center"/>
          </w:tcPr>
          <w:p w14:paraId="0CC01110">
            <w:pPr>
              <w:adjustRightInd w:val="0"/>
              <w:snapToGrid w:val="0"/>
              <w:spacing w:line="300" w:lineRule="exact"/>
              <w:jc w:val="center"/>
              <w:rPr>
                <w:szCs w:val="21"/>
                <w:highlight w:val="none"/>
              </w:rPr>
            </w:pPr>
            <w:r>
              <w:rPr>
                <w:szCs w:val="21"/>
                <w:highlight w:val="none"/>
              </w:rPr>
              <w:t>法定代表人</w:t>
            </w:r>
          </w:p>
          <w:p w14:paraId="70B2CD06">
            <w:pPr>
              <w:adjustRightInd w:val="0"/>
              <w:snapToGrid w:val="0"/>
              <w:spacing w:line="300" w:lineRule="exact"/>
              <w:jc w:val="center"/>
              <w:rPr>
                <w:szCs w:val="21"/>
                <w:highlight w:val="none"/>
              </w:rPr>
            </w:pPr>
            <w:r>
              <w:rPr>
                <w:rFonts w:hint="eastAsia"/>
                <w:szCs w:val="21"/>
                <w:highlight w:val="none"/>
              </w:rPr>
              <w:t>或其</w:t>
            </w:r>
            <w:r>
              <w:rPr>
                <w:szCs w:val="21"/>
                <w:highlight w:val="none"/>
              </w:rPr>
              <w:t>委托代理人</w:t>
            </w:r>
            <w:r>
              <w:rPr>
                <w:rFonts w:hint="eastAsia"/>
                <w:szCs w:val="21"/>
                <w:highlight w:val="none"/>
              </w:rPr>
              <w:t>（签章）</w:t>
            </w:r>
          </w:p>
        </w:tc>
        <w:tc>
          <w:tcPr>
            <w:tcW w:w="1259" w:type="pct"/>
            <w:tcBorders>
              <w:top w:val="single" w:color="auto" w:sz="2" w:space="0"/>
              <w:left w:val="single" w:color="auto" w:sz="2" w:space="0"/>
              <w:bottom w:val="single" w:color="auto" w:sz="2" w:space="0"/>
            </w:tcBorders>
            <w:vAlign w:val="center"/>
          </w:tcPr>
          <w:p w14:paraId="373D359F">
            <w:pPr>
              <w:adjustRightInd w:val="0"/>
              <w:snapToGrid w:val="0"/>
              <w:spacing w:line="300" w:lineRule="exact"/>
              <w:jc w:val="center"/>
              <w:rPr>
                <w:szCs w:val="21"/>
                <w:highlight w:val="none"/>
              </w:rPr>
            </w:pPr>
          </w:p>
        </w:tc>
      </w:tr>
      <w:tr w14:paraId="71BAD31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vMerge w:val="continue"/>
            <w:tcBorders>
              <w:bottom w:val="single" w:color="auto" w:sz="2" w:space="0"/>
              <w:right w:val="single" w:color="auto" w:sz="2" w:space="0"/>
            </w:tcBorders>
            <w:vAlign w:val="center"/>
          </w:tcPr>
          <w:p w14:paraId="362900E5">
            <w:pPr>
              <w:adjustRightInd w:val="0"/>
              <w:snapToGrid w:val="0"/>
              <w:spacing w:line="300" w:lineRule="exact"/>
              <w:jc w:val="center"/>
              <w:rPr>
                <w:szCs w:val="21"/>
                <w:highlight w:val="none"/>
              </w:rPr>
            </w:pPr>
          </w:p>
        </w:tc>
        <w:tc>
          <w:tcPr>
            <w:tcW w:w="1436" w:type="pct"/>
            <w:vMerge w:val="continue"/>
            <w:tcBorders>
              <w:left w:val="single" w:color="auto" w:sz="2" w:space="0"/>
              <w:bottom w:val="single" w:color="auto" w:sz="2" w:space="0"/>
              <w:right w:val="single" w:color="auto" w:sz="2" w:space="0"/>
            </w:tcBorders>
            <w:vAlign w:val="center"/>
          </w:tcPr>
          <w:p w14:paraId="2CB6362E">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45574BC3">
            <w:pPr>
              <w:adjustRightInd w:val="0"/>
              <w:snapToGrid w:val="0"/>
              <w:spacing w:line="300" w:lineRule="exact"/>
              <w:jc w:val="center"/>
              <w:rPr>
                <w:szCs w:val="21"/>
                <w:highlight w:val="none"/>
              </w:rPr>
            </w:pPr>
            <w:r>
              <w:rPr>
                <w:rFonts w:hint="eastAsia"/>
                <w:szCs w:val="21"/>
                <w:highlight w:val="none"/>
              </w:rPr>
              <w:t>拥有者性别</w:t>
            </w:r>
          </w:p>
        </w:tc>
        <w:tc>
          <w:tcPr>
            <w:tcW w:w="1259" w:type="pct"/>
            <w:tcBorders>
              <w:top w:val="single" w:color="auto" w:sz="2" w:space="0"/>
              <w:left w:val="single" w:color="auto" w:sz="2" w:space="0"/>
              <w:bottom w:val="single" w:color="auto" w:sz="2" w:space="0"/>
            </w:tcBorders>
            <w:vAlign w:val="center"/>
          </w:tcPr>
          <w:p w14:paraId="3EDDFA36">
            <w:pPr>
              <w:adjustRightInd w:val="0"/>
              <w:snapToGrid w:val="0"/>
              <w:spacing w:line="300" w:lineRule="exact"/>
              <w:jc w:val="center"/>
              <w:rPr>
                <w:spacing w:val="20"/>
                <w:szCs w:val="21"/>
                <w:highlight w:val="none"/>
              </w:rPr>
            </w:pPr>
          </w:p>
        </w:tc>
      </w:tr>
      <w:tr w14:paraId="1421D0F9">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5E3D96F0">
            <w:pPr>
              <w:adjustRightInd w:val="0"/>
              <w:snapToGrid w:val="0"/>
              <w:spacing w:line="300" w:lineRule="exact"/>
              <w:jc w:val="center"/>
              <w:rPr>
                <w:szCs w:val="21"/>
                <w:highlight w:val="none"/>
              </w:rPr>
            </w:pPr>
            <w:r>
              <w:rPr>
                <w:rFonts w:hint="eastAsia"/>
                <w:szCs w:val="21"/>
                <w:highlight w:val="none"/>
              </w:rPr>
              <w:t>住  所</w:t>
            </w:r>
          </w:p>
        </w:tc>
        <w:tc>
          <w:tcPr>
            <w:tcW w:w="1436" w:type="pct"/>
            <w:tcBorders>
              <w:top w:val="single" w:color="auto" w:sz="2" w:space="0"/>
              <w:left w:val="single" w:color="auto" w:sz="2" w:space="0"/>
              <w:bottom w:val="single" w:color="auto" w:sz="2" w:space="0"/>
              <w:right w:val="single" w:color="auto" w:sz="2" w:space="0"/>
            </w:tcBorders>
            <w:vAlign w:val="center"/>
          </w:tcPr>
          <w:p w14:paraId="27AACEC7">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0F9FDFD5">
            <w:pPr>
              <w:adjustRightInd w:val="0"/>
              <w:snapToGrid w:val="0"/>
              <w:spacing w:line="300" w:lineRule="exact"/>
              <w:jc w:val="center"/>
              <w:rPr>
                <w:szCs w:val="21"/>
                <w:highlight w:val="none"/>
              </w:rPr>
            </w:pPr>
            <w:r>
              <w:rPr>
                <w:rFonts w:hint="eastAsia"/>
                <w:szCs w:val="21"/>
                <w:highlight w:val="none"/>
              </w:rPr>
              <w:t>住  所</w:t>
            </w:r>
          </w:p>
        </w:tc>
        <w:tc>
          <w:tcPr>
            <w:tcW w:w="1259" w:type="pct"/>
            <w:tcBorders>
              <w:top w:val="single" w:color="auto" w:sz="2" w:space="0"/>
              <w:left w:val="single" w:color="auto" w:sz="2" w:space="0"/>
              <w:bottom w:val="single" w:color="auto" w:sz="2" w:space="0"/>
            </w:tcBorders>
            <w:vAlign w:val="center"/>
          </w:tcPr>
          <w:p w14:paraId="3A1ACA14">
            <w:pPr>
              <w:adjustRightInd w:val="0"/>
              <w:snapToGrid w:val="0"/>
              <w:spacing w:line="300" w:lineRule="exact"/>
              <w:jc w:val="center"/>
              <w:rPr>
                <w:spacing w:val="20"/>
                <w:szCs w:val="21"/>
                <w:highlight w:val="none"/>
              </w:rPr>
            </w:pPr>
          </w:p>
        </w:tc>
      </w:tr>
      <w:tr w14:paraId="7970B378">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77802008">
            <w:pPr>
              <w:adjustRightInd w:val="0"/>
              <w:snapToGrid w:val="0"/>
              <w:spacing w:line="300" w:lineRule="exact"/>
              <w:jc w:val="center"/>
              <w:rPr>
                <w:szCs w:val="21"/>
                <w:highlight w:val="none"/>
              </w:rPr>
            </w:pPr>
            <w:r>
              <w:rPr>
                <w:szCs w:val="21"/>
                <w:highlight w:val="none"/>
              </w:rPr>
              <w:t>联 系 人</w:t>
            </w:r>
          </w:p>
        </w:tc>
        <w:tc>
          <w:tcPr>
            <w:tcW w:w="1436" w:type="pct"/>
            <w:tcBorders>
              <w:top w:val="single" w:color="auto" w:sz="2" w:space="0"/>
              <w:left w:val="single" w:color="auto" w:sz="2" w:space="0"/>
              <w:bottom w:val="single" w:color="auto" w:sz="2" w:space="0"/>
              <w:right w:val="single" w:color="auto" w:sz="2" w:space="0"/>
            </w:tcBorders>
            <w:vAlign w:val="center"/>
          </w:tcPr>
          <w:p w14:paraId="57A0C489">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7558CA45">
            <w:pPr>
              <w:adjustRightInd w:val="0"/>
              <w:snapToGrid w:val="0"/>
              <w:spacing w:line="300" w:lineRule="exact"/>
              <w:jc w:val="center"/>
              <w:rPr>
                <w:szCs w:val="21"/>
                <w:highlight w:val="none"/>
              </w:rPr>
            </w:pPr>
            <w:r>
              <w:rPr>
                <w:szCs w:val="21"/>
                <w:highlight w:val="none"/>
              </w:rPr>
              <w:t>联 系 人</w:t>
            </w:r>
          </w:p>
        </w:tc>
        <w:tc>
          <w:tcPr>
            <w:tcW w:w="1259" w:type="pct"/>
            <w:tcBorders>
              <w:top w:val="single" w:color="auto" w:sz="2" w:space="0"/>
              <w:left w:val="single" w:color="auto" w:sz="2" w:space="0"/>
              <w:bottom w:val="single" w:color="auto" w:sz="2" w:space="0"/>
            </w:tcBorders>
            <w:vAlign w:val="center"/>
          </w:tcPr>
          <w:p w14:paraId="06E56DEE">
            <w:pPr>
              <w:adjustRightInd w:val="0"/>
              <w:snapToGrid w:val="0"/>
              <w:spacing w:line="300" w:lineRule="exact"/>
              <w:jc w:val="center"/>
              <w:rPr>
                <w:spacing w:val="20"/>
                <w:szCs w:val="21"/>
                <w:highlight w:val="none"/>
              </w:rPr>
            </w:pPr>
          </w:p>
        </w:tc>
      </w:tr>
      <w:tr w14:paraId="16BF5D3F">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305289BF">
            <w:pPr>
              <w:adjustRightInd w:val="0"/>
              <w:snapToGrid w:val="0"/>
              <w:spacing w:line="300" w:lineRule="exact"/>
              <w:jc w:val="center"/>
              <w:rPr>
                <w:szCs w:val="21"/>
                <w:highlight w:val="none"/>
              </w:rPr>
            </w:pPr>
            <w:r>
              <w:rPr>
                <w:szCs w:val="21"/>
                <w:highlight w:val="none"/>
              </w:rPr>
              <w:t>联系电话</w:t>
            </w:r>
          </w:p>
        </w:tc>
        <w:tc>
          <w:tcPr>
            <w:tcW w:w="1436" w:type="pct"/>
            <w:tcBorders>
              <w:top w:val="single" w:color="auto" w:sz="2" w:space="0"/>
              <w:left w:val="single" w:color="auto" w:sz="2" w:space="0"/>
              <w:bottom w:val="single" w:color="auto" w:sz="2" w:space="0"/>
              <w:right w:val="single" w:color="auto" w:sz="2" w:space="0"/>
            </w:tcBorders>
            <w:vAlign w:val="center"/>
          </w:tcPr>
          <w:p w14:paraId="1EC5D6D3">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387A7200">
            <w:pPr>
              <w:adjustRightInd w:val="0"/>
              <w:snapToGrid w:val="0"/>
              <w:spacing w:line="300" w:lineRule="exact"/>
              <w:jc w:val="center"/>
              <w:rPr>
                <w:szCs w:val="21"/>
                <w:highlight w:val="none"/>
              </w:rPr>
            </w:pPr>
            <w:r>
              <w:rPr>
                <w:szCs w:val="21"/>
                <w:highlight w:val="none"/>
              </w:rPr>
              <w:t>联系电话</w:t>
            </w:r>
          </w:p>
        </w:tc>
        <w:tc>
          <w:tcPr>
            <w:tcW w:w="1259" w:type="pct"/>
            <w:tcBorders>
              <w:top w:val="single" w:color="auto" w:sz="2" w:space="0"/>
              <w:left w:val="single" w:color="auto" w:sz="2" w:space="0"/>
              <w:bottom w:val="single" w:color="auto" w:sz="2" w:space="0"/>
            </w:tcBorders>
            <w:vAlign w:val="center"/>
          </w:tcPr>
          <w:p w14:paraId="47F096BC">
            <w:pPr>
              <w:adjustRightInd w:val="0"/>
              <w:snapToGrid w:val="0"/>
              <w:spacing w:line="300" w:lineRule="exact"/>
              <w:jc w:val="center"/>
              <w:rPr>
                <w:spacing w:val="20"/>
                <w:szCs w:val="21"/>
                <w:highlight w:val="none"/>
              </w:rPr>
            </w:pPr>
          </w:p>
        </w:tc>
      </w:tr>
      <w:tr w14:paraId="3AC37614">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02992B3C">
            <w:pPr>
              <w:adjustRightInd w:val="0"/>
              <w:snapToGrid w:val="0"/>
              <w:spacing w:line="300" w:lineRule="exact"/>
              <w:jc w:val="center"/>
              <w:rPr>
                <w:szCs w:val="21"/>
                <w:highlight w:val="none"/>
              </w:rPr>
            </w:pPr>
            <w:r>
              <w:rPr>
                <w:rFonts w:hint="eastAsia"/>
                <w:szCs w:val="21"/>
                <w:highlight w:val="none"/>
              </w:rPr>
              <w:t>通信地址</w:t>
            </w:r>
          </w:p>
        </w:tc>
        <w:tc>
          <w:tcPr>
            <w:tcW w:w="1436" w:type="pct"/>
            <w:tcBorders>
              <w:top w:val="single" w:color="auto" w:sz="2" w:space="0"/>
              <w:left w:val="single" w:color="auto" w:sz="2" w:space="0"/>
              <w:bottom w:val="single" w:color="auto" w:sz="2" w:space="0"/>
              <w:right w:val="single" w:color="auto" w:sz="2" w:space="0"/>
            </w:tcBorders>
            <w:vAlign w:val="center"/>
          </w:tcPr>
          <w:p w14:paraId="7772D407">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1D14D8FC">
            <w:pPr>
              <w:adjustRightInd w:val="0"/>
              <w:snapToGrid w:val="0"/>
              <w:spacing w:line="300" w:lineRule="exact"/>
              <w:jc w:val="center"/>
              <w:rPr>
                <w:szCs w:val="21"/>
                <w:highlight w:val="none"/>
              </w:rPr>
            </w:pPr>
            <w:r>
              <w:rPr>
                <w:rFonts w:hint="eastAsia"/>
                <w:szCs w:val="21"/>
                <w:highlight w:val="none"/>
              </w:rPr>
              <w:t>通信地址</w:t>
            </w:r>
          </w:p>
        </w:tc>
        <w:tc>
          <w:tcPr>
            <w:tcW w:w="1259" w:type="pct"/>
            <w:tcBorders>
              <w:top w:val="single" w:color="auto" w:sz="2" w:space="0"/>
              <w:left w:val="single" w:color="auto" w:sz="2" w:space="0"/>
              <w:bottom w:val="single" w:color="auto" w:sz="2" w:space="0"/>
            </w:tcBorders>
            <w:vAlign w:val="center"/>
          </w:tcPr>
          <w:p w14:paraId="60EC0B0E">
            <w:pPr>
              <w:adjustRightInd w:val="0"/>
              <w:snapToGrid w:val="0"/>
              <w:spacing w:line="300" w:lineRule="exact"/>
              <w:jc w:val="center"/>
              <w:rPr>
                <w:spacing w:val="20"/>
                <w:szCs w:val="21"/>
                <w:highlight w:val="none"/>
              </w:rPr>
            </w:pPr>
          </w:p>
        </w:tc>
      </w:tr>
      <w:tr w14:paraId="30BE7E3E">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7C2DE927">
            <w:pPr>
              <w:adjustRightInd w:val="0"/>
              <w:snapToGrid w:val="0"/>
              <w:spacing w:line="300" w:lineRule="exact"/>
              <w:jc w:val="center"/>
              <w:rPr>
                <w:szCs w:val="21"/>
                <w:highlight w:val="none"/>
              </w:rPr>
            </w:pPr>
            <w:r>
              <w:rPr>
                <w:szCs w:val="21"/>
                <w:highlight w:val="none"/>
              </w:rPr>
              <w:t>邮政编码</w:t>
            </w:r>
          </w:p>
        </w:tc>
        <w:tc>
          <w:tcPr>
            <w:tcW w:w="1436" w:type="pct"/>
            <w:tcBorders>
              <w:top w:val="single" w:color="auto" w:sz="2" w:space="0"/>
              <w:left w:val="single" w:color="auto" w:sz="2" w:space="0"/>
              <w:bottom w:val="single" w:color="auto" w:sz="2" w:space="0"/>
              <w:right w:val="single" w:color="auto" w:sz="2" w:space="0"/>
            </w:tcBorders>
            <w:vAlign w:val="center"/>
          </w:tcPr>
          <w:p w14:paraId="683982F1">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38603FCB">
            <w:pPr>
              <w:adjustRightInd w:val="0"/>
              <w:snapToGrid w:val="0"/>
              <w:spacing w:line="300" w:lineRule="exact"/>
              <w:jc w:val="center"/>
              <w:rPr>
                <w:szCs w:val="21"/>
                <w:highlight w:val="none"/>
              </w:rPr>
            </w:pPr>
            <w:r>
              <w:rPr>
                <w:szCs w:val="21"/>
                <w:highlight w:val="none"/>
              </w:rPr>
              <w:t>邮政编码</w:t>
            </w:r>
          </w:p>
        </w:tc>
        <w:tc>
          <w:tcPr>
            <w:tcW w:w="1259" w:type="pct"/>
            <w:tcBorders>
              <w:top w:val="single" w:color="auto" w:sz="2" w:space="0"/>
              <w:left w:val="single" w:color="auto" w:sz="2" w:space="0"/>
              <w:bottom w:val="single" w:color="auto" w:sz="2" w:space="0"/>
            </w:tcBorders>
            <w:vAlign w:val="center"/>
          </w:tcPr>
          <w:p w14:paraId="5AB20466">
            <w:pPr>
              <w:adjustRightInd w:val="0"/>
              <w:snapToGrid w:val="0"/>
              <w:spacing w:line="300" w:lineRule="exact"/>
              <w:jc w:val="center"/>
              <w:rPr>
                <w:spacing w:val="20"/>
                <w:szCs w:val="21"/>
                <w:highlight w:val="none"/>
              </w:rPr>
            </w:pPr>
          </w:p>
        </w:tc>
      </w:tr>
      <w:tr w14:paraId="2813E86C">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0B614A3A">
            <w:pPr>
              <w:adjustRightInd w:val="0"/>
              <w:snapToGrid w:val="0"/>
              <w:spacing w:line="300" w:lineRule="exact"/>
              <w:jc w:val="center"/>
              <w:rPr>
                <w:szCs w:val="21"/>
                <w:highlight w:val="none"/>
              </w:rPr>
            </w:pPr>
            <w:r>
              <w:rPr>
                <w:rFonts w:hint="eastAsia"/>
                <w:szCs w:val="21"/>
                <w:highlight w:val="none"/>
              </w:rPr>
              <w:t>电子邮箱</w:t>
            </w:r>
          </w:p>
        </w:tc>
        <w:tc>
          <w:tcPr>
            <w:tcW w:w="1436" w:type="pct"/>
            <w:tcBorders>
              <w:top w:val="single" w:color="auto" w:sz="2" w:space="0"/>
              <w:left w:val="single" w:color="auto" w:sz="2" w:space="0"/>
              <w:bottom w:val="single" w:color="auto" w:sz="2" w:space="0"/>
              <w:right w:val="single" w:color="auto" w:sz="2" w:space="0"/>
            </w:tcBorders>
            <w:vAlign w:val="center"/>
          </w:tcPr>
          <w:p w14:paraId="7098C15B">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1C5E80A4">
            <w:pPr>
              <w:adjustRightInd w:val="0"/>
              <w:snapToGrid w:val="0"/>
              <w:spacing w:line="300" w:lineRule="exact"/>
              <w:jc w:val="center"/>
              <w:rPr>
                <w:szCs w:val="21"/>
                <w:highlight w:val="none"/>
              </w:rPr>
            </w:pPr>
            <w:r>
              <w:rPr>
                <w:rFonts w:hint="eastAsia"/>
                <w:szCs w:val="21"/>
                <w:highlight w:val="none"/>
              </w:rPr>
              <w:t>电子邮箱</w:t>
            </w:r>
          </w:p>
        </w:tc>
        <w:tc>
          <w:tcPr>
            <w:tcW w:w="1259" w:type="pct"/>
            <w:tcBorders>
              <w:top w:val="single" w:color="auto" w:sz="2" w:space="0"/>
              <w:left w:val="single" w:color="auto" w:sz="2" w:space="0"/>
              <w:bottom w:val="single" w:color="auto" w:sz="2" w:space="0"/>
            </w:tcBorders>
            <w:vAlign w:val="center"/>
          </w:tcPr>
          <w:p w14:paraId="7BBFC240">
            <w:pPr>
              <w:adjustRightInd w:val="0"/>
              <w:snapToGrid w:val="0"/>
              <w:spacing w:line="300" w:lineRule="exact"/>
              <w:jc w:val="center"/>
              <w:rPr>
                <w:spacing w:val="20"/>
                <w:szCs w:val="21"/>
                <w:highlight w:val="none"/>
              </w:rPr>
            </w:pPr>
          </w:p>
        </w:tc>
      </w:tr>
      <w:tr w14:paraId="1FCEEF52">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277E823A">
            <w:pPr>
              <w:adjustRightInd w:val="0"/>
              <w:snapToGrid w:val="0"/>
              <w:spacing w:line="300" w:lineRule="exact"/>
              <w:jc w:val="center"/>
              <w:rPr>
                <w:szCs w:val="21"/>
                <w:highlight w:val="none"/>
              </w:rPr>
            </w:pPr>
            <w:r>
              <w:rPr>
                <w:rFonts w:hint="eastAsia"/>
                <w:szCs w:val="21"/>
                <w:highlight w:val="none"/>
              </w:rPr>
              <w:t>统一社会信用代码</w:t>
            </w:r>
          </w:p>
        </w:tc>
        <w:tc>
          <w:tcPr>
            <w:tcW w:w="1436" w:type="pct"/>
            <w:tcBorders>
              <w:top w:val="single" w:color="auto" w:sz="2" w:space="0"/>
              <w:left w:val="single" w:color="auto" w:sz="2" w:space="0"/>
              <w:bottom w:val="single" w:color="auto" w:sz="2" w:space="0"/>
              <w:right w:val="single" w:color="auto" w:sz="2" w:space="0"/>
            </w:tcBorders>
            <w:vAlign w:val="center"/>
          </w:tcPr>
          <w:p w14:paraId="3E5D4EE3">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2F3D6B48">
            <w:pPr>
              <w:adjustRightInd w:val="0"/>
              <w:snapToGrid w:val="0"/>
              <w:spacing w:line="300" w:lineRule="exact"/>
              <w:jc w:val="center"/>
              <w:rPr>
                <w:szCs w:val="21"/>
                <w:highlight w:val="none"/>
              </w:rPr>
            </w:pPr>
            <w:r>
              <w:rPr>
                <w:rFonts w:hint="eastAsia"/>
                <w:szCs w:val="21"/>
                <w:highlight w:val="none"/>
              </w:rPr>
              <w:t>统一社会信用代码</w:t>
            </w:r>
          </w:p>
        </w:tc>
        <w:tc>
          <w:tcPr>
            <w:tcW w:w="1259" w:type="pct"/>
            <w:tcBorders>
              <w:top w:val="single" w:color="auto" w:sz="2" w:space="0"/>
              <w:left w:val="single" w:color="auto" w:sz="2" w:space="0"/>
              <w:bottom w:val="single" w:color="auto" w:sz="2" w:space="0"/>
            </w:tcBorders>
            <w:vAlign w:val="center"/>
          </w:tcPr>
          <w:p w14:paraId="34ED312C">
            <w:pPr>
              <w:adjustRightInd w:val="0"/>
              <w:snapToGrid w:val="0"/>
              <w:spacing w:line="300" w:lineRule="exact"/>
              <w:jc w:val="center"/>
              <w:rPr>
                <w:spacing w:val="20"/>
                <w:szCs w:val="21"/>
                <w:highlight w:val="none"/>
              </w:rPr>
            </w:pPr>
          </w:p>
        </w:tc>
      </w:tr>
      <w:tr w14:paraId="22C58160">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4DB0B715">
            <w:pPr>
              <w:adjustRightInd w:val="0"/>
              <w:snapToGrid w:val="0"/>
              <w:spacing w:line="300" w:lineRule="exact"/>
              <w:jc w:val="center"/>
              <w:rPr>
                <w:szCs w:val="21"/>
                <w:highlight w:val="none"/>
              </w:rPr>
            </w:pPr>
          </w:p>
        </w:tc>
        <w:tc>
          <w:tcPr>
            <w:tcW w:w="1436" w:type="pct"/>
            <w:tcBorders>
              <w:top w:val="single" w:color="auto" w:sz="2" w:space="0"/>
              <w:left w:val="single" w:color="auto" w:sz="2" w:space="0"/>
              <w:bottom w:val="single" w:color="auto" w:sz="2" w:space="0"/>
              <w:right w:val="single" w:color="auto" w:sz="2" w:space="0"/>
            </w:tcBorders>
            <w:vAlign w:val="center"/>
          </w:tcPr>
          <w:p w14:paraId="2D434D48">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2504D6F7">
            <w:pPr>
              <w:adjustRightInd w:val="0"/>
              <w:snapToGrid w:val="0"/>
              <w:spacing w:line="300" w:lineRule="exact"/>
              <w:jc w:val="center"/>
              <w:rPr>
                <w:szCs w:val="21"/>
                <w:highlight w:val="none"/>
              </w:rPr>
            </w:pPr>
            <w:r>
              <w:rPr>
                <w:szCs w:val="21"/>
                <w:highlight w:val="none"/>
              </w:rPr>
              <w:t>开户名称</w:t>
            </w:r>
          </w:p>
        </w:tc>
        <w:tc>
          <w:tcPr>
            <w:tcW w:w="1259" w:type="pct"/>
            <w:tcBorders>
              <w:top w:val="single" w:color="auto" w:sz="2" w:space="0"/>
              <w:left w:val="single" w:color="auto" w:sz="2" w:space="0"/>
              <w:bottom w:val="single" w:color="auto" w:sz="2" w:space="0"/>
            </w:tcBorders>
            <w:vAlign w:val="center"/>
          </w:tcPr>
          <w:p w14:paraId="69AFD6CF">
            <w:pPr>
              <w:adjustRightInd w:val="0"/>
              <w:snapToGrid w:val="0"/>
              <w:spacing w:line="300" w:lineRule="exact"/>
              <w:jc w:val="center"/>
              <w:rPr>
                <w:spacing w:val="20"/>
                <w:szCs w:val="21"/>
                <w:highlight w:val="none"/>
              </w:rPr>
            </w:pPr>
          </w:p>
        </w:tc>
      </w:tr>
      <w:tr w14:paraId="3732D981">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3425BEC1">
            <w:pPr>
              <w:adjustRightInd w:val="0"/>
              <w:snapToGrid w:val="0"/>
              <w:spacing w:line="300" w:lineRule="exact"/>
              <w:jc w:val="center"/>
              <w:rPr>
                <w:szCs w:val="21"/>
                <w:highlight w:val="none"/>
              </w:rPr>
            </w:pPr>
          </w:p>
        </w:tc>
        <w:tc>
          <w:tcPr>
            <w:tcW w:w="1436" w:type="pct"/>
            <w:tcBorders>
              <w:top w:val="single" w:color="auto" w:sz="2" w:space="0"/>
              <w:left w:val="single" w:color="auto" w:sz="2" w:space="0"/>
              <w:bottom w:val="single" w:color="auto" w:sz="2" w:space="0"/>
              <w:right w:val="single" w:color="auto" w:sz="2" w:space="0"/>
            </w:tcBorders>
            <w:vAlign w:val="center"/>
          </w:tcPr>
          <w:p w14:paraId="6B74A03F">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0B4B63C6">
            <w:pPr>
              <w:adjustRightInd w:val="0"/>
              <w:snapToGrid w:val="0"/>
              <w:spacing w:line="300" w:lineRule="exact"/>
              <w:jc w:val="center"/>
              <w:rPr>
                <w:szCs w:val="21"/>
                <w:highlight w:val="none"/>
              </w:rPr>
            </w:pPr>
            <w:r>
              <w:rPr>
                <w:szCs w:val="21"/>
                <w:highlight w:val="none"/>
              </w:rPr>
              <w:t>开户银行</w:t>
            </w:r>
          </w:p>
        </w:tc>
        <w:tc>
          <w:tcPr>
            <w:tcW w:w="1259" w:type="pct"/>
            <w:tcBorders>
              <w:top w:val="single" w:color="auto" w:sz="2" w:space="0"/>
              <w:left w:val="single" w:color="auto" w:sz="2" w:space="0"/>
              <w:bottom w:val="single" w:color="auto" w:sz="2" w:space="0"/>
            </w:tcBorders>
            <w:vAlign w:val="center"/>
          </w:tcPr>
          <w:p w14:paraId="474DA081">
            <w:pPr>
              <w:adjustRightInd w:val="0"/>
              <w:snapToGrid w:val="0"/>
              <w:spacing w:line="300" w:lineRule="exact"/>
              <w:jc w:val="center"/>
              <w:rPr>
                <w:spacing w:val="20"/>
                <w:szCs w:val="21"/>
                <w:highlight w:val="none"/>
              </w:rPr>
            </w:pPr>
          </w:p>
        </w:tc>
      </w:tr>
      <w:tr w14:paraId="7A9B7C65">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126" w:type="pct"/>
            <w:tcBorders>
              <w:top w:val="single" w:color="auto" w:sz="2" w:space="0"/>
              <w:bottom w:val="single" w:color="auto" w:sz="2" w:space="0"/>
              <w:right w:val="single" w:color="auto" w:sz="2" w:space="0"/>
            </w:tcBorders>
            <w:vAlign w:val="center"/>
          </w:tcPr>
          <w:p w14:paraId="740DCFD9">
            <w:pPr>
              <w:adjustRightInd w:val="0"/>
              <w:snapToGrid w:val="0"/>
              <w:spacing w:line="300" w:lineRule="exact"/>
              <w:jc w:val="center"/>
              <w:rPr>
                <w:szCs w:val="21"/>
                <w:highlight w:val="none"/>
              </w:rPr>
            </w:pPr>
          </w:p>
        </w:tc>
        <w:tc>
          <w:tcPr>
            <w:tcW w:w="1436" w:type="pct"/>
            <w:tcBorders>
              <w:top w:val="single" w:color="auto" w:sz="2" w:space="0"/>
              <w:left w:val="single" w:color="auto" w:sz="2" w:space="0"/>
              <w:bottom w:val="single" w:color="auto" w:sz="2" w:space="0"/>
              <w:right w:val="single" w:color="auto" w:sz="2" w:space="0"/>
            </w:tcBorders>
            <w:vAlign w:val="center"/>
          </w:tcPr>
          <w:p w14:paraId="150B97AA">
            <w:pPr>
              <w:adjustRightInd w:val="0"/>
              <w:snapToGrid w:val="0"/>
              <w:spacing w:line="300" w:lineRule="exact"/>
              <w:jc w:val="center"/>
              <w:rPr>
                <w:szCs w:val="21"/>
                <w:highlight w:val="none"/>
              </w:rPr>
            </w:pPr>
          </w:p>
        </w:tc>
        <w:tc>
          <w:tcPr>
            <w:tcW w:w="1178" w:type="pct"/>
            <w:tcBorders>
              <w:top w:val="single" w:color="auto" w:sz="2" w:space="0"/>
              <w:left w:val="single" w:color="auto" w:sz="2" w:space="0"/>
              <w:bottom w:val="single" w:color="auto" w:sz="2" w:space="0"/>
              <w:right w:val="single" w:color="auto" w:sz="2" w:space="0"/>
            </w:tcBorders>
            <w:vAlign w:val="center"/>
          </w:tcPr>
          <w:p w14:paraId="2210DEDD">
            <w:pPr>
              <w:adjustRightInd w:val="0"/>
              <w:snapToGrid w:val="0"/>
              <w:spacing w:line="300" w:lineRule="exact"/>
              <w:jc w:val="center"/>
              <w:rPr>
                <w:szCs w:val="21"/>
                <w:highlight w:val="none"/>
              </w:rPr>
            </w:pPr>
            <w:r>
              <w:rPr>
                <w:szCs w:val="21"/>
                <w:highlight w:val="none"/>
              </w:rPr>
              <w:t>银行账号</w:t>
            </w:r>
          </w:p>
        </w:tc>
        <w:tc>
          <w:tcPr>
            <w:tcW w:w="1259" w:type="pct"/>
            <w:tcBorders>
              <w:top w:val="single" w:color="auto" w:sz="2" w:space="0"/>
              <w:left w:val="single" w:color="auto" w:sz="2" w:space="0"/>
              <w:bottom w:val="single" w:color="auto" w:sz="2" w:space="0"/>
            </w:tcBorders>
            <w:vAlign w:val="center"/>
          </w:tcPr>
          <w:p w14:paraId="44CA65BA">
            <w:pPr>
              <w:adjustRightInd w:val="0"/>
              <w:snapToGrid w:val="0"/>
              <w:spacing w:line="300" w:lineRule="exact"/>
              <w:jc w:val="center"/>
              <w:rPr>
                <w:spacing w:val="20"/>
                <w:szCs w:val="21"/>
                <w:highlight w:val="none"/>
              </w:rPr>
            </w:pPr>
          </w:p>
        </w:tc>
      </w:tr>
      <w:tr w14:paraId="100A6AA8">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586" w:hRule="atLeast"/>
        </w:trPr>
        <w:tc>
          <w:tcPr>
            <w:tcW w:w="5000" w:type="pct"/>
            <w:gridSpan w:val="4"/>
            <w:tcBorders>
              <w:top w:val="single" w:color="auto" w:sz="2" w:space="0"/>
            </w:tcBorders>
            <w:vAlign w:val="center"/>
          </w:tcPr>
          <w:p w14:paraId="002ECF6D">
            <w:pPr>
              <w:pStyle w:val="18"/>
              <w:adjustRightInd w:val="0"/>
              <w:snapToGrid w:val="0"/>
              <w:spacing w:before="120" w:beforeLines="50" w:after="0" w:line="360" w:lineRule="auto"/>
              <w:ind w:left="0" w:leftChars="0"/>
              <w:jc w:val="left"/>
              <w:rPr>
                <w:spacing w:val="20"/>
                <w:szCs w:val="21"/>
                <w:highlight w:val="none"/>
              </w:rPr>
            </w:pPr>
            <w:r>
              <w:rPr>
                <w:rFonts w:hint="eastAsia" w:ascii="宋体" w:hAnsi="宋体"/>
                <w:szCs w:val="21"/>
                <w:highlight w:val="none"/>
              </w:rPr>
              <w:t>注：涉及联合体或其他合同主体的信息应按上表格式加列。</w:t>
            </w:r>
          </w:p>
        </w:tc>
      </w:tr>
    </w:tbl>
    <w:p w14:paraId="2AEA8844">
      <w:pPr>
        <w:bidi w:val="0"/>
      </w:pPr>
    </w:p>
    <w:p w14:paraId="261A615D">
      <w:pPr>
        <w:adjustRightInd w:val="0"/>
        <w:snapToGrid w:val="0"/>
        <w:spacing w:before="120" w:beforeLines="50" w:line="360" w:lineRule="auto"/>
        <w:rPr>
          <w:rFonts w:ascii="宋体" w:hAnsi="宋体"/>
          <w:szCs w:val="21"/>
          <w:highlight w:val="none"/>
        </w:rPr>
      </w:pPr>
      <w:r>
        <w:rPr>
          <w:rFonts w:hint="eastAsia" w:ascii="宋体" w:hAnsi="宋体"/>
          <w:szCs w:val="21"/>
          <w:highlight w:val="none"/>
        </w:rPr>
        <w:t>合同备案：邵阳市财政局</w:t>
      </w:r>
    </w:p>
    <w:p w14:paraId="6B4914FA">
      <w:pPr>
        <w:adjustRightInd w:val="0"/>
        <w:snapToGrid w:val="0"/>
        <w:spacing w:before="120" w:beforeLines="50" w:line="360" w:lineRule="auto"/>
        <w:rPr>
          <w:rFonts w:ascii="宋体" w:hAnsi="宋体"/>
          <w:szCs w:val="21"/>
          <w:highlight w:val="none"/>
        </w:rPr>
      </w:pPr>
      <w:r>
        <w:rPr>
          <w:rFonts w:hint="eastAsia" w:ascii="宋体" w:hAnsi="宋体"/>
          <w:szCs w:val="21"/>
          <w:highlight w:val="none"/>
        </w:rPr>
        <w:t>（公章）</w:t>
      </w:r>
    </w:p>
    <w:p w14:paraId="532AD355">
      <w:pPr>
        <w:adjustRightInd w:val="0"/>
        <w:snapToGrid w:val="0"/>
        <w:spacing w:before="120" w:beforeLines="50" w:line="360" w:lineRule="auto"/>
        <w:rPr>
          <w:rFonts w:ascii="宋体" w:hAnsi="宋体"/>
          <w:szCs w:val="21"/>
          <w:highlight w:val="none"/>
        </w:rPr>
      </w:pPr>
      <w:r>
        <w:rPr>
          <w:rFonts w:hint="eastAsia" w:ascii="宋体" w:hAnsi="宋体"/>
          <w:szCs w:val="21"/>
          <w:highlight w:val="none"/>
        </w:rPr>
        <w:t>备案日期：    年    月   日</w:t>
      </w:r>
    </w:p>
    <w:p w14:paraId="31B72D60">
      <w:pPr>
        <w:bidi w:val="0"/>
      </w:pPr>
    </w:p>
    <w:p w14:paraId="0E624C57">
      <w:pPr>
        <w:bidi w:val="0"/>
      </w:pPr>
    </w:p>
    <w:p w14:paraId="326B5688">
      <w:pPr>
        <w:bidi w:val="0"/>
      </w:pPr>
    </w:p>
    <w:p w14:paraId="2B1C2898">
      <w:pPr>
        <w:bidi w:val="0"/>
      </w:pPr>
    </w:p>
    <w:bookmarkEnd w:id="51"/>
    <w:bookmarkEnd w:id="52"/>
    <w:p w14:paraId="68272851">
      <w:pPr>
        <w:pStyle w:val="3"/>
        <w:adjustRightInd w:val="0"/>
        <w:snapToGrid w:val="0"/>
        <w:spacing w:before="120" w:beforeLines="50"/>
        <w:jc w:val="center"/>
        <w:rPr>
          <w:rFonts w:ascii="黑体" w:hAnsi="黑体" w:eastAsia="黑体"/>
          <w:sz w:val="28"/>
          <w:szCs w:val="28"/>
          <w:highlight w:val="none"/>
        </w:rPr>
      </w:pPr>
      <w:r>
        <w:rPr>
          <w:rFonts w:ascii="宋体" w:hAnsi="宋体"/>
          <w:sz w:val="21"/>
          <w:szCs w:val="21"/>
          <w:highlight w:val="none"/>
          <w:u w:val="single"/>
        </w:rPr>
        <w:br w:type="page"/>
      </w:r>
      <w:bookmarkStart w:id="54" w:name="_Toc28397"/>
      <w:bookmarkStart w:id="55" w:name="_Toc20088"/>
      <w:bookmarkStart w:id="56" w:name="_Toc29551"/>
      <w:r>
        <w:rPr>
          <w:rStyle w:val="153"/>
          <w:rFonts w:hint="eastAsia"/>
          <w:b/>
          <w:bCs/>
          <w:highlight w:val="none"/>
        </w:rPr>
        <w:t>第二节 政府采购合同通用条款</w:t>
      </w:r>
      <w:bookmarkEnd w:id="54"/>
      <w:bookmarkEnd w:id="55"/>
      <w:bookmarkEnd w:id="56"/>
    </w:p>
    <w:p w14:paraId="7ECD53CF">
      <w:pPr>
        <w:tabs>
          <w:tab w:val="left" w:pos="8820"/>
          <w:tab w:val="left" w:pos="9345"/>
          <w:tab w:val="left" w:pos="9765"/>
        </w:tabs>
        <w:adjustRightInd w:val="0"/>
        <w:snapToGrid w:val="0"/>
        <w:spacing w:before="50" w:line="360" w:lineRule="auto"/>
        <w:jc w:val="left"/>
        <w:rPr>
          <w:rFonts w:ascii="宋体" w:hAnsi="宋体"/>
          <w:b/>
          <w:bCs/>
          <w:szCs w:val="21"/>
          <w:highlight w:val="none"/>
        </w:rPr>
      </w:pPr>
      <w:r>
        <w:rPr>
          <w:rFonts w:hint="eastAsia" w:ascii="宋体" w:hAnsi="宋体"/>
          <w:b/>
          <w:szCs w:val="21"/>
          <w:highlight w:val="none"/>
        </w:rPr>
        <w:t>1.</w:t>
      </w:r>
      <w:r>
        <w:rPr>
          <w:rFonts w:hint="eastAsia" w:ascii="宋体" w:hAnsi="宋体"/>
          <w:b/>
          <w:bCs/>
          <w:szCs w:val="21"/>
          <w:highlight w:val="none"/>
        </w:rPr>
        <w:t>定义</w:t>
      </w:r>
    </w:p>
    <w:p w14:paraId="549438AC">
      <w:pPr>
        <w:autoSpaceDE w:val="0"/>
        <w:autoSpaceDN w:val="0"/>
        <w:adjustRightInd w:val="0"/>
        <w:snapToGrid w:val="0"/>
        <w:spacing w:before="50" w:line="360" w:lineRule="auto"/>
        <w:ind w:firstLine="420" w:firstLineChars="200"/>
        <w:jc w:val="left"/>
        <w:rPr>
          <w:rFonts w:ascii="宋体" w:hAnsi="宋体"/>
          <w:szCs w:val="21"/>
          <w:highlight w:val="none"/>
        </w:rPr>
      </w:pPr>
      <w:r>
        <w:rPr>
          <w:rFonts w:hint="eastAsia" w:ascii="宋体" w:hAnsi="宋体"/>
          <w:szCs w:val="21"/>
          <w:highlight w:val="none"/>
        </w:rPr>
        <w:t>1.1合同当事人</w:t>
      </w:r>
    </w:p>
    <w:p w14:paraId="49E65EC6">
      <w:pPr>
        <w:autoSpaceDE w:val="0"/>
        <w:autoSpaceDN w:val="0"/>
        <w:adjustRightInd w:val="0"/>
        <w:snapToGrid w:val="0"/>
        <w:spacing w:before="50" w:line="360" w:lineRule="auto"/>
        <w:ind w:firstLine="420" w:firstLineChars="200"/>
        <w:jc w:val="left"/>
        <w:rPr>
          <w:rFonts w:ascii="宋体" w:hAnsi="宋体"/>
          <w:szCs w:val="21"/>
          <w:highlight w:val="none"/>
        </w:rPr>
      </w:pPr>
      <w:r>
        <w:rPr>
          <w:rFonts w:hint="eastAsia" w:ascii="宋体" w:hAnsi="宋体"/>
          <w:szCs w:val="21"/>
          <w:highlight w:val="none"/>
        </w:rPr>
        <w:t>（1）采购人（以下称甲方）是指使用财政性资金，通过政府采购程序向供应商购买货物、服务的国家机关、事业单位、团体组织。本次采购的甲方名称、地址见</w:t>
      </w:r>
      <w:r>
        <w:rPr>
          <w:rFonts w:hint="eastAsia" w:ascii="宋体" w:hAnsi="宋体"/>
          <w:b/>
          <w:szCs w:val="21"/>
          <w:highlight w:val="none"/>
        </w:rPr>
        <w:t>【政府采购合同专用条款】。</w:t>
      </w:r>
    </w:p>
    <w:p w14:paraId="2BB50542">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（2）供应商（以下称乙方）是指参加政府采购活动并且中标（成交），向采购人提供合同约定的货物及其相关服务的法人、非法人组织或者自然人。</w:t>
      </w:r>
    </w:p>
    <w:p w14:paraId="5C72168D">
      <w:pPr>
        <w:autoSpaceDE w:val="0"/>
        <w:autoSpaceDN w:val="0"/>
        <w:adjustRightInd w:val="0"/>
        <w:snapToGrid w:val="0"/>
        <w:spacing w:line="400" w:lineRule="exact"/>
        <w:ind w:firstLine="420" w:firstLineChars="200"/>
        <w:jc w:val="left"/>
        <w:rPr>
          <w:szCs w:val="21"/>
          <w:highlight w:val="none"/>
        </w:rPr>
      </w:pPr>
      <w:r>
        <w:rPr>
          <w:rFonts w:hint="eastAsia" w:ascii="宋体" w:hAnsi="宋体"/>
          <w:szCs w:val="21"/>
          <w:highlight w:val="none"/>
        </w:rPr>
        <w:t>（3）其他合同主体是指除采购人和供应商以外，</w:t>
      </w:r>
      <w:r>
        <w:rPr>
          <w:rFonts w:hint="eastAsia" w:ascii="宋体" w:hAnsi="宋体" w:cs="宋体"/>
          <w:bCs/>
          <w:color w:val="000000"/>
          <w:szCs w:val="21"/>
          <w:highlight w:val="none"/>
        </w:rPr>
        <w:t>依法参与合同缔结或履行，享有权利、承担义务的合同当事人</w:t>
      </w:r>
      <w:r>
        <w:rPr>
          <w:rFonts w:hint="eastAsia" w:ascii="宋体" w:hAnsi="宋体"/>
          <w:szCs w:val="21"/>
          <w:highlight w:val="none"/>
        </w:rPr>
        <w:t>。</w:t>
      </w:r>
    </w:p>
    <w:p w14:paraId="5B18F3B8">
      <w:pPr>
        <w:tabs>
          <w:tab w:val="left" w:pos="570"/>
          <w:tab w:val="left" w:pos="9240"/>
          <w:tab w:val="left" w:pos="9555"/>
        </w:tabs>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1.2本合同下列术语应解释为：</w:t>
      </w:r>
    </w:p>
    <w:p w14:paraId="7B2A3208">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（1）“合同”系指</w:t>
      </w:r>
      <w:r>
        <w:rPr>
          <w:rFonts w:hint="eastAsia" w:ascii="宋体" w:hAnsi="宋体" w:cs="宋体"/>
          <w:bCs/>
          <w:color w:val="000000"/>
          <w:szCs w:val="21"/>
          <w:highlight w:val="none"/>
        </w:rPr>
        <w:t>合同当事人意思表示达成一致的任何协议，包括签署的</w:t>
      </w:r>
      <w:r>
        <w:rPr>
          <w:rFonts w:hint="eastAsia" w:ascii="宋体" w:hAnsi="宋体"/>
          <w:szCs w:val="21"/>
          <w:highlight w:val="none"/>
        </w:rPr>
        <w:t>政府采购合同协议书及其变更、补充协议，政府采购合同专用条款，政府采购合同通用条款，中标（成交）通知书，投标（响应）文件，采购文件，有关技术文件和图纸，以及</w:t>
      </w:r>
      <w:r>
        <w:rPr>
          <w:rFonts w:hint="eastAsia" w:ascii="宋体" w:hAnsi="宋体" w:cs="宋体"/>
          <w:color w:val="000000"/>
          <w:szCs w:val="21"/>
          <w:highlight w:val="none"/>
        </w:rPr>
        <w:t>国家法律、行政法规和规章制度规定或合同约定的作为合同组成部分的其他文件</w:t>
      </w:r>
      <w:r>
        <w:rPr>
          <w:rFonts w:hint="eastAsia" w:ascii="宋体" w:hAnsi="宋体"/>
          <w:szCs w:val="21"/>
          <w:highlight w:val="none"/>
        </w:rPr>
        <w:t>。</w:t>
      </w:r>
    </w:p>
    <w:p w14:paraId="34CD8DF3">
      <w:pPr>
        <w:tabs>
          <w:tab w:val="left" w:pos="570"/>
          <w:tab w:val="left" w:pos="9240"/>
          <w:tab w:val="left" w:pos="9555"/>
        </w:tabs>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（2）“合同价款”系指根据本合同规定乙方在全面履行合同义务后甲方应支付给乙方的价款。</w:t>
      </w:r>
    </w:p>
    <w:p w14:paraId="5AF9ABE3">
      <w:pPr>
        <w:tabs>
          <w:tab w:val="left" w:pos="570"/>
          <w:tab w:val="left" w:pos="9240"/>
          <w:tab w:val="left" w:pos="9555"/>
        </w:tabs>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szCs w:val="21"/>
          <w:highlight w:val="none"/>
        </w:rPr>
        <w:t>（3）“货物”系指乙方根据本合同规定须向甲方提供的各种形态和种类的物品，包括原材料、设备、产品（</w:t>
      </w:r>
      <w:r>
        <w:rPr>
          <w:rFonts w:hint="eastAsia" w:ascii="宋体" w:hAnsi="宋体"/>
          <w:color w:val="000000"/>
          <w:szCs w:val="21"/>
          <w:highlight w:val="none"/>
        </w:rPr>
        <w:t>包括软件）及相关的其备品备件、工具、手册及</w:t>
      </w:r>
      <w:r>
        <w:rPr>
          <w:rFonts w:ascii="宋体" w:hAnsi="宋体"/>
          <w:color w:val="000000"/>
          <w:szCs w:val="21"/>
          <w:highlight w:val="none"/>
          <w:lang w:val="en"/>
        </w:rPr>
        <w:t>其他</w:t>
      </w:r>
      <w:r>
        <w:rPr>
          <w:rFonts w:hint="eastAsia" w:ascii="宋体" w:hAnsi="宋体"/>
          <w:color w:val="000000"/>
          <w:szCs w:val="21"/>
          <w:highlight w:val="none"/>
        </w:rPr>
        <w:t>技术资料和材料等。</w:t>
      </w:r>
    </w:p>
    <w:p w14:paraId="3B6BDD17">
      <w:pPr>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（4）“</w:t>
      </w:r>
      <w:r>
        <w:rPr>
          <w:rFonts w:hint="eastAsia" w:ascii="宋体" w:hAnsi="宋体"/>
          <w:szCs w:val="21"/>
          <w:highlight w:val="none"/>
        </w:rPr>
        <w:t>相关</w:t>
      </w:r>
      <w:r>
        <w:rPr>
          <w:rFonts w:hint="eastAsia" w:ascii="宋体" w:hAnsi="宋体"/>
          <w:color w:val="000000"/>
          <w:szCs w:val="21"/>
          <w:highlight w:val="none"/>
        </w:rPr>
        <w:t>服务”系指根据合同规定，乙方应提供的与货物有关的技术、管理和</w:t>
      </w:r>
      <w:r>
        <w:rPr>
          <w:rFonts w:ascii="宋体" w:hAnsi="宋体"/>
          <w:color w:val="000000"/>
          <w:szCs w:val="21"/>
          <w:highlight w:val="none"/>
          <w:lang w:val="en"/>
        </w:rPr>
        <w:t>其他</w:t>
      </w:r>
      <w:r>
        <w:rPr>
          <w:rFonts w:hint="eastAsia" w:ascii="宋体" w:hAnsi="宋体"/>
          <w:color w:val="000000"/>
          <w:szCs w:val="21"/>
          <w:highlight w:val="none"/>
        </w:rPr>
        <w:t>服务，包括但不限于：管理和质量保证、运输、保险、检验、现场准备、安装、集成、调试、培训、维修、废弃处置、技术支持等以及合同中规定乙方应承担的</w:t>
      </w:r>
      <w:r>
        <w:rPr>
          <w:rFonts w:ascii="宋体" w:hAnsi="宋体"/>
          <w:color w:val="000000"/>
          <w:szCs w:val="21"/>
          <w:highlight w:val="none"/>
          <w:lang w:val="en"/>
        </w:rPr>
        <w:t>其他</w:t>
      </w:r>
      <w:r>
        <w:rPr>
          <w:rFonts w:hint="eastAsia" w:ascii="宋体" w:hAnsi="宋体"/>
          <w:color w:val="000000"/>
          <w:szCs w:val="21"/>
          <w:highlight w:val="none"/>
        </w:rPr>
        <w:t>义务。</w:t>
      </w:r>
    </w:p>
    <w:p w14:paraId="0012E007">
      <w:pPr>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（5）“分包”系指中标（成交）供应商按采购文件、投标（响应）文件的规定，根据分包意向协议，将中标（成交）项目中的部分履约内容，分给具有相应资质条件的供应商履行合同的行为。</w:t>
      </w:r>
    </w:p>
    <w:p w14:paraId="734F0AF0">
      <w:pPr>
        <w:tabs>
          <w:tab w:val="left" w:pos="570"/>
          <w:tab w:val="left" w:pos="9240"/>
          <w:tab w:val="left" w:pos="9555"/>
        </w:tabs>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（6）</w:t>
      </w:r>
      <w:r>
        <w:rPr>
          <w:rFonts w:hint="eastAsia" w:ascii="宋体" w:hAnsi="宋体"/>
          <w:szCs w:val="21"/>
          <w:highlight w:val="none"/>
        </w:rPr>
        <w:t>“联合体”系指由两个以上的自然人、法人或者非法人组织组成，以一个供应商的身份共同参加政府采购的主体</w:t>
      </w:r>
      <w:r>
        <w:rPr>
          <w:rFonts w:hint="eastAsia" w:ascii="宋体" w:hAnsi="宋体"/>
          <w:color w:val="000000"/>
          <w:szCs w:val="21"/>
          <w:highlight w:val="none"/>
        </w:rPr>
        <w:t>。联合体各方应在签订合同协议书前向甲方提交联合协议，且明确牵头人及各成员单位的工作分工、权利、义务、责任，联合体各方应共同与甲方签订合同，就合同约定的事项对甲方承担连带责任。联合体具体要求见【</w:t>
      </w:r>
      <w:r>
        <w:rPr>
          <w:rFonts w:hint="eastAsia" w:ascii="宋体" w:hAnsi="宋体"/>
          <w:b/>
          <w:bCs/>
          <w:color w:val="000000"/>
          <w:szCs w:val="21"/>
          <w:highlight w:val="none"/>
        </w:rPr>
        <w:t>政府采购合同专用条款</w:t>
      </w:r>
      <w:r>
        <w:rPr>
          <w:rFonts w:hint="eastAsia" w:ascii="宋体" w:hAnsi="宋体"/>
          <w:color w:val="000000"/>
          <w:szCs w:val="21"/>
          <w:highlight w:val="none"/>
        </w:rPr>
        <w:t>】。</w:t>
      </w:r>
    </w:p>
    <w:p w14:paraId="2A5BEFA7">
      <w:pPr>
        <w:tabs>
          <w:tab w:val="left" w:pos="570"/>
          <w:tab w:val="left" w:pos="9240"/>
          <w:tab w:val="left" w:pos="9555"/>
        </w:tabs>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（7）其他术语解释，见【</w:t>
      </w:r>
      <w:r>
        <w:rPr>
          <w:rFonts w:hint="eastAsia" w:ascii="宋体" w:hAnsi="宋体"/>
          <w:b/>
          <w:bCs/>
          <w:color w:val="000000"/>
          <w:szCs w:val="21"/>
          <w:highlight w:val="none"/>
        </w:rPr>
        <w:t>政府采购合同专用条款</w:t>
      </w:r>
      <w:r>
        <w:rPr>
          <w:rFonts w:hint="eastAsia" w:ascii="宋体" w:hAnsi="宋体"/>
          <w:color w:val="000000"/>
          <w:szCs w:val="21"/>
          <w:highlight w:val="none"/>
        </w:rPr>
        <w:t>】。</w:t>
      </w:r>
    </w:p>
    <w:p w14:paraId="7B33DE6D">
      <w:pPr>
        <w:numPr>
          <w:ilvl w:val="0"/>
          <w:numId w:val="170"/>
        </w:numPr>
        <w:autoSpaceDE w:val="0"/>
        <w:autoSpaceDN w:val="0"/>
        <w:adjustRightInd w:val="0"/>
        <w:snapToGrid w:val="0"/>
        <w:spacing w:line="400" w:lineRule="exact"/>
        <w:jc w:val="left"/>
        <w:rPr>
          <w:rFonts w:ascii="宋体" w:hAnsi="宋体"/>
          <w:b/>
          <w:bCs/>
          <w:color w:val="000000"/>
          <w:szCs w:val="21"/>
          <w:highlight w:val="none"/>
        </w:rPr>
      </w:pPr>
      <w:r>
        <w:rPr>
          <w:rFonts w:hint="eastAsia" w:ascii="宋体" w:hAnsi="宋体"/>
          <w:b/>
          <w:color w:val="000000"/>
          <w:szCs w:val="21"/>
          <w:highlight w:val="none"/>
        </w:rPr>
        <w:t>合同标的及金额</w:t>
      </w:r>
    </w:p>
    <w:p w14:paraId="4DF5BE93">
      <w:pPr>
        <w:autoSpaceDE w:val="0"/>
        <w:autoSpaceDN w:val="0"/>
        <w:adjustRightInd w:val="0"/>
        <w:snapToGrid w:val="0"/>
        <w:spacing w:line="400" w:lineRule="exact"/>
        <w:ind w:firstLine="420" w:firstLineChars="200"/>
        <w:jc w:val="left"/>
        <w:rPr>
          <w:rFonts w:ascii="宋体" w:hAnsi="宋体"/>
          <w:b/>
          <w:bCs/>
          <w:i/>
          <w:iCs/>
          <w:color w:val="000000"/>
          <w:szCs w:val="21"/>
          <w:highlight w:val="none"/>
        </w:rPr>
      </w:pPr>
      <w:r>
        <w:rPr>
          <w:rFonts w:hint="eastAsia" w:ascii="宋体" w:hAnsi="宋体"/>
          <w:color w:val="000000"/>
          <w:szCs w:val="21"/>
          <w:highlight w:val="none"/>
        </w:rPr>
        <w:t>2.1 合同标的及金额应与中标（成交）结果一致。乙方为履行本合同而发生的所有费用均应包含在合同价款中，甲方不再另行支付</w:t>
      </w:r>
      <w:r>
        <w:rPr>
          <w:rFonts w:ascii="宋体" w:hAnsi="宋体"/>
          <w:color w:val="000000"/>
          <w:szCs w:val="21"/>
          <w:highlight w:val="none"/>
          <w:lang w:val="en"/>
        </w:rPr>
        <w:t>其他</w:t>
      </w:r>
      <w:r>
        <w:rPr>
          <w:rFonts w:hint="eastAsia" w:ascii="宋体" w:hAnsi="宋体"/>
          <w:color w:val="000000"/>
          <w:szCs w:val="21"/>
          <w:highlight w:val="none"/>
        </w:rPr>
        <w:t>任何费用。</w:t>
      </w:r>
    </w:p>
    <w:p w14:paraId="2EFC08FE">
      <w:pPr>
        <w:adjustRightInd w:val="0"/>
        <w:snapToGrid w:val="0"/>
        <w:spacing w:line="400" w:lineRule="exact"/>
        <w:jc w:val="left"/>
        <w:rPr>
          <w:rFonts w:ascii="宋体" w:hAnsi="宋体"/>
          <w:b/>
          <w:color w:val="000000"/>
          <w:szCs w:val="21"/>
          <w:highlight w:val="none"/>
        </w:rPr>
      </w:pPr>
      <w:r>
        <w:rPr>
          <w:rFonts w:hint="eastAsia" w:ascii="宋体" w:hAnsi="宋体"/>
          <w:b/>
          <w:color w:val="000000"/>
          <w:szCs w:val="21"/>
          <w:highlight w:val="none"/>
        </w:rPr>
        <w:t>3. 履行合同的时间、地点和方式</w:t>
      </w:r>
    </w:p>
    <w:p w14:paraId="66AB220C">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 xml:space="preserve">3.1 </w:t>
      </w:r>
      <w:r>
        <w:rPr>
          <w:rFonts w:hint="eastAsia" w:ascii="宋体" w:hAnsi="宋体" w:cs="宋体"/>
          <w:szCs w:val="21"/>
          <w:highlight w:val="none"/>
        </w:rPr>
        <w:t>乙方应当在约定的时间、地点，按照约定方式履行合同。</w:t>
      </w:r>
    </w:p>
    <w:p w14:paraId="13817169">
      <w:pPr>
        <w:autoSpaceDE w:val="0"/>
        <w:autoSpaceDN w:val="0"/>
        <w:adjustRightInd w:val="0"/>
        <w:snapToGrid w:val="0"/>
        <w:spacing w:line="400" w:lineRule="exact"/>
        <w:jc w:val="left"/>
        <w:rPr>
          <w:rFonts w:ascii="宋体" w:hAnsi="宋体"/>
          <w:b/>
          <w:bCs/>
          <w:color w:val="000000"/>
          <w:szCs w:val="21"/>
          <w:highlight w:val="none"/>
        </w:rPr>
      </w:pPr>
      <w:r>
        <w:rPr>
          <w:rFonts w:hint="eastAsia" w:ascii="宋体" w:hAnsi="宋体"/>
          <w:b/>
          <w:bCs/>
          <w:color w:val="000000"/>
          <w:szCs w:val="21"/>
          <w:highlight w:val="none"/>
        </w:rPr>
        <w:t>4. 甲方的权利和义务</w:t>
      </w:r>
    </w:p>
    <w:p w14:paraId="5560ACD8">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4.1</w:t>
      </w:r>
      <w:r>
        <w:rPr>
          <w:rFonts w:ascii="宋体" w:hAnsi="宋体"/>
          <w:color w:val="000000"/>
          <w:szCs w:val="21"/>
          <w:highlight w:val="none"/>
        </w:rPr>
        <w:t xml:space="preserve"> 签署合同后，甲方</w:t>
      </w:r>
      <w:r>
        <w:rPr>
          <w:rFonts w:hint="eastAsia" w:ascii="宋体" w:hAnsi="宋体"/>
          <w:color w:val="000000"/>
          <w:szCs w:val="21"/>
          <w:highlight w:val="none"/>
        </w:rPr>
        <w:t>应</w:t>
      </w:r>
      <w:r>
        <w:rPr>
          <w:rFonts w:ascii="宋体" w:hAnsi="宋体"/>
          <w:color w:val="000000"/>
          <w:szCs w:val="21"/>
          <w:highlight w:val="none"/>
        </w:rPr>
        <w:t>确定</w:t>
      </w:r>
      <w:r>
        <w:rPr>
          <w:rFonts w:hint="eastAsia" w:ascii="宋体" w:hAnsi="宋体"/>
          <w:color w:val="000000"/>
          <w:szCs w:val="21"/>
          <w:highlight w:val="none"/>
        </w:rPr>
        <w:t>项目负责人（或项目联系人）</w:t>
      </w:r>
      <w:r>
        <w:rPr>
          <w:rFonts w:ascii="宋体" w:hAnsi="宋体"/>
          <w:color w:val="000000"/>
          <w:szCs w:val="21"/>
          <w:highlight w:val="none"/>
        </w:rPr>
        <w:t>，负责与本合同有关的事务。</w:t>
      </w:r>
      <w:r>
        <w:rPr>
          <w:rFonts w:hint="eastAsia" w:ascii="宋体" w:hAnsi="宋体"/>
          <w:color w:val="000000"/>
          <w:szCs w:val="21"/>
          <w:highlight w:val="none"/>
        </w:rPr>
        <w:t>甲方有权对乙方的履约行为进行检查，并</w:t>
      </w:r>
      <w:r>
        <w:rPr>
          <w:rFonts w:ascii="宋体" w:hAnsi="宋体"/>
          <w:color w:val="000000"/>
          <w:szCs w:val="21"/>
          <w:highlight w:val="none"/>
        </w:rPr>
        <w:t>及时确认乙方提交的事项</w:t>
      </w:r>
      <w:r>
        <w:rPr>
          <w:rFonts w:hint="eastAsia" w:ascii="宋体" w:hAnsi="宋体"/>
          <w:color w:val="000000"/>
          <w:szCs w:val="21"/>
          <w:highlight w:val="none"/>
        </w:rPr>
        <w:t>。甲方应当</w:t>
      </w:r>
      <w:r>
        <w:rPr>
          <w:rFonts w:ascii="宋体" w:hAnsi="宋体"/>
          <w:color w:val="000000"/>
          <w:szCs w:val="21"/>
          <w:highlight w:val="none"/>
        </w:rPr>
        <w:t>配合乙方完成</w:t>
      </w:r>
      <w:r>
        <w:rPr>
          <w:rFonts w:hint="eastAsia" w:ascii="宋体" w:hAnsi="宋体"/>
          <w:color w:val="000000"/>
          <w:szCs w:val="21"/>
          <w:highlight w:val="none"/>
        </w:rPr>
        <w:t>相关项目</w:t>
      </w:r>
      <w:r>
        <w:rPr>
          <w:rFonts w:ascii="宋体" w:hAnsi="宋体"/>
          <w:color w:val="000000"/>
          <w:szCs w:val="21"/>
          <w:highlight w:val="none"/>
        </w:rPr>
        <w:t>实施工作。</w:t>
      </w:r>
    </w:p>
    <w:p w14:paraId="1381CEE7">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 xml:space="preserve">4.2 </w:t>
      </w:r>
      <w:r>
        <w:rPr>
          <w:rFonts w:ascii="宋体" w:hAnsi="宋体"/>
          <w:color w:val="000000"/>
          <w:szCs w:val="21"/>
          <w:highlight w:val="none"/>
        </w:rPr>
        <w:t>甲方有权要求乙方按时提交各阶段有关</w:t>
      </w:r>
      <w:r>
        <w:rPr>
          <w:rFonts w:hint="eastAsia" w:ascii="宋体" w:hAnsi="宋体"/>
          <w:color w:val="000000"/>
          <w:szCs w:val="21"/>
          <w:highlight w:val="none"/>
        </w:rPr>
        <w:t>安排计划</w:t>
      </w:r>
      <w:r>
        <w:rPr>
          <w:rFonts w:ascii="宋体" w:hAnsi="宋体"/>
          <w:color w:val="000000"/>
          <w:szCs w:val="21"/>
          <w:highlight w:val="none"/>
        </w:rPr>
        <w:t>，并有权</w:t>
      </w:r>
      <w:r>
        <w:rPr>
          <w:rFonts w:hint="eastAsia" w:ascii="宋体" w:hAnsi="宋体"/>
          <w:color w:val="000000"/>
          <w:szCs w:val="21"/>
          <w:highlight w:val="none"/>
        </w:rPr>
        <w:t>定期核对乙方提供货物数量、规格、质量等内容。甲方</w:t>
      </w:r>
      <w:r>
        <w:rPr>
          <w:rFonts w:ascii="宋体" w:hAnsi="宋体"/>
          <w:color w:val="000000"/>
          <w:szCs w:val="21"/>
          <w:highlight w:val="none"/>
        </w:rPr>
        <w:t>有权督促乙方工作并要求乙方</w:t>
      </w:r>
      <w:r>
        <w:rPr>
          <w:rFonts w:hint="eastAsia" w:ascii="宋体" w:hAnsi="宋体"/>
          <w:color w:val="000000"/>
          <w:szCs w:val="21"/>
          <w:highlight w:val="none"/>
        </w:rPr>
        <w:t>更</w:t>
      </w:r>
      <w:r>
        <w:rPr>
          <w:rFonts w:ascii="宋体" w:hAnsi="宋体"/>
          <w:color w:val="000000"/>
          <w:szCs w:val="21"/>
          <w:highlight w:val="none"/>
        </w:rPr>
        <w:t>换不符合要求的</w:t>
      </w:r>
      <w:r>
        <w:rPr>
          <w:rFonts w:hint="eastAsia" w:ascii="宋体" w:hAnsi="宋体"/>
          <w:color w:val="000000"/>
          <w:szCs w:val="21"/>
          <w:highlight w:val="none"/>
        </w:rPr>
        <w:t>货物</w:t>
      </w:r>
      <w:r>
        <w:rPr>
          <w:rFonts w:ascii="宋体" w:hAnsi="宋体"/>
          <w:color w:val="000000"/>
          <w:szCs w:val="21"/>
          <w:highlight w:val="none"/>
        </w:rPr>
        <w:t>。</w:t>
      </w:r>
    </w:p>
    <w:p w14:paraId="4333F3CA">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4.</w:t>
      </w:r>
      <w:r>
        <w:rPr>
          <w:rFonts w:ascii="宋体" w:hAnsi="宋体"/>
          <w:color w:val="000000"/>
          <w:szCs w:val="21"/>
          <w:highlight w:val="none"/>
        </w:rPr>
        <w:t>3</w:t>
      </w:r>
      <w:r>
        <w:rPr>
          <w:rFonts w:hint="eastAsia" w:ascii="宋体" w:hAnsi="宋体"/>
          <w:color w:val="000000"/>
          <w:szCs w:val="21"/>
          <w:highlight w:val="none"/>
        </w:rPr>
        <w:t xml:space="preserve"> </w:t>
      </w:r>
      <w:r>
        <w:rPr>
          <w:rFonts w:ascii="宋体" w:hAnsi="宋体"/>
          <w:color w:val="000000"/>
          <w:szCs w:val="21"/>
          <w:highlight w:val="none"/>
        </w:rPr>
        <w:t>甲方</w:t>
      </w:r>
      <w:r>
        <w:rPr>
          <w:rFonts w:hint="eastAsia" w:ascii="宋体" w:hAnsi="宋体"/>
          <w:color w:val="000000"/>
          <w:szCs w:val="21"/>
          <w:highlight w:val="none"/>
        </w:rPr>
        <w:t>有权要求乙方对缺陷部分予以修复，并按合同约定享有货物保修及其他合同约定的权利。</w:t>
      </w:r>
    </w:p>
    <w:p w14:paraId="22F06E09">
      <w:pPr>
        <w:snapToGrid w:val="0"/>
        <w:spacing w:line="400" w:lineRule="exact"/>
        <w:ind w:firstLine="420" w:firstLineChars="200"/>
        <w:rPr>
          <w:rFonts w:eastAsia="华文楷体"/>
          <w:szCs w:val="21"/>
          <w:highlight w:val="none"/>
        </w:rPr>
      </w:pPr>
      <w:r>
        <w:rPr>
          <w:rFonts w:ascii="宋体" w:hAnsi="宋体"/>
          <w:color w:val="000000"/>
          <w:szCs w:val="21"/>
          <w:highlight w:val="none"/>
        </w:rPr>
        <w:t>4.4 甲方应当按照合同约定及时对交付的货物进行验收</w:t>
      </w:r>
      <w:r>
        <w:rPr>
          <w:rFonts w:hint="eastAsia" w:ascii="宋体" w:hAnsi="宋体"/>
          <w:color w:val="000000"/>
          <w:szCs w:val="21"/>
          <w:highlight w:val="none"/>
        </w:rPr>
        <w:t>，</w:t>
      </w:r>
      <w:r>
        <w:rPr>
          <w:rFonts w:hint="eastAsia" w:ascii="宋体" w:hAnsi="宋体" w:cs="宋体"/>
          <w:szCs w:val="21"/>
          <w:highlight w:val="none"/>
        </w:rPr>
        <w:t>未</w:t>
      </w:r>
      <w:r>
        <w:rPr>
          <w:rFonts w:hint="eastAsia" w:ascii="宋体" w:hAnsi="宋体"/>
          <w:color w:val="000000"/>
          <w:szCs w:val="21"/>
          <w:highlight w:val="none"/>
        </w:rPr>
        <w:t>在</w:t>
      </w:r>
      <w:r>
        <w:rPr>
          <w:rFonts w:hint="eastAsia" w:ascii="宋体" w:hAnsi="宋体" w:cs="宋体"/>
          <w:b/>
          <w:bCs/>
          <w:szCs w:val="21"/>
          <w:highlight w:val="none"/>
        </w:rPr>
        <w:t>【政府采购合同专用条款】</w:t>
      </w:r>
      <w:r>
        <w:rPr>
          <w:rFonts w:hint="eastAsia" w:ascii="宋体" w:hAnsi="宋体" w:cs="宋体"/>
          <w:szCs w:val="21"/>
          <w:highlight w:val="none"/>
        </w:rPr>
        <w:t>约定的期限内对乙方履约提出任何异议或者向乙方作出任何说明的，</w:t>
      </w:r>
      <w:r>
        <w:rPr>
          <w:rFonts w:hint="eastAsia" w:ascii="宋体" w:hAnsi="宋体"/>
          <w:color w:val="000000"/>
          <w:szCs w:val="21"/>
          <w:highlight w:val="none"/>
        </w:rPr>
        <w:t>视为验收通过。</w:t>
      </w:r>
    </w:p>
    <w:p w14:paraId="525D3642">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ascii="宋体" w:hAnsi="宋体"/>
          <w:color w:val="000000"/>
          <w:szCs w:val="21"/>
          <w:highlight w:val="none"/>
        </w:rPr>
        <w:t>4</w:t>
      </w:r>
      <w:r>
        <w:rPr>
          <w:rFonts w:hint="eastAsia" w:ascii="宋体" w:hAnsi="宋体"/>
          <w:color w:val="000000"/>
          <w:szCs w:val="21"/>
          <w:highlight w:val="none"/>
        </w:rPr>
        <w:t>.</w:t>
      </w:r>
      <w:r>
        <w:rPr>
          <w:rFonts w:ascii="宋体" w:hAnsi="宋体"/>
          <w:color w:val="000000"/>
          <w:szCs w:val="21"/>
          <w:highlight w:val="none"/>
        </w:rPr>
        <w:t xml:space="preserve">5 </w:t>
      </w:r>
      <w:r>
        <w:rPr>
          <w:rFonts w:hint="eastAsia" w:ascii="宋体" w:hAnsi="宋体"/>
          <w:color w:val="000000"/>
          <w:szCs w:val="21"/>
          <w:highlight w:val="none"/>
        </w:rPr>
        <w:t>甲方应当根据合同约定及时向乙方支付合同价款</w:t>
      </w:r>
      <w:r>
        <w:rPr>
          <w:rFonts w:ascii="宋体" w:hAnsi="宋体"/>
          <w:color w:val="000000"/>
          <w:szCs w:val="21"/>
          <w:highlight w:val="none"/>
        </w:rPr>
        <w:t>，不得以内部人员变更、履行内部付款流程等为由，拒绝或迟延支付。</w:t>
      </w:r>
    </w:p>
    <w:p w14:paraId="4A2535C7">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4.6</w:t>
      </w:r>
      <w:r>
        <w:rPr>
          <w:rFonts w:ascii="宋体" w:hAnsi="宋体"/>
          <w:color w:val="000000"/>
          <w:szCs w:val="21"/>
          <w:highlight w:val="none"/>
        </w:rPr>
        <w:t xml:space="preserve"> </w:t>
      </w:r>
      <w:r>
        <w:rPr>
          <w:rFonts w:hint="eastAsia" w:ascii="宋体" w:hAnsi="宋体"/>
          <w:color w:val="000000"/>
          <w:szCs w:val="21"/>
          <w:highlight w:val="none"/>
        </w:rPr>
        <w:t>国家法律法规规定及</w:t>
      </w:r>
      <w:r>
        <w:rPr>
          <w:rFonts w:hint="eastAsia" w:ascii="宋体" w:hAnsi="宋体" w:cs="宋体"/>
          <w:b/>
          <w:bCs/>
          <w:szCs w:val="21"/>
          <w:highlight w:val="none"/>
        </w:rPr>
        <w:t>【政府采购合同专用条款】</w:t>
      </w:r>
      <w:r>
        <w:rPr>
          <w:rFonts w:hint="eastAsia" w:ascii="宋体" w:hAnsi="宋体"/>
          <w:color w:val="000000"/>
          <w:szCs w:val="21"/>
          <w:highlight w:val="none"/>
        </w:rPr>
        <w:t>约定应由甲方承担的其他义务和责任。</w:t>
      </w:r>
    </w:p>
    <w:p w14:paraId="04690194">
      <w:pPr>
        <w:autoSpaceDE w:val="0"/>
        <w:autoSpaceDN w:val="0"/>
        <w:adjustRightInd w:val="0"/>
        <w:snapToGrid w:val="0"/>
        <w:spacing w:line="400" w:lineRule="exact"/>
        <w:jc w:val="left"/>
        <w:rPr>
          <w:rFonts w:ascii="宋体" w:hAnsi="宋体"/>
          <w:b/>
          <w:bCs/>
          <w:color w:val="000000"/>
          <w:szCs w:val="21"/>
          <w:highlight w:val="none"/>
        </w:rPr>
      </w:pPr>
      <w:r>
        <w:rPr>
          <w:rFonts w:hint="eastAsia" w:ascii="宋体" w:hAnsi="宋体"/>
          <w:b/>
          <w:bCs/>
          <w:color w:val="000000"/>
          <w:szCs w:val="21"/>
          <w:highlight w:val="none"/>
        </w:rPr>
        <w:t>5. 乙方的权利和义务</w:t>
      </w:r>
    </w:p>
    <w:p w14:paraId="208B2658">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 xml:space="preserve">5.1 </w:t>
      </w:r>
      <w:r>
        <w:rPr>
          <w:rFonts w:ascii="宋体" w:hAnsi="宋体"/>
          <w:color w:val="000000"/>
          <w:szCs w:val="21"/>
          <w:highlight w:val="none"/>
        </w:rPr>
        <w:t>签署合同后，乙方</w:t>
      </w:r>
      <w:r>
        <w:rPr>
          <w:rFonts w:hint="eastAsia" w:ascii="宋体" w:hAnsi="宋体"/>
          <w:color w:val="000000"/>
          <w:szCs w:val="21"/>
          <w:highlight w:val="none"/>
        </w:rPr>
        <w:t>应</w:t>
      </w:r>
      <w:r>
        <w:rPr>
          <w:rFonts w:ascii="宋体" w:hAnsi="宋体"/>
          <w:color w:val="000000"/>
          <w:szCs w:val="21"/>
          <w:highlight w:val="none"/>
        </w:rPr>
        <w:t>确定</w:t>
      </w:r>
      <w:r>
        <w:rPr>
          <w:rFonts w:hint="eastAsia" w:ascii="宋体" w:hAnsi="宋体"/>
          <w:color w:val="000000"/>
          <w:szCs w:val="21"/>
          <w:highlight w:val="none"/>
        </w:rPr>
        <w:t>项目负责人（或项目联系人）</w:t>
      </w:r>
      <w:r>
        <w:rPr>
          <w:rFonts w:ascii="宋体" w:hAnsi="宋体"/>
          <w:color w:val="000000"/>
          <w:szCs w:val="21"/>
          <w:highlight w:val="none"/>
        </w:rPr>
        <w:t>，负责与本合同有关的事务。</w:t>
      </w:r>
    </w:p>
    <w:p w14:paraId="192AAEC1">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5.</w:t>
      </w:r>
      <w:r>
        <w:rPr>
          <w:rFonts w:ascii="宋体" w:hAnsi="宋体"/>
          <w:color w:val="000000"/>
          <w:szCs w:val="21"/>
          <w:highlight w:val="none"/>
        </w:rPr>
        <w:t>2 乙方应按照合同要求</w:t>
      </w:r>
      <w:r>
        <w:rPr>
          <w:rFonts w:hint="eastAsia" w:ascii="宋体" w:hAnsi="宋体"/>
          <w:color w:val="000000"/>
          <w:szCs w:val="21"/>
          <w:highlight w:val="none"/>
        </w:rPr>
        <w:t>履约</w:t>
      </w:r>
      <w:r>
        <w:rPr>
          <w:rFonts w:ascii="宋体" w:hAnsi="宋体"/>
          <w:color w:val="000000"/>
          <w:szCs w:val="21"/>
          <w:highlight w:val="none"/>
        </w:rPr>
        <w:t>，充分合理安排，确保</w:t>
      </w:r>
      <w:r>
        <w:rPr>
          <w:rFonts w:hint="eastAsia" w:ascii="宋体" w:hAnsi="宋体"/>
          <w:color w:val="000000"/>
          <w:szCs w:val="21"/>
          <w:highlight w:val="none"/>
        </w:rPr>
        <w:t>提供的货物及相关服务符合合同有关</w:t>
      </w:r>
      <w:r>
        <w:rPr>
          <w:rFonts w:ascii="宋体" w:hAnsi="宋体"/>
          <w:color w:val="000000"/>
          <w:szCs w:val="21"/>
          <w:highlight w:val="none"/>
        </w:rPr>
        <w:t>要求</w:t>
      </w:r>
      <w:r>
        <w:rPr>
          <w:rFonts w:hint="eastAsia" w:ascii="宋体" w:hAnsi="宋体"/>
          <w:color w:val="000000"/>
          <w:szCs w:val="21"/>
          <w:highlight w:val="none"/>
        </w:rPr>
        <w:t>。接受项目行业管理部门及政府有关部门的指导，配合甲方的履约检查及验收，并</w:t>
      </w:r>
      <w:r>
        <w:rPr>
          <w:rFonts w:ascii="宋体" w:hAnsi="宋体"/>
          <w:color w:val="000000"/>
          <w:szCs w:val="21"/>
          <w:highlight w:val="none"/>
        </w:rPr>
        <w:t>负责项目实施过程中的所有协调工作。</w:t>
      </w:r>
    </w:p>
    <w:p w14:paraId="7494BDFC">
      <w:pPr>
        <w:pStyle w:val="4"/>
        <w:spacing w:after="0" w:line="400" w:lineRule="exact"/>
        <w:ind w:firstLine="369" w:firstLineChars="176"/>
        <w:rPr>
          <w:rFonts w:ascii="宋体" w:hAnsi="宋体" w:cs="宋体"/>
          <w:color w:val="000000"/>
          <w:szCs w:val="21"/>
          <w:highlight w:val="none"/>
        </w:rPr>
      </w:pPr>
      <w:r>
        <w:rPr>
          <w:rFonts w:hint="eastAsia" w:ascii="宋体" w:hAnsi="宋体"/>
          <w:color w:val="000000"/>
          <w:szCs w:val="21"/>
          <w:highlight w:val="none"/>
        </w:rPr>
        <w:t>5.</w:t>
      </w:r>
      <w:r>
        <w:rPr>
          <w:rFonts w:ascii="宋体" w:hAnsi="宋体"/>
          <w:color w:val="000000"/>
          <w:szCs w:val="21"/>
          <w:highlight w:val="none"/>
        </w:rPr>
        <w:t>3</w:t>
      </w:r>
      <w:r>
        <w:rPr>
          <w:rFonts w:hint="eastAsia" w:ascii="宋体" w:hAnsi="宋体"/>
          <w:color w:val="000000"/>
          <w:szCs w:val="21"/>
          <w:highlight w:val="none"/>
        </w:rPr>
        <w:t>乙方有权</w:t>
      </w:r>
      <w:r>
        <w:rPr>
          <w:rFonts w:hint="eastAsia" w:ascii="宋体" w:hAnsi="宋体" w:cs="宋体"/>
          <w:color w:val="000000"/>
          <w:szCs w:val="21"/>
          <w:highlight w:val="none"/>
        </w:rPr>
        <w:t>根据合同约定向甲方收取合同价款。</w:t>
      </w:r>
    </w:p>
    <w:p w14:paraId="729A6F5A">
      <w:pPr>
        <w:pStyle w:val="4"/>
        <w:spacing w:after="0" w:line="400" w:lineRule="exact"/>
        <w:ind w:firstLine="369" w:firstLineChars="176"/>
        <w:rPr>
          <w:rFonts w:ascii="宋体" w:hAnsi="宋体" w:cs="宋体"/>
          <w:color w:val="000000"/>
          <w:szCs w:val="21"/>
          <w:highlight w:val="none"/>
        </w:rPr>
      </w:pPr>
      <w:r>
        <w:rPr>
          <w:rFonts w:hint="eastAsia" w:ascii="宋体" w:hAnsi="宋体"/>
          <w:color w:val="000000"/>
          <w:szCs w:val="21"/>
          <w:highlight w:val="none"/>
        </w:rPr>
        <w:t>5.</w:t>
      </w:r>
      <w:r>
        <w:rPr>
          <w:rFonts w:ascii="宋体" w:hAnsi="宋体"/>
          <w:color w:val="000000"/>
          <w:szCs w:val="21"/>
          <w:highlight w:val="none"/>
        </w:rPr>
        <w:t>4</w:t>
      </w:r>
      <w:r>
        <w:rPr>
          <w:rFonts w:hint="eastAsia" w:ascii="宋体" w:hAnsi="宋体" w:cs="宋体"/>
          <w:color w:val="000000"/>
          <w:szCs w:val="21"/>
          <w:highlight w:val="none"/>
        </w:rPr>
        <w:t>国家法律法规规定</w:t>
      </w:r>
      <w:r>
        <w:rPr>
          <w:rFonts w:hint="eastAsia" w:ascii="宋体" w:hAnsi="宋体"/>
          <w:color w:val="000000"/>
          <w:szCs w:val="21"/>
          <w:highlight w:val="none"/>
        </w:rPr>
        <w:t>及</w:t>
      </w:r>
      <w:r>
        <w:rPr>
          <w:rFonts w:hint="eastAsia" w:ascii="宋体" w:hAnsi="宋体" w:cs="宋体"/>
          <w:b/>
          <w:bCs/>
          <w:szCs w:val="21"/>
          <w:highlight w:val="none"/>
        </w:rPr>
        <w:t>【政府采购合同专用条款】</w:t>
      </w:r>
      <w:r>
        <w:rPr>
          <w:rFonts w:hint="eastAsia" w:ascii="宋体" w:hAnsi="宋体" w:cs="宋体"/>
          <w:szCs w:val="21"/>
          <w:highlight w:val="none"/>
        </w:rPr>
        <w:t>约定应</w:t>
      </w:r>
      <w:r>
        <w:rPr>
          <w:rFonts w:hint="eastAsia" w:ascii="宋体" w:hAnsi="宋体" w:cs="宋体"/>
          <w:color w:val="000000"/>
          <w:szCs w:val="21"/>
          <w:highlight w:val="none"/>
        </w:rPr>
        <w:t>由乙方承担的其他义务和责任。</w:t>
      </w:r>
    </w:p>
    <w:p w14:paraId="69011F3B">
      <w:pPr>
        <w:numPr>
          <w:ilvl w:val="0"/>
          <w:numId w:val="171"/>
        </w:numPr>
        <w:autoSpaceDE w:val="0"/>
        <w:autoSpaceDN w:val="0"/>
        <w:adjustRightInd w:val="0"/>
        <w:snapToGrid w:val="0"/>
        <w:spacing w:line="400" w:lineRule="exact"/>
        <w:jc w:val="left"/>
        <w:rPr>
          <w:rFonts w:ascii="宋体" w:hAnsi="宋体"/>
          <w:b/>
          <w:bCs/>
          <w:color w:val="000000"/>
          <w:szCs w:val="21"/>
          <w:highlight w:val="none"/>
        </w:rPr>
      </w:pPr>
      <w:r>
        <w:rPr>
          <w:rFonts w:hint="eastAsia" w:ascii="宋体" w:hAnsi="宋体"/>
          <w:b/>
          <w:bCs/>
          <w:color w:val="000000"/>
          <w:szCs w:val="21"/>
          <w:highlight w:val="none"/>
        </w:rPr>
        <w:t>合同履行</w:t>
      </w:r>
    </w:p>
    <w:p w14:paraId="148F3147">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6.1 甲乙双方应当按照</w:t>
      </w:r>
      <w:r>
        <w:rPr>
          <w:rFonts w:hint="eastAsia" w:ascii="宋体" w:hAnsi="宋体" w:cs="宋体"/>
          <w:b/>
          <w:bCs/>
          <w:szCs w:val="21"/>
          <w:highlight w:val="none"/>
        </w:rPr>
        <w:t>【政府采购合同专用条款】</w:t>
      </w:r>
      <w:r>
        <w:rPr>
          <w:rFonts w:hint="eastAsia" w:ascii="宋体" w:hAnsi="宋体"/>
          <w:color w:val="000000"/>
          <w:szCs w:val="21"/>
          <w:highlight w:val="none"/>
        </w:rPr>
        <w:t>约定顺序履行合同义务；如果没有先后顺序的，应当同时履行。</w:t>
      </w:r>
    </w:p>
    <w:p w14:paraId="71B73F72">
      <w:pPr>
        <w:autoSpaceDE w:val="0"/>
        <w:autoSpaceDN w:val="0"/>
        <w:adjustRightInd w:val="0"/>
        <w:snapToGrid w:val="0"/>
        <w:spacing w:line="400" w:lineRule="exact"/>
        <w:ind w:firstLine="420" w:firstLineChars="200"/>
        <w:jc w:val="left"/>
        <w:rPr>
          <w:szCs w:val="21"/>
          <w:highlight w:val="none"/>
        </w:rPr>
      </w:pPr>
      <w:r>
        <w:rPr>
          <w:rFonts w:hint="eastAsia" w:ascii="宋体" w:hAnsi="宋体"/>
          <w:color w:val="000000"/>
          <w:szCs w:val="21"/>
          <w:highlight w:val="none"/>
        </w:rPr>
        <w:t>6.2 甲乙双方按照合同约定顺序履行合同义务时，应当先履行一方未履行的，后履行一方有权拒绝其履行请求。先履行一方履行不符合约定的，后履行一方有权拒绝其相应的履行请求。</w:t>
      </w:r>
    </w:p>
    <w:p w14:paraId="4E2C9AE1">
      <w:pPr>
        <w:adjustRightInd w:val="0"/>
        <w:snapToGrid w:val="0"/>
        <w:spacing w:line="400" w:lineRule="exact"/>
        <w:jc w:val="left"/>
        <w:rPr>
          <w:rFonts w:ascii="宋体" w:hAnsi="宋体"/>
          <w:b/>
          <w:bCs/>
          <w:color w:val="000000"/>
          <w:szCs w:val="21"/>
          <w:highlight w:val="none"/>
        </w:rPr>
      </w:pPr>
      <w:r>
        <w:rPr>
          <w:rFonts w:hint="eastAsia" w:ascii="宋体" w:hAnsi="宋体"/>
          <w:b/>
          <w:bCs/>
          <w:color w:val="000000"/>
          <w:szCs w:val="21"/>
          <w:highlight w:val="none"/>
        </w:rPr>
        <w:t>7. 货物包装、运输、保险和交付要求</w:t>
      </w:r>
    </w:p>
    <w:p w14:paraId="47AC5BCC">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7.1 本合同</w:t>
      </w:r>
      <w:r>
        <w:rPr>
          <w:rFonts w:hint="eastAsia" w:ascii="宋体" w:hAnsi="宋体"/>
          <w:bCs/>
          <w:color w:val="000000"/>
          <w:szCs w:val="21"/>
          <w:highlight w:val="none"/>
        </w:rPr>
        <w:t>涉及商品包装、快递包装的，</w:t>
      </w:r>
      <w:r>
        <w:rPr>
          <w:rFonts w:hint="eastAsia" w:ascii="宋体" w:hAnsi="宋体"/>
          <w:color w:val="000000"/>
          <w:szCs w:val="21"/>
          <w:highlight w:val="none"/>
        </w:rPr>
        <w:t>除</w:t>
      </w:r>
      <w:r>
        <w:rPr>
          <w:rFonts w:hint="eastAsia" w:ascii="宋体" w:hAnsi="宋体"/>
          <w:b/>
          <w:color w:val="000000"/>
          <w:szCs w:val="21"/>
          <w:highlight w:val="none"/>
        </w:rPr>
        <w:t>【政府采购合同专用条款】</w:t>
      </w:r>
      <w:r>
        <w:rPr>
          <w:rFonts w:hint="eastAsia" w:ascii="宋体" w:hAnsi="宋体"/>
          <w:bCs/>
          <w:color w:val="000000"/>
          <w:szCs w:val="21"/>
          <w:highlight w:val="none"/>
        </w:rPr>
        <w:t>另有约定外，</w:t>
      </w:r>
      <w:r>
        <w:rPr>
          <w:rFonts w:hint="eastAsia" w:ascii="宋体" w:hAnsi="宋体"/>
          <w:color w:val="000000"/>
          <w:szCs w:val="21"/>
          <w:highlight w:val="none"/>
        </w:rPr>
        <w:t>包装应适应远距离运输、防潮、防震、防锈和防野蛮装卸等要求，确保货物安全无损地运抵</w:t>
      </w:r>
      <w:r>
        <w:rPr>
          <w:rFonts w:hint="eastAsia" w:ascii="宋体" w:hAnsi="宋体"/>
          <w:b/>
          <w:color w:val="000000"/>
          <w:szCs w:val="21"/>
          <w:highlight w:val="none"/>
        </w:rPr>
        <w:t>【政府采购合同专用条款】</w:t>
      </w:r>
      <w:r>
        <w:rPr>
          <w:rFonts w:hint="eastAsia" w:ascii="宋体" w:hAnsi="宋体"/>
          <w:bCs/>
          <w:color w:val="000000"/>
          <w:szCs w:val="21"/>
          <w:highlight w:val="none"/>
        </w:rPr>
        <w:t>约定的</w:t>
      </w:r>
      <w:r>
        <w:rPr>
          <w:rFonts w:hint="eastAsia" w:ascii="宋体" w:hAnsi="宋体"/>
          <w:color w:val="000000"/>
          <w:szCs w:val="21"/>
          <w:highlight w:val="none"/>
        </w:rPr>
        <w:t>指定现场。</w:t>
      </w:r>
    </w:p>
    <w:p w14:paraId="3E2054C7">
      <w:pPr>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7.2 除</w:t>
      </w:r>
      <w:r>
        <w:rPr>
          <w:rFonts w:hint="eastAsia" w:ascii="宋体" w:hAnsi="宋体"/>
          <w:b/>
          <w:color w:val="000000"/>
          <w:szCs w:val="21"/>
          <w:highlight w:val="none"/>
        </w:rPr>
        <w:t>【政府采购合同专用条款】</w:t>
      </w:r>
      <w:r>
        <w:rPr>
          <w:rFonts w:hint="eastAsia" w:ascii="宋体" w:hAnsi="宋体"/>
          <w:bCs/>
          <w:color w:val="000000"/>
          <w:szCs w:val="21"/>
          <w:highlight w:val="none"/>
        </w:rPr>
        <w:t>另有约定外，</w:t>
      </w:r>
      <w:r>
        <w:rPr>
          <w:rFonts w:hint="eastAsia" w:ascii="宋体" w:hAnsi="宋体"/>
          <w:color w:val="000000"/>
          <w:szCs w:val="21"/>
          <w:highlight w:val="none"/>
        </w:rPr>
        <w:t>乙方负责办理将货物运抵本合同规定的交货地点，并装卸、交付至甲方的一切运输事项，相关费用应包含在合同价款中。</w:t>
      </w:r>
    </w:p>
    <w:p w14:paraId="6E2D5B95">
      <w:pPr>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7.3 货物保险要求按</w:t>
      </w:r>
      <w:r>
        <w:rPr>
          <w:rFonts w:hint="eastAsia" w:ascii="宋体" w:hAnsi="宋体"/>
          <w:b/>
          <w:color w:val="000000"/>
          <w:szCs w:val="21"/>
          <w:highlight w:val="none"/>
        </w:rPr>
        <w:t>【政府采购合同专用条款】</w:t>
      </w:r>
      <w:r>
        <w:rPr>
          <w:rFonts w:hint="eastAsia" w:ascii="宋体" w:hAnsi="宋体"/>
          <w:bCs/>
          <w:color w:val="000000"/>
          <w:szCs w:val="21"/>
          <w:highlight w:val="none"/>
        </w:rPr>
        <w:t>规定执行</w:t>
      </w:r>
      <w:r>
        <w:rPr>
          <w:rFonts w:hint="eastAsia" w:ascii="宋体" w:hAnsi="宋体"/>
          <w:color w:val="000000"/>
          <w:szCs w:val="21"/>
          <w:highlight w:val="none"/>
        </w:rPr>
        <w:t>。</w:t>
      </w:r>
    </w:p>
    <w:p w14:paraId="209D0A0C">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36C07375">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 xml:space="preserve">7.5 </w:t>
      </w:r>
      <w:r>
        <w:rPr>
          <w:rFonts w:hint="eastAsia" w:ascii="宋体" w:hAnsi="宋体" w:cs="宋体"/>
          <w:color w:val="000000"/>
          <w:szCs w:val="21"/>
          <w:highlight w:val="none"/>
        </w:rPr>
        <w:t>乙方在运输到达之前应提前通知甲方，并提示货物运输装卸的注意事项，甲方配合乙方做好货物的接收工作。</w:t>
      </w:r>
    </w:p>
    <w:p w14:paraId="56157DF0">
      <w:pPr>
        <w:pStyle w:val="64"/>
        <w:ind w:firstLine="420"/>
        <w:rPr>
          <w:sz w:val="21"/>
          <w:highlight w:val="none"/>
        </w:rPr>
      </w:pPr>
      <w:r>
        <w:rPr>
          <w:rFonts w:hint="eastAsia" w:ascii="宋体" w:hAnsi="宋体" w:eastAsia="宋体" w:cs="Times New Roman"/>
          <w:color w:val="000000"/>
          <w:kern w:val="2"/>
          <w:sz w:val="21"/>
          <w:highlight w:val="none"/>
        </w:rPr>
        <w:t>7.6 如因包装、运输问题导致货物损毁、丢失或者品质下降，甲方有权要求降价、换货、拒收部分或整批货物，由此产生的费用和损失，均由乙方承担。</w:t>
      </w:r>
    </w:p>
    <w:p w14:paraId="125ACF88">
      <w:pPr>
        <w:adjustRightInd w:val="0"/>
        <w:snapToGrid w:val="0"/>
        <w:spacing w:line="400" w:lineRule="exact"/>
        <w:jc w:val="left"/>
        <w:rPr>
          <w:rFonts w:ascii="宋体" w:hAnsi="宋体"/>
          <w:b/>
          <w:szCs w:val="21"/>
          <w:highlight w:val="none"/>
        </w:rPr>
      </w:pPr>
      <w:r>
        <w:rPr>
          <w:rFonts w:hint="eastAsia" w:ascii="宋体" w:hAnsi="宋体"/>
          <w:b/>
          <w:color w:val="000000"/>
          <w:szCs w:val="21"/>
          <w:highlight w:val="none"/>
        </w:rPr>
        <w:t xml:space="preserve">8. </w:t>
      </w:r>
      <w:r>
        <w:rPr>
          <w:rFonts w:hint="eastAsia" w:ascii="宋体" w:hAnsi="宋体"/>
          <w:b/>
          <w:szCs w:val="21"/>
          <w:highlight w:val="none"/>
        </w:rPr>
        <w:t>质量标准和保证</w:t>
      </w:r>
    </w:p>
    <w:p w14:paraId="70027E82">
      <w:pPr>
        <w:pStyle w:val="23"/>
        <w:adjustRightInd w:val="0"/>
        <w:snapToGrid w:val="0"/>
        <w:spacing w:line="400" w:lineRule="exact"/>
        <w:ind w:firstLine="420" w:firstLineChars="200"/>
        <w:jc w:val="left"/>
        <w:rPr>
          <w:rFonts w:hAnsi="宋体"/>
          <w:b/>
          <w:highlight w:val="none"/>
        </w:rPr>
      </w:pPr>
      <w:r>
        <w:rPr>
          <w:rFonts w:hint="eastAsia" w:hAnsi="宋体"/>
          <w:highlight w:val="none"/>
        </w:rPr>
        <w:t>8.1 质量标准</w:t>
      </w:r>
    </w:p>
    <w:p w14:paraId="5A4D3F56">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（1）本合同下提供的货物应符合合同</w:t>
      </w:r>
      <w:r>
        <w:rPr>
          <w:rFonts w:hint="eastAsia" w:ascii="宋体" w:hAnsi="宋体" w:cs="宋体"/>
          <w:color w:val="000000"/>
          <w:szCs w:val="21"/>
          <w:highlight w:val="none"/>
        </w:rPr>
        <w:t>约定的</w:t>
      </w:r>
      <w:r>
        <w:rPr>
          <w:rFonts w:hint="eastAsia" w:ascii="宋体" w:hAnsi="宋体" w:cs="宋体"/>
          <w:szCs w:val="21"/>
          <w:highlight w:val="none"/>
        </w:rPr>
        <w:t>品牌、规格型号、技术性能、配置、质量、数量等要求。</w:t>
      </w:r>
      <w:r>
        <w:rPr>
          <w:rFonts w:hint="eastAsia" w:ascii="宋体" w:hAnsi="宋体"/>
          <w:szCs w:val="21"/>
          <w:highlight w:val="none"/>
        </w:rPr>
        <w:t>质量要求不明确的，按照强制性国家标准履行；没有强制性国家标准的，按照推荐性国家标准履行；没有推荐性国家标准的，按照行业标准履行；没有国家标准、行业标准的，按照通常标准或者符合合同目的的特定标准履行。</w:t>
      </w:r>
    </w:p>
    <w:p w14:paraId="3A9CFBE0">
      <w:pPr>
        <w:pStyle w:val="23"/>
        <w:adjustRightInd w:val="0"/>
        <w:snapToGrid w:val="0"/>
        <w:spacing w:line="400" w:lineRule="exact"/>
        <w:ind w:firstLine="420" w:firstLineChars="200"/>
        <w:jc w:val="left"/>
        <w:rPr>
          <w:rFonts w:hAnsi="宋体"/>
          <w:highlight w:val="none"/>
        </w:rPr>
      </w:pPr>
      <w:r>
        <w:rPr>
          <w:rFonts w:hint="eastAsia" w:hAnsi="宋体"/>
          <w:highlight w:val="none"/>
        </w:rPr>
        <w:t>（2）采用中华人民共和国法定计量单位。</w:t>
      </w:r>
    </w:p>
    <w:p w14:paraId="3A9B7943">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（3）乙方所提供的货物应符合国家有关安全、环保、卫生的规定。</w:t>
      </w:r>
    </w:p>
    <w:p w14:paraId="11DC423A">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（4）乙方应向甲方提交所提供货物的技术文件，包括相应的中文技术文件，如：产品目录、图纸、操作手册、使用说明、维护手册或服务指南等。上述文件应包装好随货物一同发运。</w:t>
      </w:r>
    </w:p>
    <w:p w14:paraId="27191561">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8.2 保证</w:t>
      </w:r>
    </w:p>
    <w:p w14:paraId="3C3BB45C">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（1）乙方应保证提供的货物完全符合合同规定的质量、规格和性能要求。乙方应保证货物在正确安装、正常使用和保养条件下，</w:t>
      </w:r>
      <w:r>
        <w:rPr>
          <w:rFonts w:hint="eastAsia" w:ascii="宋体" w:hAnsi="宋体" w:cs="宋体"/>
          <w:szCs w:val="21"/>
          <w:highlight w:val="none"/>
        </w:rPr>
        <w:t>在其使用寿命期内具备合同约定的性能</w:t>
      </w:r>
      <w:r>
        <w:rPr>
          <w:rFonts w:hint="eastAsia" w:ascii="宋体" w:hAnsi="宋体"/>
          <w:szCs w:val="21"/>
          <w:highlight w:val="none"/>
        </w:rPr>
        <w:t>。存在质量保证期的，货物最终交付验收合格后在</w:t>
      </w:r>
      <w:r>
        <w:rPr>
          <w:rFonts w:hint="eastAsia" w:ascii="宋体" w:hAnsi="宋体"/>
          <w:b/>
          <w:szCs w:val="21"/>
          <w:highlight w:val="none"/>
        </w:rPr>
        <w:t>【政府采购合同专用条款】</w:t>
      </w:r>
      <w:r>
        <w:rPr>
          <w:rFonts w:hint="eastAsia" w:ascii="宋体" w:hAnsi="宋体"/>
          <w:szCs w:val="21"/>
          <w:highlight w:val="none"/>
        </w:rPr>
        <w:t>规定或乙方书面承诺（两者以较长的为准）的质量保证期内，本保证保持有效。</w:t>
      </w:r>
    </w:p>
    <w:p w14:paraId="7AC4C8C6">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（2）在质量保证期内所发现的缺陷，甲方应尽快以书面形式通知乙方。</w:t>
      </w:r>
    </w:p>
    <w:p w14:paraId="01B5923F">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（3）乙方收到通知后，应在</w:t>
      </w:r>
      <w:r>
        <w:rPr>
          <w:rFonts w:hint="eastAsia" w:ascii="宋体" w:hAnsi="宋体"/>
          <w:b/>
          <w:szCs w:val="21"/>
          <w:highlight w:val="none"/>
        </w:rPr>
        <w:t>【政府采购合同专用条款】</w:t>
      </w:r>
      <w:r>
        <w:rPr>
          <w:rFonts w:hint="eastAsia" w:ascii="宋体" w:hAnsi="宋体"/>
          <w:szCs w:val="21"/>
          <w:highlight w:val="none"/>
        </w:rPr>
        <w:t>规定的响应时间内以合理的速度免费维修或更换有缺陷的货物或部件。</w:t>
      </w:r>
    </w:p>
    <w:p w14:paraId="5EB84911">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（4）在质量保证期内，如果货物的质量或规格与合同不符，或证实货物是有缺陷的，包括潜在的缺陷或使用不符合要求的材料等，甲方可以根据本合同第1</w:t>
      </w:r>
      <w:r>
        <w:rPr>
          <w:rFonts w:hint="eastAsia" w:ascii="宋体" w:hAnsi="宋体"/>
          <w:color w:val="000000"/>
          <w:szCs w:val="21"/>
          <w:highlight w:val="none"/>
        </w:rPr>
        <w:t>5</w:t>
      </w:r>
      <w:r>
        <w:rPr>
          <w:rFonts w:hint="eastAsia" w:ascii="宋体" w:hAnsi="宋体"/>
          <w:szCs w:val="21"/>
          <w:highlight w:val="none"/>
        </w:rPr>
        <w:t>.1条规定以书面形式</w:t>
      </w:r>
      <w:r>
        <w:rPr>
          <w:rFonts w:hint="eastAsia" w:ascii="宋体" w:hAnsi="宋体"/>
          <w:color w:val="000000"/>
          <w:szCs w:val="21"/>
          <w:highlight w:val="none"/>
        </w:rPr>
        <w:t>追究</w:t>
      </w:r>
      <w:r>
        <w:rPr>
          <w:rFonts w:hint="eastAsia" w:ascii="宋体" w:hAnsi="宋体"/>
          <w:szCs w:val="21"/>
          <w:highlight w:val="none"/>
        </w:rPr>
        <w:t>乙方</w:t>
      </w:r>
      <w:r>
        <w:rPr>
          <w:rFonts w:hint="eastAsia" w:ascii="宋体" w:hAnsi="宋体"/>
          <w:color w:val="000000"/>
          <w:szCs w:val="21"/>
          <w:highlight w:val="none"/>
        </w:rPr>
        <w:t>的违约责任</w:t>
      </w:r>
      <w:r>
        <w:rPr>
          <w:rFonts w:hint="eastAsia" w:ascii="宋体" w:hAnsi="宋体"/>
          <w:szCs w:val="21"/>
          <w:highlight w:val="none"/>
        </w:rPr>
        <w:t>。</w:t>
      </w:r>
    </w:p>
    <w:p w14:paraId="05D6A8C8">
      <w:pPr>
        <w:adjustRightInd w:val="0"/>
        <w:snapToGrid w:val="0"/>
        <w:spacing w:line="400" w:lineRule="exact"/>
        <w:ind w:firstLine="420" w:firstLineChars="200"/>
        <w:jc w:val="left"/>
        <w:rPr>
          <w:szCs w:val="21"/>
          <w:highlight w:val="none"/>
        </w:rPr>
      </w:pPr>
      <w:r>
        <w:rPr>
          <w:rFonts w:hint="eastAsia" w:ascii="宋体" w:hAnsi="宋体"/>
          <w:szCs w:val="21"/>
          <w:highlight w:val="none"/>
        </w:rPr>
        <w:t>（5）乙方在约定的时间内未能弥补缺陷，甲方可采取必要的补救措施，但其风险和费用将由乙方承担，甲方根据合同约定对乙方行使的其他权利不受影响。</w:t>
      </w:r>
    </w:p>
    <w:p w14:paraId="1F73B399">
      <w:pPr>
        <w:adjustRightInd w:val="0"/>
        <w:snapToGrid w:val="0"/>
        <w:spacing w:line="400" w:lineRule="exact"/>
        <w:jc w:val="left"/>
        <w:rPr>
          <w:rFonts w:ascii="宋体" w:hAnsi="宋体"/>
          <w:b/>
          <w:bCs/>
          <w:szCs w:val="21"/>
          <w:highlight w:val="none"/>
        </w:rPr>
      </w:pPr>
      <w:r>
        <w:rPr>
          <w:rFonts w:hint="eastAsia" w:ascii="宋体" w:hAnsi="宋体"/>
          <w:b/>
          <w:bCs/>
          <w:color w:val="000000"/>
          <w:szCs w:val="21"/>
          <w:highlight w:val="none"/>
        </w:rPr>
        <w:t>9</w:t>
      </w:r>
      <w:r>
        <w:rPr>
          <w:rFonts w:hint="eastAsia" w:ascii="宋体" w:hAnsi="宋体"/>
          <w:b/>
          <w:bCs/>
          <w:szCs w:val="21"/>
          <w:highlight w:val="none"/>
        </w:rPr>
        <w:t>.</w:t>
      </w:r>
      <w:r>
        <w:rPr>
          <w:rFonts w:hint="eastAsia" w:ascii="宋体" w:hAnsi="宋体"/>
          <w:b/>
          <w:bCs/>
          <w:color w:val="000000"/>
          <w:szCs w:val="21"/>
          <w:highlight w:val="none"/>
        </w:rPr>
        <w:t xml:space="preserve"> </w:t>
      </w:r>
      <w:r>
        <w:rPr>
          <w:rFonts w:hint="eastAsia" w:ascii="宋体" w:hAnsi="宋体"/>
          <w:b/>
          <w:bCs/>
          <w:szCs w:val="21"/>
          <w:highlight w:val="none"/>
        </w:rPr>
        <w:t>权利瑕疵担保</w:t>
      </w:r>
    </w:p>
    <w:p w14:paraId="5C567917">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9.1 乙方保证对其出售的货物享有合法的权利。</w:t>
      </w:r>
    </w:p>
    <w:p w14:paraId="6EAC8361">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 xml:space="preserve">9.2 </w:t>
      </w:r>
      <w:r>
        <w:rPr>
          <w:rFonts w:hint="eastAsia" w:ascii="宋体" w:hAnsi="宋体" w:cs="宋体"/>
          <w:szCs w:val="21"/>
          <w:highlight w:val="none"/>
        </w:rPr>
        <w:t>乙方保证在交付的货物上不存在抵押权等担保物权。</w:t>
      </w:r>
    </w:p>
    <w:p w14:paraId="29D28367">
      <w:pPr>
        <w:autoSpaceDE w:val="0"/>
        <w:autoSpaceDN w:val="0"/>
        <w:adjustRightInd w:val="0"/>
        <w:snapToGrid w:val="0"/>
        <w:spacing w:line="400" w:lineRule="exact"/>
        <w:ind w:firstLine="420" w:firstLineChars="200"/>
        <w:jc w:val="left"/>
        <w:rPr>
          <w:rFonts w:ascii="宋体" w:hAnsi="宋体"/>
          <w:color w:val="000000"/>
          <w:szCs w:val="21"/>
          <w:highlight w:val="none"/>
        </w:rPr>
      </w:pPr>
      <w:r>
        <w:rPr>
          <w:rFonts w:hint="eastAsia" w:ascii="宋体" w:hAnsi="宋体"/>
          <w:color w:val="000000"/>
          <w:szCs w:val="21"/>
          <w:highlight w:val="none"/>
        </w:rPr>
        <w:t>9.3 如甲方使用上述货物构成对第三人侵权的，则由乙方承担全部责任。</w:t>
      </w:r>
    </w:p>
    <w:p w14:paraId="69383E65">
      <w:pPr>
        <w:autoSpaceDE w:val="0"/>
        <w:autoSpaceDN w:val="0"/>
        <w:adjustRightInd w:val="0"/>
        <w:snapToGrid w:val="0"/>
        <w:spacing w:line="400" w:lineRule="exact"/>
        <w:jc w:val="left"/>
        <w:rPr>
          <w:rFonts w:ascii="宋体" w:hAnsi="宋体"/>
          <w:b/>
          <w:bCs/>
          <w:color w:val="000000"/>
          <w:szCs w:val="21"/>
          <w:highlight w:val="none"/>
        </w:rPr>
      </w:pPr>
      <w:r>
        <w:rPr>
          <w:rFonts w:hint="eastAsia" w:ascii="宋体" w:hAnsi="宋体"/>
          <w:b/>
          <w:bCs/>
          <w:color w:val="000000"/>
          <w:szCs w:val="21"/>
          <w:highlight w:val="none"/>
        </w:rPr>
        <w:t>10. 知识产权保护</w:t>
      </w:r>
    </w:p>
    <w:p w14:paraId="6AB3D6DD">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color w:val="000000"/>
          <w:szCs w:val="21"/>
          <w:highlight w:val="none"/>
        </w:rPr>
        <w:t>10.1 乙方对其所销售的货物应当享有知识产权或经权利人合法授权，保证没有侵犯任</w:t>
      </w:r>
      <w:r>
        <w:rPr>
          <w:rFonts w:hint="eastAsia" w:ascii="宋体" w:hAnsi="宋体"/>
          <w:szCs w:val="21"/>
          <w:highlight w:val="none"/>
        </w:rPr>
        <w:t>何第三人的知识产权等权利。</w:t>
      </w:r>
      <w:bookmarkStart w:id="57" w:name="_Hlk163047038"/>
      <w:r>
        <w:rPr>
          <w:rFonts w:hint="eastAsia" w:ascii="宋体" w:hAnsi="宋体" w:cs="宋体"/>
          <w:szCs w:val="21"/>
          <w:highlight w:val="none"/>
        </w:rPr>
        <w:t>因违反前述约定对第三人构成侵权的，应当由乙方向第三人承担法律责任；甲方依法向第三人赔偿后，有权向乙方追偿。甲方有其他损失的，乙方应当赔偿</w:t>
      </w:r>
      <w:bookmarkEnd w:id="57"/>
      <w:r>
        <w:rPr>
          <w:rFonts w:hint="eastAsia" w:ascii="宋体" w:hAnsi="宋体"/>
          <w:szCs w:val="21"/>
          <w:highlight w:val="none"/>
        </w:rPr>
        <w:t>。</w:t>
      </w:r>
    </w:p>
    <w:p w14:paraId="041875A5">
      <w:pPr>
        <w:autoSpaceDE w:val="0"/>
        <w:autoSpaceDN w:val="0"/>
        <w:adjustRightInd w:val="0"/>
        <w:snapToGrid w:val="0"/>
        <w:spacing w:line="400" w:lineRule="exact"/>
        <w:jc w:val="left"/>
        <w:rPr>
          <w:rFonts w:ascii="宋体" w:hAnsi="宋体"/>
          <w:b/>
          <w:bCs/>
          <w:szCs w:val="21"/>
          <w:highlight w:val="none"/>
        </w:rPr>
      </w:pPr>
      <w:r>
        <w:rPr>
          <w:rFonts w:hint="eastAsia" w:ascii="宋体" w:hAnsi="宋体"/>
          <w:b/>
          <w:bCs/>
          <w:szCs w:val="21"/>
          <w:highlight w:val="none"/>
        </w:rPr>
        <w:t>11. 保密义务</w:t>
      </w:r>
    </w:p>
    <w:p w14:paraId="19935C5E">
      <w:pPr>
        <w:autoSpaceDE w:val="0"/>
        <w:autoSpaceDN w:val="0"/>
        <w:adjustRightInd w:val="0"/>
        <w:snapToGrid w:val="0"/>
        <w:spacing w:line="400" w:lineRule="exact"/>
        <w:ind w:firstLine="420" w:firstLineChars="200"/>
        <w:jc w:val="left"/>
        <w:rPr>
          <w:rFonts w:ascii="宋体" w:hAnsi="宋体" w:cs="宋体"/>
          <w:szCs w:val="21"/>
          <w:highlight w:val="none"/>
        </w:rPr>
      </w:pPr>
      <w:r>
        <w:rPr>
          <w:rFonts w:hint="eastAsia" w:ascii="宋体" w:hAnsi="宋体" w:cs="宋体"/>
          <w:szCs w:val="21"/>
          <w:highlight w:val="none"/>
        </w:rPr>
        <w:t>11.1 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Pr>
          <w:rFonts w:hint="eastAsia" w:ascii="宋体" w:hAnsi="宋体" w:cs="宋体"/>
          <w:b/>
          <w:bCs/>
          <w:szCs w:val="21"/>
          <w:highlight w:val="none"/>
        </w:rPr>
        <w:t>【政府采购合同专用条款】</w:t>
      </w:r>
      <w:r>
        <w:rPr>
          <w:rFonts w:hint="eastAsia" w:ascii="宋体" w:hAnsi="宋体" w:cs="宋体"/>
          <w:szCs w:val="21"/>
          <w:highlight w:val="none"/>
        </w:rPr>
        <w:t>中约定。</w:t>
      </w:r>
    </w:p>
    <w:p w14:paraId="3FE986F4">
      <w:pPr>
        <w:autoSpaceDE w:val="0"/>
        <w:autoSpaceDN w:val="0"/>
        <w:adjustRightInd w:val="0"/>
        <w:snapToGrid w:val="0"/>
        <w:spacing w:line="400" w:lineRule="exact"/>
        <w:jc w:val="left"/>
        <w:rPr>
          <w:rFonts w:ascii="宋体" w:hAnsi="宋体"/>
          <w:b/>
          <w:bCs/>
          <w:szCs w:val="21"/>
          <w:highlight w:val="none"/>
        </w:rPr>
      </w:pPr>
      <w:r>
        <w:rPr>
          <w:rFonts w:hint="eastAsia" w:ascii="宋体" w:hAnsi="宋体"/>
          <w:b/>
          <w:bCs/>
          <w:szCs w:val="21"/>
          <w:highlight w:val="none"/>
        </w:rPr>
        <w:t>12. 合同价款支付</w:t>
      </w:r>
    </w:p>
    <w:p w14:paraId="12F80B5E">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12.1 合同价款支付按照国库集中支付制度及财政管理相关规定执行。</w:t>
      </w:r>
    </w:p>
    <w:p w14:paraId="06FCE269">
      <w:pPr>
        <w:autoSpaceDE w:val="0"/>
        <w:autoSpaceDN w:val="0"/>
        <w:adjustRightInd w:val="0"/>
        <w:snapToGrid w:val="0"/>
        <w:spacing w:line="400" w:lineRule="exact"/>
        <w:ind w:firstLine="420" w:firstLineChars="200"/>
        <w:jc w:val="left"/>
        <w:rPr>
          <w:rFonts w:ascii="宋体" w:hAnsi="宋体" w:cs="宋体"/>
          <w:szCs w:val="21"/>
          <w:highlight w:val="none"/>
        </w:rPr>
      </w:pPr>
      <w:r>
        <w:rPr>
          <w:rFonts w:hint="eastAsia" w:ascii="宋体" w:hAnsi="宋体" w:cs="宋体"/>
          <w:szCs w:val="21"/>
          <w:highlight w:val="none"/>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在【政府采购合同专用条款】中约定。</w:t>
      </w:r>
    </w:p>
    <w:p w14:paraId="51176C6E">
      <w:pPr>
        <w:pStyle w:val="4"/>
        <w:spacing w:after="0" w:line="400" w:lineRule="exact"/>
        <w:rPr>
          <w:rFonts w:ascii="宋体" w:hAnsi="宋体"/>
          <w:b/>
          <w:bCs/>
          <w:szCs w:val="21"/>
          <w:highlight w:val="none"/>
        </w:rPr>
      </w:pPr>
      <w:r>
        <w:rPr>
          <w:rFonts w:hint="eastAsia" w:ascii="宋体" w:hAnsi="宋体"/>
          <w:b/>
          <w:bCs/>
          <w:szCs w:val="21"/>
          <w:highlight w:val="none"/>
        </w:rPr>
        <w:t>13. 履约保证金</w:t>
      </w:r>
    </w:p>
    <w:p w14:paraId="3108DAE6">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 xml:space="preserve">13.1 </w:t>
      </w:r>
      <w:r>
        <w:rPr>
          <w:rFonts w:hint="eastAsia" w:ascii="宋体" w:hAnsi="宋体" w:cs="宋体"/>
          <w:szCs w:val="21"/>
          <w:highlight w:val="none"/>
        </w:rPr>
        <w:t>乙方应当以支票、汇票、本票或者金融机构、担保机构出具的保函等非现金形式提交。</w:t>
      </w:r>
    </w:p>
    <w:p w14:paraId="1EFEE2D5">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13.2 如果乙方出现</w:t>
      </w:r>
      <w:r>
        <w:rPr>
          <w:rFonts w:hint="eastAsia" w:ascii="宋体" w:hAnsi="宋体" w:cs="宋体"/>
          <w:b/>
          <w:bCs/>
          <w:szCs w:val="21"/>
          <w:highlight w:val="none"/>
        </w:rPr>
        <w:t>【政府采购合同专用条款】</w:t>
      </w:r>
      <w:r>
        <w:rPr>
          <w:rFonts w:hint="eastAsia" w:ascii="宋体" w:hAnsi="宋体" w:cs="宋体"/>
          <w:szCs w:val="21"/>
          <w:highlight w:val="none"/>
        </w:rPr>
        <w:t>约定情形的</w:t>
      </w:r>
      <w:r>
        <w:rPr>
          <w:rFonts w:hint="eastAsia" w:ascii="宋体" w:hAnsi="宋体"/>
          <w:szCs w:val="21"/>
          <w:highlight w:val="none"/>
        </w:rPr>
        <w:t>，履约保证金不予退还；如果乙方未能按合同约定全面履行义务，甲方有权从履约保证金中取得补偿或赔偿，且不影响甲方要求乙方承担合同约定的超过履约保证金的违约责任的权利。</w:t>
      </w:r>
    </w:p>
    <w:p w14:paraId="2631696F">
      <w:pPr>
        <w:spacing w:line="400" w:lineRule="exact"/>
        <w:ind w:firstLine="420"/>
        <w:rPr>
          <w:szCs w:val="21"/>
          <w:highlight w:val="none"/>
        </w:rPr>
      </w:pPr>
      <w:r>
        <w:rPr>
          <w:rFonts w:hint="eastAsia" w:ascii="宋体" w:hAnsi="宋体"/>
          <w:szCs w:val="21"/>
          <w:highlight w:val="none"/>
        </w:rPr>
        <w:t>13.3 甲方在项目通过验收后按照</w:t>
      </w:r>
      <w:r>
        <w:rPr>
          <w:rFonts w:hint="eastAsia" w:ascii="宋体" w:hAnsi="宋体"/>
          <w:b/>
          <w:szCs w:val="21"/>
          <w:highlight w:val="none"/>
        </w:rPr>
        <w:t>【政府采购合同专用条款】</w:t>
      </w:r>
      <w:r>
        <w:rPr>
          <w:rFonts w:hint="eastAsia" w:ascii="宋体" w:hAnsi="宋体"/>
          <w:szCs w:val="21"/>
          <w:highlight w:val="none"/>
        </w:rPr>
        <w:t>规定的时间内将履约保证金退还乙方；逾期退还的，乙方可要求甲方支付违约金，违约金按照</w:t>
      </w:r>
      <w:r>
        <w:rPr>
          <w:rFonts w:hint="eastAsia" w:ascii="宋体" w:hAnsi="宋体"/>
          <w:b/>
          <w:szCs w:val="21"/>
          <w:highlight w:val="none"/>
        </w:rPr>
        <w:t>【政府采购合同专用条款】</w:t>
      </w:r>
      <w:r>
        <w:rPr>
          <w:rFonts w:hint="eastAsia" w:ascii="宋体" w:hAnsi="宋体"/>
          <w:szCs w:val="21"/>
          <w:highlight w:val="none"/>
        </w:rPr>
        <w:t>规定支付。</w:t>
      </w:r>
    </w:p>
    <w:p w14:paraId="1CEAE37E">
      <w:pPr>
        <w:autoSpaceDE w:val="0"/>
        <w:autoSpaceDN w:val="0"/>
        <w:adjustRightInd w:val="0"/>
        <w:snapToGrid w:val="0"/>
        <w:spacing w:line="400" w:lineRule="exact"/>
        <w:jc w:val="left"/>
        <w:rPr>
          <w:rFonts w:ascii="宋体" w:hAnsi="宋体"/>
          <w:b/>
          <w:szCs w:val="21"/>
          <w:highlight w:val="none"/>
        </w:rPr>
      </w:pPr>
      <w:r>
        <w:rPr>
          <w:rFonts w:hint="eastAsia" w:ascii="宋体" w:hAnsi="宋体"/>
          <w:b/>
          <w:bCs/>
          <w:szCs w:val="21"/>
          <w:highlight w:val="none"/>
        </w:rPr>
        <w:t xml:space="preserve">14. </w:t>
      </w:r>
      <w:r>
        <w:rPr>
          <w:rFonts w:hint="eastAsia"/>
          <w:b/>
          <w:szCs w:val="21"/>
          <w:highlight w:val="none"/>
        </w:rPr>
        <w:t>售后</w:t>
      </w:r>
      <w:r>
        <w:rPr>
          <w:rFonts w:hint="eastAsia" w:ascii="宋体" w:hAnsi="宋体"/>
          <w:b/>
          <w:szCs w:val="21"/>
          <w:highlight w:val="none"/>
        </w:rPr>
        <w:t>服务</w:t>
      </w:r>
    </w:p>
    <w:p w14:paraId="56347244">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14.1 除项目不涉及或采购活动中明确约定无须承担外，乙方还应提供下列服务：</w:t>
      </w:r>
    </w:p>
    <w:p w14:paraId="39434CA2">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（1）货物的现场移动、安装、调试、启动监督及技术支持；</w:t>
      </w:r>
    </w:p>
    <w:p w14:paraId="0CC45441">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（2）提供货物组装和维修所需的专用工具和辅助材料；</w:t>
      </w:r>
    </w:p>
    <w:p w14:paraId="108656DB">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（3）在</w:t>
      </w:r>
      <w:r>
        <w:rPr>
          <w:rFonts w:hint="eastAsia" w:ascii="宋体" w:hAnsi="宋体" w:cs="宋体"/>
          <w:b/>
          <w:bCs/>
          <w:szCs w:val="21"/>
          <w:highlight w:val="none"/>
        </w:rPr>
        <w:t>【政府采购合同专用条款】</w:t>
      </w:r>
      <w:r>
        <w:rPr>
          <w:rFonts w:hint="eastAsia" w:ascii="宋体" w:hAnsi="宋体"/>
          <w:szCs w:val="21"/>
          <w:highlight w:val="none"/>
        </w:rPr>
        <w:t>约定的期限内对所有的货物实施运行监督、维修，但前提条件是该服务并不能免除乙方在质量保证期内所承担的义务；</w:t>
      </w:r>
    </w:p>
    <w:p w14:paraId="3AAE13FC">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（4）在制造商所在地或指定现场就货物的安装、启动、运营、维护、废弃处置等对甲方操作人员进行培训</w:t>
      </w:r>
      <w:r>
        <w:rPr>
          <w:rFonts w:hint="eastAsia" w:ascii="宋体" w:hAnsi="宋体" w:cs="宋体"/>
          <w:szCs w:val="21"/>
          <w:highlight w:val="none"/>
        </w:rPr>
        <w:t>；</w:t>
      </w:r>
    </w:p>
    <w:p w14:paraId="0E75A500">
      <w:pPr>
        <w:pStyle w:val="64"/>
        <w:ind w:firstLine="420"/>
        <w:rPr>
          <w:rFonts w:ascii="宋体" w:hAnsi="宋体" w:eastAsia="宋体" w:cs="宋体"/>
          <w:sz w:val="21"/>
          <w:highlight w:val="none"/>
        </w:rPr>
      </w:pPr>
      <w:r>
        <w:rPr>
          <w:rFonts w:hint="eastAsia" w:ascii="宋体" w:hAnsi="宋体" w:eastAsia="宋体" w:cs="宋体"/>
          <w:sz w:val="21"/>
          <w:highlight w:val="none"/>
        </w:rPr>
        <w:t>（5）依照法律、行政法规的规定或者按照</w:t>
      </w:r>
      <w:r>
        <w:rPr>
          <w:rFonts w:hint="eastAsia" w:ascii="宋体" w:hAnsi="宋体" w:eastAsia="宋体" w:cs="宋体"/>
          <w:b/>
          <w:bCs/>
          <w:sz w:val="21"/>
          <w:highlight w:val="none"/>
        </w:rPr>
        <w:t>【政府采购合同专用条款】</w:t>
      </w:r>
      <w:r>
        <w:rPr>
          <w:rFonts w:hint="eastAsia" w:ascii="宋体" w:hAnsi="宋体" w:eastAsia="宋体" w:cs="宋体"/>
          <w:sz w:val="21"/>
          <w:highlight w:val="none"/>
        </w:rPr>
        <w:t>约定，货物在有效使用年限届满后应予回收的，乙方负有自行或者委托第三人对货物予以回收的义务；</w:t>
      </w:r>
    </w:p>
    <w:p w14:paraId="22F1DE68">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（6）</w:t>
      </w:r>
      <w:r>
        <w:rPr>
          <w:rFonts w:hint="eastAsia" w:ascii="宋体" w:hAnsi="宋体"/>
          <w:b/>
          <w:szCs w:val="21"/>
          <w:highlight w:val="none"/>
        </w:rPr>
        <w:t>【政府采购合同专用条款】</w:t>
      </w:r>
      <w:r>
        <w:rPr>
          <w:rFonts w:hint="eastAsia" w:ascii="宋体" w:hAnsi="宋体"/>
          <w:szCs w:val="21"/>
          <w:highlight w:val="none"/>
        </w:rPr>
        <w:t>规定由乙方提供的其他服务。</w:t>
      </w:r>
    </w:p>
    <w:p w14:paraId="767A3E4E">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14.2 乙方提供的售后服务的费用已包含在合同价款中，甲方不再另行支付。</w:t>
      </w:r>
    </w:p>
    <w:p w14:paraId="1FF18FF5">
      <w:pPr>
        <w:adjustRightInd w:val="0"/>
        <w:snapToGrid w:val="0"/>
        <w:spacing w:line="400" w:lineRule="exact"/>
        <w:jc w:val="left"/>
        <w:rPr>
          <w:rFonts w:ascii="宋体" w:hAnsi="宋体"/>
          <w:b/>
          <w:bCs/>
          <w:szCs w:val="21"/>
          <w:highlight w:val="none"/>
        </w:rPr>
      </w:pPr>
      <w:r>
        <w:rPr>
          <w:rFonts w:hint="eastAsia" w:ascii="宋体" w:hAnsi="宋体"/>
          <w:b/>
          <w:bCs/>
          <w:szCs w:val="21"/>
          <w:highlight w:val="none"/>
        </w:rPr>
        <w:t>15. 违约责任</w:t>
      </w:r>
    </w:p>
    <w:p w14:paraId="77811369">
      <w:pPr>
        <w:adjustRightInd w:val="0"/>
        <w:snapToGrid w:val="0"/>
        <w:spacing w:line="400" w:lineRule="exact"/>
        <w:ind w:firstLine="420" w:firstLineChars="200"/>
        <w:jc w:val="left"/>
        <w:rPr>
          <w:rFonts w:ascii="宋体" w:hAnsi="宋体"/>
          <w:bCs/>
          <w:szCs w:val="21"/>
          <w:highlight w:val="none"/>
        </w:rPr>
      </w:pPr>
      <w:r>
        <w:rPr>
          <w:rFonts w:hint="eastAsia" w:ascii="宋体" w:hAnsi="宋体"/>
          <w:bCs/>
          <w:szCs w:val="21"/>
          <w:highlight w:val="none"/>
        </w:rPr>
        <w:t>15.1质量瑕疵的违约责任</w:t>
      </w:r>
    </w:p>
    <w:p w14:paraId="59960886">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乙方提供的产品不符合合同约定的质量标准或存在产品质量缺陷，甲方有权要求乙方根据</w:t>
      </w:r>
      <w:r>
        <w:rPr>
          <w:rFonts w:hint="eastAsia" w:ascii="宋体" w:hAnsi="宋体"/>
          <w:b/>
          <w:szCs w:val="21"/>
          <w:highlight w:val="none"/>
        </w:rPr>
        <w:t>【政府采购合同专用条款】</w:t>
      </w:r>
      <w:r>
        <w:rPr>
          <w:rFonts w:hint="eastAsia" w:ascii="宋体" w:hAnsi="宋体"/>
          <w:bCs/>
          <w:szCs w:val="21"/>
          <w:highlight w:val="none"/>
        </w:rPr>
        <w:t>要求</w:t>
      </w:r>
      <w:r>
        <w:rPr>
          <w:rFonts w:hint="eastAsia" w:ascii="宋体" w:hAnsi="宋体"/>
          <w:szCs w:val="21"/>
          <w:highlight w:val="none"/>
        </w:rPr>
        <w:t>及时修理、重作、更换，并承担由此给甲方造成的损失。</w:t>
      </w:r>
    </w:p>
    <w:p w14:paraId="66F9109C">
      <w:pPr>
        <w:autoSpaceDE w:val="0"/>
        <w:autoSpaceDN w:val="0"/>
        <w:adjustRightInd w:val="0"/>
        <w:snapToGrid w:val="0"/>
        <w:spacing w:line="400" w:lineRule="exact"/>
        <w:ind w:firstLine="420" w:firstLineChars="200"/>
        <w:jc w:val="left"/>
        <w:rPr>
          <w:rFonts w:ascii="宋体" w:hAnsi="宋体"/>
          <w:bCs/>
          <w:szCs w:val="21"/>
          <w:highlight w:val="none"/>
        </w:rPr>
      </w:pPr>
      <w:r>
        <w:rPr>
          <w:rFonts w:hint="eastAsia" w:ascii="宋体" w:hAnsi="宋体"/>
          <w:bCs/>
          <w:szCs w:val="21"/>
          <w:highlight w:val="none"/>
        </w:rPr>
        <w:t>15.2 迟延交货的违约责任</w:t>
      </w:r>
    </w:p>
    <w:p w14:paraId="03960A7F">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267E890E">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（2）如果乙方没有按照合同规定的时间交货和提供相关服务，甲方有权从货款中扣除误期赔偿费而不影响合同项下的其他补救方法，赔偿费按</w:t>
      </w:r>
      <w:r>
        <w:rPr>
          <w:rFonts w:hint="eastAsia" w:ascii="宋体" w:hAnsi="宋体"/>
          <w:b/>
          <w:szCs w:val="21"/>
          <w:highlight w:val="none"/>
        </w:rPr>
        <w:t>【政府采购合同专用条款】</w:t>
      </w:r>
      <w:r>
        <w:rPr>
          <w:rFonts w:hint="eastAsia" w:ascii="宋体" w:hAnsi="宋体"/>
          <w:szCs w:val="21"/>
          <w:highlight w:val="none"/>
        </w:rPr>
        <w:t>规定执行。如果涉及公共利益，且赔偿金额无法弥补公共利益损失，甲方可要求继续履行或者采取其他补救措施。</w:t>
      </w:r>
    </w:p>
    <w:p w14:paraId="50F61967">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15.3 迟延支付的违约责任</w:t>
      </w:r>
    </w:p>
    <w:p w14:paraId="5194C6F2">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甲方存在迟延支付乙方合同款项的，应当承担</w:t>
      </w:r>
      <w:r>
        <w:rPr>
          <w:rFonts w:hint="eastAsia" w:ascii="宋体" w:hAnsi="宋体"/>
          <w:b/>
          <w:bCs/>
          <w:szCs w:val="21"/>
          <w:highlight w:val="none"/>
        </w:rPr>
        <w:t>【政府采购合同专用条款】</w:t>
      </w:r>
      <w:r>
        <w:rPr>
          <w:rFonts w:hint="eastAsia" w:ascii="宋体" w:hAnsi="宋体"/>
          <w:szCs w:val="21"/>
          <w:highlight w:val="none"/>
        </w:rPr>
        <w:t>规定的逾期付款利息。</w:t>
      </w:r>
    </w:p>
    <w:p w14:paraId="6C0D62FA">
      <w:pPr>
        <w:adjustRightInd w:val="0"/>
        <w:snapToGrid w:val="0"/>
        <w:spacing w:line="400" w:lineRule="exact"/>
        <w:ind w:firstLine="420" w:firstLineChars="200"/>
        <w:jc w:val="left"/>
        <w:rPr>
          <w:rFonts w:ascii="宋体" w:hAnsi="宋体"/>
          <w:szCs w:val="21"/>
          <w:highlight w:val="none"/>
        </w:rPr>
      </w:pPr>
      <w:r>
        <w:rPr>
          <w:rFonts w:hint="eastAsia" w:ascii="宋体" w:hAnsi="宋体"/>
          <w:bCs/>
          <w:szCs w:val="21"/>
          <w:highlight w:val="none"/>
        </w:rPr>
        <w:t>15.4其他违约责任根据项目实际需要按</w:t>
      </w:r>
      <w:r>
        <w:rPr>
          <w:rFonts w:hint="eastAsia" w:ascii="宋体" w:hAnsi="宋体"/>
          <w:b/>
          <w:bCs/>
          <w:szCs w:val="21"/>
          <w:highlight w:val="none"/>
        </w:rPr>
        <w:t>【政府采购合同专用条款】</w:t>
      </w:r>
      <w:r>
        <w:rPr>
          <w:rFonts w:hint="eastAsia" w:ascii="宋体" w:hAnsi="宋体"/>
          <w:szCs w:val="21"/>
          <w:highlight w:val="none"/>
        </w:rPr>
        <w:t>规定执行。</w:t>
      </w:r>
    </w:p>
    <w:p w14:paraId="735989F5">
      <w:pPr>
        <w:numPr>
          <w:ilvl w:val="0"/>
          <w:numId w:val="172"/>
        </w:numPr>
        <w:autoSpaceDE w:val="0"/>
        <w:autoSpaceDN w:val="0"/>
        <w:adjustRightInd w:val="0"/>
        <w:snapToGrid w:val="0"/>
        <w:spacing w:line="400" w:lineRule="exact"/>
        <w:jc w:val="left"/>
        <w:rPr>
          <w:rFonts w:ascii="宋体" w:hAnsi="宋体"/>
          <w:b/>
          <w:szCs w:val="21"/>
          <w:highlight w:val="none"/>
        </w:rPr>
      </w:pPr>
      <w:r>
        <w:rPr>
          <w:rFonts w:hint="eastAsia" w:ascii="宋体" w:hAnsi="宋体"/>
          <w:b/>
          <w:szCs w:val="21"/>
          <w:highlight w:val="none"/>
        </w:rPr>
        <w:t>合同变更、中止与终止</w:t>
      </w:r>
    </w:p>
    <w:p w14:paraId="5643B4D7">
      <w:pPr>
        <w:adjustRightInd w:val="0"/>
        <w:snapToGrid w:val="0"/>
        <w:spacing w:line="400" w:lineRule="exact"/>
        <w:jc w:val="left"/>
        <w:rPr>
          <w:rFonts w:ascii="宋体" w:hAnsi="宋体"/>
          <w:szCs w:val="21"/>
          <w:highlight w:val="none"/>
        </w:rPr>
      </w:pPr>
      <w:r>
        <w:rPr>
          <w:rFonts w:hint="eastAsia" w:ascii="宋体" w:hAnsi="宋体"/>
          <w:szCs w:val="21"/>
          <w:highlight w:val="none"/>
        </w:rPr>
        <w:t xml:space="preserve">    16.1合同的变更</w:t>
      </w:r>
    </w:p>
    <w:p w14:paraId="78014025">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政府采购合同履行中，在不改变合同其他条款的前提下，甲方可以在合同价款10%的范围内追加与合同标的相同的货物，并就此与乙方协商一致后签订补充协议。</w:t>
      </w:r>
    </w:p>
    <w:p w14:paraId="24BF6516">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16.2合同的中止</w:t>
      </w:r>
    </w:p>
    <w:p w14:paraId="4FF40F04">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（1）合同履行过程中因供应商就采购文件、采购过程或结果提起投诉的，甲方认为有必要的，可以中止合同的履行。</w:t>
      </w:r>
    </w:p>
    <w:p w14:paraId="3AD2C5D0">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7027F972">
      <w:pPr>
        <w:pStyle w:val="64"/>
        <w:ind w:firstLine="420"/>
        <w:jc w:val="both"/>
        <w:rPr>
          <w:sz w:val="21"/>
          <w:highlight w:val="none"/>
        </w:rPr>
      </w:pPr>
      <w:r>
        <w:rPr>
          <w:rFonts w:hint="eastAsia" w:ascii="宋体" w:hAnsi="宋体" w:eastAsia="宋体" w:cs="宋体"/>
          <w:sz w:val="21"/>
          <w:highlight w:val="none"/>
        </w:rPr>
        <w:t>（3）乙方分立、合并或者变更住所的，应当及时以书面形式告知甲方。乙方没有及时告知甲方，致使合同履行发生困难的，甲方可以中止合同履行并要求乙方承担由此给甲方造成的损失。</w:t>
      </w:r>
    </w:p>
    <w:p w14:paraId="52F8A299">
      <w:pPr>
        <w:snapToGrid w:val="0"/>
        <w:spacing w:line="400" w:lineRule="exact"/>
        <w:ind w:firstLine="420" w:firstLineChars="200"/>
        <w:jc w:val="left"/>
        <w:rPr>
          <w:szCs w:val="21"/>
          <w:highlight w:val="none"/>
        </w:rPr>
      </w:pPr>
      <w:r>
        <w:rPr>
          <w:rFonts w:hint="eastAsia" w:ascii="宋体" w:hAnsi="宋体"/>
          <w:szCs w:val="21"/>
          <w:highlight w:val="none"/>
        </w:rPr>
        <w:t>（4）甲方不得以行政区划调整、政府换届、机构或者职能调整以及相关责任人更替为由中止合同。</w:t>
      </w:r>
    </w:p>
    <w:p w14:paraId="4179FBE4">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16.3合同的终止</w:t>
      </w:r>
    </w:p>
    <w:p w14:paraId="2A356745">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（1）合同因有效期限届满而终止；</w:t>
      </w:r>
    </w:p>
    <w:p w14:paraId="14050EF8">
      <w:pPr>
        <w:snapToGrid w:val="0"/>
        <w:spacing w:line="400" w:lineRule="exact"/>
        <w:ind w:firstLine="420" w:firstLineChars="200"/>
        <w:rPr>
          <w:rFonts w:ascii="宋体" w:hAnsi="宋体" w:cs="宋体"/>
          <w:szCs w:val="21"/>
          <w:highlight w:val="none"/>
        </w:rPr>
      </w:pPr>
      <w:r>
        <w:rPr>
          <w:rFonts w:hint="eastAsia" w:ascii="宋体" w:hAnsi="宋体"/>
          <w:szCs w:val="21"/>
          <w:highlight w:val="none"/>
        </w:rPr>
        <w:t>（2）乙方未按合同约定履行，构成根本性违约的，甲方有权终止合同，</w:t>
      </w:r>
      <w:r>
        <w:rPr>
          <w:rFonts w:hint="eastAsia" w:ascii="宋体" w:hAnsi="宋体" w:cs="宋体"/>
          <w:szCs w:val="21"/>
          <w:highlight w:val="none"/>
        </w:rPr>
        <w:t>并追究乙方的违约责任</w:t>
      </w:r>
      <w:r>
        <w:rPr>
          <w:rFonts w:hint="eastAsia" w:ascii="宋体" w:hAnsi="宋体"/>
          <w:szCs w:val="21"/>
          <w:highlight w:val="none"/>
        </w:rPr>
        <w:t>。</w:t>
      </w:r>
    </w:p>
    <w:p w14:paraId="3567AD82">
      <w:pPr>
        <w:pStyle w:val="64"/>
        <w:ind w:firstLine="420"/>
        <w:rPr>
          <w:rFonts w:ascii="宋体" w:hAnsi="宋体"/>
          <w:sz w:val="21"/>
          <w:highlight w:val="none"/>
        </w:rPr>
      </w:pPr>
      <w:r>
        <w:rPr>
          <w:rFonts w:hint="eastAsia" w:ascii="宋体" w:hAnsi="宋体"/>
          <w:sz w:val="21"/>
          <w:highlight w:val="none"/>
        </w:rPr>
        <w:t xml:space="preserve">16.4 </w:t>
      </w:r>
      <w:r>
        <w:rPr>
          <w:rFonts w:hint="eastAsia" w:ascii="宋体" w:hAnsi="宋体" w:eastAsia="宋体" w:cs="Times New Roman"/>
          <w:kern w:val="2"/>
          <w:sz w:val="21"/>
          <w:highlight w:val="none"/>
        </w:rPr>
        <w:t>涉及国家利益、社会公共利益的情形</w:t>
      </w:r>
    </w:p>
    <w:p w14:paraId="37E35A42">
      <w:pPr>
        <w:pStyle w:val="64"/>
        <w:ind w:firstLine="420"/>
        <w:jc w:val="both"/>
        <w:rPr>
          <w:sz w:val="21"/>
          <w:highlight w:val="none"/>
        </w:rPr>
      </w:pPr>
      <w:r>
        <w:rPr>
          <w:rFonts w:hint="eastAsia" w:ascii="宋体" w:hAnsi="宋体" w:eastAsia="宋体" w:cs="宋体"/>
          <w:sz w:val="21"/>
          <w:highlight w:val="none"/>
        </w:rPr>
        <w:t>政府采购合同继续履行将损害国家利益和社会公共利益的，双方当事人应当变更、中止或者终止合同。有过错的一方应当承担赔偿责任，双方都有过错的，各自承担相应的责任。</w:t>
      </w:r>
    </w:p>
    <w:p w14:paraId="3D9F73B3">
      <w:pPr>
        <w:autoSpaceDE w:val="0"/>
        <w:autoSpaceDN w:val="0"/>
        <w:adjustRightInd w:val="0"/>
        <w:snapToGrid w:val="0"/>
        <w:spacing w:line="400" w:lineRule="exact"/>
        <w:jc w:val="left"/>
        <w:rPr>
          <w:rFonts w:ascii="宋体" w:hAnsi="宋体"/>
          <w:b/>
          <w:bCs/>
          <w:szCs w:val="21"/>
          <w:highlight w:val="none"/>
        </w:rPr>
      </w:pPr>
      <w:r>
        <w:rPr>
          <w:rFonts w:hint="eastAsia" w:ascii="宋体" w:hAnsi="宋体"/>
          <w:b/>
          <w:bCs/>
          <w:szCs w:val="21"/>
          <w:highlight w:val="none"/>
        </w:rPr>
        <w:t>17. 合同分包</w:t>
      </w:r>
    </w:p>
    <w:p w14:paraId="3B104ADE">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17.1 乙方不得将合同转包给其他供应商。涉及合同分包的，乙方应根据采购文件和投标（响应）文件规定进行合同分包。</w:t>
      </w:r>
    </w:p>
    <w:p w14:paraId="6FC6A3EB">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17.2 乙方执行政府采购政策向中小企业依法分包的，乙方应当按采购文件和投标（响应）文件签订分包意向协议，分包意向协议属于本合同组成部分。</w:t>
      </w:r>
    </w:p>
    <w:p w14:paraId="49B40D52">
      <w:pPr>
        <w:autoSpaceDE w:val="0"/>
        <w:autoSpaceDN w:val="0"/>
        <w:adjustRightInd w:val="0"/>
        <w:snapToGrid w:val="0"/>
        <w:spacing w:line="400" w:lineRule="exact"/>
        <w:jc w:val="left"/>
        <w:rPr>
          <w:rFonts w:ascii="宋体" w:hAnsi="宋体"/>
          <w:b/>
          <w:bCs/>
          <w:szCs w:val="21"/>
          <w:highlight w:val="none"/>
        </w:rPr>
      </w:pPr>
      <w:r>
        <w:rPr>
          <w:rFonts w:hint="eastAsia" w:ascii="宋体" w:hAnsi="宋体"/>
          <w:b/>
          <w:bCs/>
          <w:szCs w:val="21"/>
          <w:highlight w:val="none"/>
        </w:rPr>
        <w:t>18. 不可抗力</w:t>
      </w:r>
    </w:p>
    <w:p w14:paraId="0FD37C21">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18.1 不可抗力是指合同双方不能预见、不能避免且不能克服的客观情况。</w:t>
      </w:r>
    </w:p>
    <w:p w14:paraId="7E48828B">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18.2 任何一方对由于不可抗力造成的部分或全部不能履行合同不承担违约责任。但迟延履行后发生不可抗力的，不能免除责任。</w:t>
      </w:r>
    </w:p>
    <w:p w14:paraId="27646811">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6D26CB94">
      <w:pPr>
        <w:autoSpaceDE w:val="0"/>
        <w:autoSpaceDN w:val="0"/>
        <w:adjustRightInd w:val="0"/>
        <w:snapToGrid w:val="0"/>
        <w:spacing w:line="400" w:lineRule="exact"/>
        <w:jc w:val="left"/>
        <w:rPr>
          <w:rFonts w:ascii="宋体" w:hAnsi="宋体"/>
          <w:b/>
          <w:bCs/>
          <w:szCs w:val="21"/>
          <w:highlight w:val="none"/>
        </w:rPr>
      </w:pPr>
      <w:r>
        <w:rPr>
          <w:rFonts w:hint="eastAsia" w:ascii="宋体" w:hAnsi="宋体"/>
          <w:b/>
          <w:bCs/>
          <w:szCs w:val="21"/>
          <w:highlight w:val="none"/>
        </w:rPr>
        <w:t>19. 解决争议的方法</w:t>
      </w:r>
    </w:p>
    <w:p w14:paraId="4D3B29E0">
      <w:pPr>
        <w:pStyle w:val="64"/>
        <w:ind w:firstLine="420"/>
        <w:jc w:val="both"/>
        <w:rPr>
          <w:rFonts w:ascii="宋体" w:hAnsi="宋体" w:eastAsia="宋体" w:cs="宋体"/>
          <w:sz w:val="21"/>
          <w:highlight w:val="none"/>
        </w:rPr>
      </w:pPr>
      <w:r>
        <w:rPr>
          <w:rFonts w:hint="eastAsia" w:ascii="宋体" w:hAnsi="宋体" w:eastAsia="宋体" w:cs="宋体"/>
          <w:sz w:val="21"/>
          <w:highlight w:val="none"/>
        </w:rPr>
        <w:t>19.1 因本合同及合同有关事项发生的争议，由甲乙双方友好协商解决。协商不成时，可以向有关组织申请调解。合同一方或双方不愿调解或调解不成的，可以通过仲裁或诉讼的方式解决争议。</w:t>
      </w:r>
    </w:p>
    <w:p w14:paraId="494B1C42">
      <w:pPr>
        <w:pStyle w:val="64"/>
        <w:ind w:firstLine="420"/>
        <w:jc w:val="both"/>
        <w:rPr>
          <w:rFonts w:ascii="宋体" w:hAnsi="宋体" w:eastAsia="宋体" w:cs="宋体"/>
          <w:sz w:val="21"/>
          <w:highlight w:val="none"/>
        </w:rPr>
      </w:pPr>
      <w:r>
        <w:rPr>
          <w:rFonts w:hint="eastAsia" w:ascii="宋体" w:hAnsi="宋体" w:eastAsia="宋体" w:cs="宋体"/>
          <w:sz w:val="21"/>
          <w:highlight w:val="none"/>
        </w:rPr>
        <w:t>19.2 选择仲裁的，应在</w:t>
      </w:r>
      <w:r>
        <w:rPr>
          <w:rFonts w:hint="eastAsia" w:ascii="宋体" w:hAnsi="宋体" w:eastAsia="宋体" w:cs="宋体"/>
          <w:b/>
          <w:bCs/>
          <w:sz w:val="21"/>
          <w:highlight w:val="none"/>
        </w:rPr>
        <w:t>【政府采购合同专用条款】</w:t>
      </w:r>
      <w:r>
        <w:rPr>
          <w:rFonts w:hint="eastAsia" w:ascii="宋体" w:hAnsi="宋体" w:eastAsia="宋体" w:cs="宋体"/>
          <w:sz w:val="21"/>
          <w:highlight w:val="none"/>
        </w:rPr>
        <w:t>中明确仲裁机构及仲裁地；通过诉讼方式解决的，可以在</w:t>
      </w:r>
      <w:r>
        <w:rPr>
          <w:rFonts w:hint="eastAsia" w:ascii="宋体" w:hAnsi="宋体" w:eastAsia="宋体" w:cs="宋体"/>
          <w:b/>
          <w:bCs/>
          <w:sz w:val="21"/>
          <w:highlight w:val="none"/>
        </w:rPr>
        <w:t>【政府采购合同专用条款】</w:t>
      </w:r>
      <w:r>
        <w:rPr>
          <w:rFonts w:hint="eastAsia" w:ascii="宋体" w:hAnsi="宋体" w:eastAsia="宋体" w:cs="宋体"/>
          <w:sz w:val="21"/>
          <w:highlight w:val="none"/>
        </w:rPr>
        <w:t>中进一步约定选择与争议有实际联系的地点的人民法院管辖，但管辖法院的约定不得违反级别管辖和专属管辖的规定。</w:t>
      </w:r>
    </w:p>
    <w:p w14:paraId="676F9ADA">
      <w:pPr>
        <w:pStyle w:val="64"/>
        <w:ind w:firstLine="420"/>
        <w:jc w:val="both"/>
        <w:rPr>
          <w:rFonts w:ascii="宋体" w:hAnsi="宋体" w:eastAsia="宋体" w:cs="宋体"/>
          <w:sz w:val="21"/>
          <w:highlight w:val="none"/>
        </w:rPr>
      </w:pPr>
      <w:r>
        <w:rPr>
          <w:rFonts w:hint="eastAsia" w:ascii="宋体" w:hAnsi="宋体" w:eastAsia="宋体" w:cs="宋体"/>
          <w:sz w:val="21"/>
          <w:highlight w:val="none"/>
        </w:rPr>
        <w:t>19.3 如甲乙双方有争议的事项不影响合同其他部分的履行，在争议解决期间，合同其他部分应当继续履行。</w:t>
      </w:r>
    </w:p>
    <w:p w14:paraId="0A65610B">
      <w:pPr>
        <w:autoSpaceDE w:val="0"/>
        <w:autoSpaceDN w:val="0"/>
        <w:adjustRightInd w:val="0"/>
        <w:snapToGrid w:val="0"/>
        <w:spacing w:line="400" w:lineRule="exact"/>
        <w:jc w:val="left"/>
        <w:rPr>
          <w:rFonts w:ascii="宋体" w:hAnsi="宋体"/>
          <w:szCs w:val="21"/>
          <w:highlight w:val="none"/>
        </w:rPr>
      </w:pPr>
      <w:r>
        <w:rPr>
          <w:rFonts w:hint="eastAsia" w:ascii="宋体" w:hAnsi="宋体"/>
          <w:b/>
          <w:szCs w:val="21"/>
          <w:highlight w:val="none"/>
        </w:rPr>
        <w:t>20. 政府采购政策</w:t>
      </w:r>
    </w:p>
    <w:p w14:paraId="2DB74D22">
      <w:pPr>
        <w:autoSpaceDE w:val="0"/>
        <w:autoSpaceDN w:val="0"/>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 xml:space="preserve">20.1 </w:t>
      </w:r>
      <w:r>
        <w:rPr>
          <w:rFonts w:hint="eastAsia" w:ascii="宋体" w:hAnsi="宋体" w:cs="宋体"/>
          <w:szCs w:val="21"/>
          <w:highlight w:val="none"/>
          <w:lang w:val="en-GB"/>
        </w:rPr>
        <w:t>本合同应当按照规定执行政府采购政策。</w:t>
      </w:r>
    </w:p>
    <w:p w14:paraId="220CDB08">
      <w:pPr>
        <w:autoSpaceDE w:val="0"/>
        <w:autoSpaceDN w:val="0"/>
        <w:adjustRightInd w:val="0"/>
        <w:snapToGrid w:val="0"/>
        <w:spacing w:line="400" w:lineRule="exact"/>
        <w:ind w:firstLine="420" w:firstLineChars="200"/>
        <w:jc w:val="left"/>
        <w:rPr>
          <w:rFonts w:ascii="宋体" w:hAnsi="宋体"/>
          <w:szCs w:val="21"/>
          <w:highlight w:val="none"/>
        </w:rPr>
      </w:pPr>
      <w:r>
        <w:rPr>
          <w:rFonts w:ascii="宋体" w:hAnsi="宋体"/>
          <w:szCs w:val="21"/>
          <w:highlight w:val="none"/>
        </w:rPr>
        <w:t>2</w:t>
      </w:r>
      <w:r>
        <w:rPr>
          <w:rFonts w:hint="eastAsia" w:ascii="宋体" w:hAnsi="宋体"/>
          <w:szCs w:val="21"/>
          <w:highlight w:val="none"/>
        </w:rPr>
        <w:t>0.2 本合同依法执行政府采购政策的方式和内容，属于合同履约验收的范围。</w:t>
      </w:r>
      <w:r>
        <w:rPr>
          <w:rFonts w:hint="eastAsia" w:ascii="宋体" w:hAnsi="宋体" w:cs="宋体"/>
          <w:szCs w:val="21"/>
          <w:highlight w:val="none"/>
        </w:rPr>
        <w:t>甲乙双方</w:t>
      </w:r>
      <w:r>
        <w:rPr>
          <w:rFonts w:hint="eastAsia" w:ascii="宋体" w:hAnsi="宋体" w:cs="宋体"/>
          <w:szCs w:val="21"/>
          <w:highlight w:val="none"/>
          <w:lang w:val="en-GB"/>
        </w:rPr>
        <w:t>未按规定要求执行政府采购政策造成损失的</w:t>
      </w:r>
      <w:r>
        <w:rPr>
          <w:rFonts w:hint="eastAsia" w:ascii="宋体" w:hAnsi="宋体"/>
          <w:szCs w:val="21"/>
          <w:highlight w:val="none"/>
        </w:rPr>
        <w:t>，有过错的一方应当承担赔偿责任，双方都有过错的，各自承担相应的责任。</w:t>
      </w:r>
    </w:p>
    <w:p w14:paraId="12BB102F">
      <w:pPr>
        <w:pStyle w:val="4"/>
        <w:spacing w:after="0" w:line="400" w:lineRule="exact"/>
        <w:ind w:firstLine="420" w:firstLineChars="200"/>
        <w:rPr>
          <w:szCs w:val="21"/>
          <w:highlight w:val="none"/>
        </w:rPr>
      </w:pPr>
      <w:r>
        <w:rPr>
          <w:rFonts w:ascii="宋体" w:hAnsi="宋体"/>
          <w:szCs w:val="21"/>
          <w:highlight w:val="none"/>
        </w:rPr>
        <w:t>2</w:t>
      </w:r>
      <w:r>
        <w:rPr>
          <w:rFonts w:hint="eastAsia" w:ascii="宋体" w:hAnsi="宋体"/>
          <w:szCs w:val="21"/>
          <w:highlight w:val="none"/>
        </w:rPr>
        <w:t>0.3 对于为落实中小企业支持政策，通过采购项目整体预留、设置采购包专门预留、要求以联合体形式参加或者合同分包等措施签订的采购合同，应当明确标注本合同为中小企业预留合同。其中，要求以联合体形式参加采购活动或者合同分包的，须将联合协议或者分包意向协议作为采购合同的组成部分。</w:t>
      </w:r>
    </w:p>
    <w:p w14:paraId="7BE7A9DF">
      <w:pPr>
        <w:autoSpaceDE w:val="0"/>
        <w:autoSpaceDN w:val="0"/>
        <w:adjustRightInd w:val="0"/>
        <w:snapToGrid w:val="0"/>
        <w:spacing w:line="400" w:lineRule="exact"/>
        <w:jc w:val="left"/>
        <w:rPr>
          <w:rFonts w:ascii="宋体" w:hAnsi="宋体"/>
          <w:b/>
          <w:szCs w:val="21"/>
          <w:highlight w:val="none"/>
        </w:rPr>
      </w:pPr>
      <w:r>
        <w:rPr>
          <w:rFonts w:hint="eastAsia" w:ascii="宋体" w:hAnsi="宋体"/>
          <w:b/>
          <w:szCs w:val="21"/>
          <w:highlight w:val="none"/>
        </w:rPr>
        <w:t>21. 法律适用</w:t>
      </w:r>
    </w:p>
    <w:p w14:paraId="077D8A36">
      <w:pPr>
        <w:pStyle w:val="64"/>
        <w:ind w:firstLine="420"/>
        <w:jc w:val="both"/>
        <w:rPr>
          <w:rFonts w:ascii="宋体" w:hAnsi="宋体" w:eastAsia="宋体" w:cs="宋体"/>
          <w:sz w:val="21"/>
          <w:highlight w:val="none"/>
        </w:rPr>
      </w:pPr>
      <w:r>
        <w:rPr>
          <w:rFonts w:hint="eastAsia" w:ascii="宋体" w:hAnsi="宋体" w:eastAsia="宋体" w:cs="宋体"/>
          <w:sz w:val="21"/>
          <w:highlight w:val="none"/>
        </w:rPr>
        <w:t>21.1 本合同的订立、生效、解释、履行及与本合同有关的争议解决，均适用法律、行政法规。</w:t>
      </w:r>
    </w:p>
    <w:p w14:paraId="645B73AE">
      <w:pPr>
        <w:pStyle w:val="64"/>
        <w:ind w:firstLine="420"/>
        <w:jc w:val="both"/>
        <w:rPr>
          <w:rFonts w:ascii="宋体" w:hAnsi="宋体" w:eastAsia="宋体" w:cs="宋体"/>
          <w:sz w:val="21"/>
          <w:highlight w:val="none"/>
        </w:rPr>
      </w:pPr>
      <w:r>
        <w:rPr>
          <w:rFonts w:hint="eastAsia" w:ascii="宋体" w:hAnsi="宋体" w:eastAsia="宋体" w:cs="宋体"/>
          <w:sz w:val="21"/>
          <w:highlight w:val="none"/>
        </w:rPr>
        <w:t>21.2 本合同条款与法律、行政法规的强制性规定不一致的，双方当事人应按照法律、行政法规的强制性规定修改本合同的相关条款。</w:t>
      </w:r>
    </w:p>
    <w:p w14:paraId="2ED66896">
      <w:pPr>
        <w:autoSpaceDE w:val="0"/>
        <w:autoSpaceDN w:val="0"/>
        <w:adjustRightInd w:val="0"/>
        <w:snapToGrid w:val="0"/>
        <w:spacing w:line="400" w:lineRule="exact"/>
        <w:jc w:val="left"/>
        <w:rPr>
          <w:rFonts w:ascii="宋体" w:hAnsi="宋体"/>
          <w:b/>
          <w:szCs w:val="21"/>
          <w:highlight w:val="none"/>
        </w:rPr>
      </w:pPr>
      <w:r>
        <w:rPr>
          <w:rFonts w:hint="eastAsia" w:ascii="宋体" w:hAnsi="宋体"/>
          <w:b/>
          <w:szCs w:val="21"/>
          <w:highlight w:val="none"/>
        </w:rPr>
        <w:t>22. 通知</w:t>
      </w:r>
    </w:p>
    <w:p w14:paraId="1AADF466">
      <w:pPr>
        <w:pStyle w:val="64"/>
        <w:ind w:firstLine="420"/>
        <w:jc w:val="both"/>
        <w:rPr>
          <w:rFonts w:ascii="宋体" w:hAnsi="宋体" w:eastAsia="宋体" w:cs="宋体"/>
          <w:sz w:val="21"/>
          <w:highlight w:val="none"/>
        </w:rPr>
      </w:pPr>
      <w:r>
        <w:rPr>
          <w:rFonts w:hint="eastAsia" w:ascii="宋体" w:hAnsi="宋体" w:eastAsia="宋体" w:cs="宋体"/>
          <w:sz w:val="21"/>
          <w:highlight w:val="none"/>
        </w:rPr>
        <w:t>22.1 本合同任何一方向对方发出的通知、信件、数据电文等，应当发送至本合同第一部分《政府采购合同协议书》所约定的通讯地址、联系人、联系电话或电子邮箱。</w:t>
      </w:r>
    </w:p>
    <w:p w14:paraId="501B2162">
      <w:pPr>
        <w:pStyle w:val="64"/>
        <w:ind w:firstLine="0" w:firstLineChars="0"/>
        <w:jc w:val="both"/>
        <w:rPr>
          <w:sz w:val="21"/>
          <w:highlight w:val="none"/>
        </w:rPr>
      </w:pPr>
      <w:r>
        <w:rPr>
          <w:rFonts w:hint="eastAsia" w:ascii="宋体" w:hAnsi="宋体" w:eastAsia="宋体" w:cs="宋体"/>
          <w:sz w:val="21"/>
          <w:highlight w:val="none"/>
        </w:rPr>
        <w:t xml:space="preserve">    22.2 一方当事人变更名称、住所、联系人、联系电话或电子邮箱等信息的，应当在变更后3日内及时书面通知对方，对方实际收到变更通知前的送达仍为有效送达。</w:t>
      </w:r>
    </w:p>
    <w:p w14:paraId="07478BAE">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22.3本合同一方给另一方的通知均应采用书面形式，传真或快递送到本合同中规定的对方的地址和办理签收手续。</w:t>
      </w:r>
    </w:p>
    <w:p w14:paraId="662012EC">
      <w:pPr>
        <w:adjustRightInd w:val="0"/>
        <w:snapToGrid w:val="0"/>
        <w:spacing w:line="400" w:lineRule="exact"/>
        <w:ind w:firstLine="420" w:firstLineChars="200"/>
        <w:jc w:val="left"/>
        <w:rPr>
          <w:rFonts w:ascii="宋体" w:hAnsi="宋体"/>
          <w:szCs w:val="21"/>
          <w:highlight w:val="none"/>
        </w:rPr>
      </w:pPr>
      <w:r>
        <w:rPr>
          <w:rFonts w:hint="eastAsia" w:ascii="宋体" w:hAnsi="宋体"/>
          <w:szCs w:val="21"/>
          <w:highlight w:val="none"/>
        </w:rPr>
        <w:t>22.4通知以送达之日或通知书中规定的生效之日起生效，两者中以较迟之日为准。</w:t>
      </w:r>
    </w:p>
    <w:p w14:paraId="369D3E7C">
      <w:pPr>
        <w:numPr>
          <w:ilvl w:val="0"/>
          <w:numId w:val="173"/>
        </w:numPr>
        <w:adjustRightInd w:val="0"/>
        <w:snapToGrid w:val="0"/>
        <w:spacing w:line="400" w:lineRule="exact"/>
        <w:jc w:val="left"/>
        <w:rPr>
          <w:rFonts w:ascii="宋体" w:hAnsi="宋体"/>
          <w:b/>
          <w:bCs/>
          <w:szCs w:val="21"/>
          <w:highlight w:val="none"/>
        </w:rPr>
      </w:pPr>
      <w:r>
        <w:rPr>
          <w:rFonts w:hint="eastAsia" w:ascii="宋体" w:hAnsi="宋体"/>
          <w:b/>
          <w:bCs/>
          <w:szCs w:val="21"/>
          <w:highlight w:val="none"/>
        </w:rPr>
        <w:t>合同未尽事项</w:t>
      </w:r>
    </w:p>
    <w:p w14:paraId="402527A8">
      <w:pPr>
        <w:adjustRightInd w:val="0"/>
        <w:snapToGrid w:val="0"/>
        <w:spacing w:line="400" w:lineRule="exact"/>
        <w:ind w:firstLine="420" w:firstLineChars="200"/>
        <w:jc w:val="left"/>
        <w:rPr>
          <w:rFonts w:ascii="宋体" w:hAnsi="宋体"/>
          <w:bCs/>
          <w:szCs w:val="21"/>
          <w:highlight w:val="none"/>
        </w:rPr>
      </w:pPr>
      <w:r>
        <w:rPr>
          <w:rFonts w:hint="eastAsia" w:ascii="宋体" w:hAnsi="宋体"/>
          <w:bCs/>
          <w:szCs w:val="21"/>
          <w:highlight w:val="none"/>
        </w:rPr>
        <w:t>23.1合同未尽事项见</w:t>
      </w:r>
      <w:r>
        <w:rPr>
          <w:rFonts w:hint="eastAsia" w:ascii="宋体" w:hAnsi="宋体"/>
          <w:b/>
          <w:szCs w:val="21"/>
          <w:highlight w:val="none"/>
        </w:rPr>
        <w:t>【政府采购合同专用条款】</w:t>
      </w:r>
      <w:r>
        <w:rPr>
          <w:rFonts w:hint="eastAsia" w:ascii="宋体" w:hAnsi="宋体"/>
          <w:bCs/>
          <w:szCs w:val="21"/>
          <w:highlight w:val="none"/>
        </w:rPr>
        <w:t>。</w:t>
      </w:r>
    </w:p>
    <w:p w14:paraId="717547B8">
      <w:pPr>
        <w:adjustRightInd w:val="0"/>
        <w:snapToGrid w:val="0"/>
        <w:spacing w:line="400" w:lineRule="exact"/>
        <w:jc w:val="left"/>
        <w:rPr>
          <w:rFonts w:ascii="黑体" w:hAnsi="华文中宋" w:eastAsia="黑体"/>
          <w:szCs w:val="21"/>
          <w:highlight w:val="none"/>
        </w:rPr>
      </w:pPr>
      <w:r>
        <w:rPr>
          <w:rFonts w:hint="eastAsia" w:ascii="宋体" w:hAnsi="宋体"/>
          <w:bCs/>
          <w:szCs w:val="21"/>
          <w:highlight w:val="none"/>
        </w:rPr>
        <w:t xml:space="preserve">    23.2 合同附件与合同正文具有同等的法律效力。</w:t>
      </w:r>
    </w:p>
    <w:p w14:paraId="79C82D31">
      <w:pPr>
        <w:autoSpaceDE w:val="0"/>
        <w:autoSpaceDN w:val="0"/>
        <w:adjustRightInd w:val="0"/>
        <w:snapToGrid w:val="0"/>
        <w:spacing w:before="50" w:line="360" w:lineRule="auto"/>
        <w:ind w:firstLine="420" w:firstLineChars="200"/>
        <w:jc w:val="left"/>
        <w:rPr>
          <w:rFonts w:ascii="宋体" w:hAnsi="宋体"/>
          <w:szCs w:val="21"/>
          <w:highlight w:val="none"/>
        </w:rPr>
      </w:pPr>
    </w:p>
    <w:p w14:paraId="56B78383">
      <w:pPr>
        <w:pStyle w:val="64"/>
        <w:rPr>
          <w:rFonts w:ascii="宋体" w:hAnsi="宋体" w:eastAsia="宋体"/>
          <w:highlight w:val="none"/>
        </w:rPr>
      </w:pPr>
    </w:p>
    <w:p w14:paraId="6B8337BF">
      <w:pPr>
        <w:pStyle w:val="64"/>
        <w:rPr>
          <w:rFonts w:ascii="宋体" w:hAnsi="宋体" w:eastAsia="宋体"/>
          <w:highlight w:val="none"/>
        </w:rPr>
      </w:pPr>
    </w:p>
    <w:p w14:paraId="2DE9DBDE">
      <w:pPr>
        <w:pStyle w:val="64"/>
        <w:rPr>
          <w:rFonts w:ascii="宋体" w:hAnsi="宋体" w:eastAsia="宋体"/>
          <w:highlight w:val="none"/>
        </w:rPr>
      </w:pPr>
    </w:p>
    <w:p w14:paraId="4E7B2315">
      <w:pPr>
        <w:pStyle w:val="64"/>
        <w:rPr>
          <w:rFonts w:ascii="宋体" w:hAnsi="宋体" w:eastAsia="宋体"/>
          <w:highlight w:val="none"/>
        </w:rPr>
      </w:pPr>
    </w:p>
    <w:p w14:paraId="0CE6C6FF">
      <w:pPr>
        <w:pStyle w:val="64"/>
        <w:rPr>
          <w:rFonts w:ascii="宋体" w:hAnsi="宋体" w:eastAsia="宋体"/>
          <w:highlight w:val="none"/>
        </w:rPr>
      </w:pPr>
    </w:p>
    <w:p w14:paraId="121269FA">
      <w:pPr>
        <w:pStyle w:val="64"/>
        <w:rPr>
          <w:rFonts w:ascii="宋体" w:hAnsi="宋体" w:eastAsia="宋体"/>
          <w:highlight w:val="none"/>
        </w:rPr>
      </w:pPr>
    </w:p>
    <w:p w14:paraId="322D8C88">
      <w:pPr>
        <w:pStyle w:val="64"/>
        <w:rPr>
          <w:rFonts w:ascii="宋体" w:hAnsi="宋体" w:eastAsia="宋体"/>
          <w:highlight w:val="none"/>
        </w:rPr>
      </w:pPr>
    </w:p>
    <w:p w14:paraId="0EAB6CB5">
      <w:pPr>
        <w:pStyle w:val="64"/>
        <w:rPr>
          <w:rFonts w:ascii="宋体" w:hAnsi="宋体" w:eastAsia="宋体"/>
          <w:highlight w:val="none"/>
        </w:rPr>
      </w:pPr>
    </w:p>
    <w:p w14:paraId="67E6CB21">
      <w:pPr>
        <w:pStyle w:val="64"/>
        <w:rPr>
          <w:rFonts w:ascii="宋体" w:hAnsi="宋体" w:eastAsia="宋体"/>
          <w:highlight w:val="none"/>
        </w:rPr>
      </w:pPr>
    </w:p>
    <w:p w14:paraId="413B8A33">
      <w:pPr>
        <w:pStyle w:val="64"/>
        <w:rPr>
          <w:rFonts w:ascii="宋体" w:hAnsi="宋体" w:eastAsia="宋体"/>
          <w:highlight w:val="none"/>
        </w:rPr>
      </w:pPr>
    </w:p>
    <w:p w14:paraId="06C96068">
      <w:pPr>
        <w:pStyle w:val="64"/>
        <w:rPr>
          <w:rFonts w:ascii="宋体" w:hAnsi="宋体" w:eastAsia="宋体"/>
          <w:highlight w:val="none"/>
        </w:rPr>
      </w:pPr>
    </w:p>
    <w:p w14:paraId="38AC3D13">
      <w:pPr>
        <w:pStyle w:val="64"/>
        <w:rPr>
          <w:rFonts w:ascii="宋体" w:hAnsi="宋体" w:eastAsia="宋体"/>
          <w:highlight w:val="none"/>
        </w:rPr>
      </w:pPr>
    </w:p>
    <w:p w14:paraId="2F2A3BF1">
      <w:pPr>
        <w:pStyle w:val="64"/>
        <w:rPr>
          <w:rFonts w:ascii="宋体" w:hAnsi="宋体" w:eastAsia="宋体"/>
          <w:highlight w:val="none"/>
        </w:rPr>
      </w:pPr>
    </w:p>
    <w:p w14:paraId="6F2A7492">
      <w:pPr>
        <w:pStyle w:val="64"/>
        <w:rPr>
          <w:rFonts w:ascii="宋体" w:hAnsi="宋体" w:eastAsia="宋体"/>
          <w:highlight w:val="none"/>
        </w:rPr>
      </w:pPr>
    </w:p>
    <w:p w14:paraId="2640BE34">
      <w:pPr>
        <w:pStyle w:val="64"/>
        <w:rPr>
          <w:rFonts w:ascii="宋体" w:hAnsi="宋体" w:eastAsia="宋体"/>
          <w:highlight w:val="none"/>
        </w:rPr>
      </w:pPr>
    </w:p>
    <w:p w14:paraId="71ECCA68">
      <w:pPr>
        <w:pStyle w:val="64"/>
        <w:rPr>
          <w:rFonts w:ascii="宋体" w:hAnsi="宋体" w:eastAsia="宋体"/>
          <w:highlight w:val="none"/>
        </w:rPr>
      </w:pPr>
    </w:p>
    <w:p w14:paraId="19D6ACED">
      <w:pPr>
        <w:pStyle w:val="64"/>
        <w:rPr>
          <w:rFonts w:ascii="宋体" w:hAnsi="宋体" w:eastAsia="宋体"/>
          <w:highlight w:val="none"/>
        </w:rPr>
      </w:pPr>
    </w:p>
    <w:p w14:paraId="135A0DE5">
      <w:pPr>
        <w:spacing w:before="47" w:line="219" w:lineRule="auto"/>
        <w:ind w:left="3015"/>
        <w:outlineLvl w:val="1"/>
        <w:rPr>
          <w:rFonts w:ascii="宋体" w:hAnsi="宋体" w:cs="宋体"/>
          <w:sz w:val="24"/>
          <w:highlight w:val="none"/>
        </w:rPr>
      </w:pPr>
      <w:bookmarkStart w:id="58" w:name="_Toc5952"/>
      <w:r>
        <w:rPr>
          <w:rFonts w:hint="eastAsia"/>
          <w:highlight w:val="none"/>
        </w:rPr>
        <w:t>第三节 政府采购合同专用条款</w:t>
      </w:r>
      <w:bookmarkEnd w:id="58"/>
    </w:p>
    <w:p w14:paraId="4C5BC959">
      <w:pPr>
        <w:spacing w:line="152" w:lineRule="exact"/>
        <w:rPr>
          <w:highlight w:val="none"/>
        </w:rPr>
      </w:pPr>
    </w:p>
    <w:tbl>
      <w:tblPr>
        <w:tblStyle w:val="174"/>
        <w:tblW w:w="8547"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20"/>
        <w:gridCol w:w="1526"/>
        <w:gridCol w:w="5401"/>
      </w:tblGrid>
      <w:tr w14:paraId="7F7769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1" w:hRule="atLeast"/>
        </w:trPr>
        <w:tc>
          <w:tcPr>
            <w:tcW w:w="1620" w:type="dxa"/>
            <w:tcBorders>
              <w:top w:val="single" w:color="000000" w:sz="2" w:space="0"/>
              <w:left w:val="single" w:color="000000" w:sz="2" w:space="0"/>
            </w:tcBorders>
          </w:tcPr>
          <w:p w14:paraId="3379EE26">
            <w:pPr>
              <w:pStyle w:val="173"/>
              <w:spacing w:before="144" w:line="221" w:lineRule="auto"/>
              <w:ind w:left="502"/>
              <w:rPr>
                <w:sz w:val="21"/>
                <w:szCs w:val="21"/>
                <w:highlight w:val="none"/>
              </w:rPr>
            </w:pPr>
            <w:r>
              <w:rPr>
                <w:spacing w:val="-2"/>
                <w:sz w:val="21"/>
                <w:szCs w:val="21"/>
                <w:highlight w:val="none"/>
              </w:rPr>
              <w:t>第二节</w:t>
            </w:r>
          </w:p>
          <w:p w14:paraId="5C83ED28">
            <w:pPr>
              <w:pStyle w:val="173"/>
              <w:spacing w:before="17" w:line="221" w:lineRule="auto"/>
              <w:ind w:left="161"/>
              <w:rPr>
                <w:sz w:val="21"/>
                <w:szCs w:val="21"/>
                <w:highlight w:val="none"/>
              </w:rPr>
            </w:pPr>
            <w:r>
              <w:rPr>
                <w:spacing w:val="-5"/>
                <w:sz w:val="21"/>
                <w:szCs w:val="21"/>
                <w:highlight w:val="none"/>
              </w:rPr>
              <w:t>第</w:t>
            </w:r>
            <w:r>
              <w:rPr>
                <w:spacing w:val="-24"/>
                <w:sz w:val="21"/>
                <w:szCs w:val="21"/>
                <w:highlight w:val="none"/>
              </w:rPr>
              <w:t xml:space="preserve"> </w:t>
            </w:r>
            <w:r>
              <w:rPr>
                <w:spacing w:val="-5"/>
                <w:sz w:val="21"/>
                <w:szCs w:val="21"/>
                <w:highlight w:val="none"/>
              </w:rPr>
              <w:t>1.2（6）项</w:t>
            </w:r>
          </w:p>
        </w:tc>
        <w:tc>
          <w:tcPr>
            <w:tcW w:w="1526" w:type="dxa"/>
            <w:tcBorders>
              <w:top w:val="single" w:color="000000" w:sz="2" w:space="0"/>
            </w:tcBorders>
          </w:tcPr>
          <w:p w14:paraId="43427123">
            <w:pPr>
              <w:pStyle w:val="173"/>
              <w:spacing w:before="145" w:line="229" w:lineRule="auto"/>
              <w:ind w:left="110" w:right="152"/>
              <w:rPr>
                <w:sz w:val="21"/>
                <w:szCs w:val="21"/>
                <w:highlight w:val="none"/>
              </w:rPr>
            </w:pPr>
            <w:r>
              <w:rPr>
                <w:spacing w:val="-2"/>
                <w:sz w:val="21"/>
                <w:szCs w:val="21"/>
                <w:highlight w:val="none"/>
              </w:rPr>
              <w:t>联合体具体要</w:t>
            </w:r>
            <w:r>
              <w:rPr>
                <w:spacing w:val="4"/>
                <w:sz w:val="21"/>
                <w:szCs w:val="21"/>
                <w:highlight w:val="none"/>
              </w:rPr>
              <w:t xml:space="preserve"> </w:t>
            </w:r>
            <w:r>
              <w:rPr>
                <w:sz w:val="21"/>
                <w:szCs w:val="21"/>
                <w:highlight w:val="none"/>
              </w:rPr>
              <w:t>求</w:t>
            </w:r>
          </w:p>
        </w:tc>
        <w:tc>
          <w:tcPr>
            <w:tcW w:w="5401" w:type="dxa"/>
            <w:tcBorders>
              <w:top w:val="single" w:color="000000" w:sz="2" w:space="0"/>
              <w:right w:val="single" w:color="000000" w:sz="2" w:space="0"/>
            </w:tcBorders>
          </w:tcPr>
          <w:p w14:paraId="5A6C62A3">
            <w:pPr>
              <w:pStyle w:val="173"/>
              <w:spacing w:before="279" w:line="221" w:lineRule="auto"/>
              <w:ind w:left="112"/>
              <w:rPr>
                <w:sz w:val="21"/>
                <w:szCs w:val="21"/>
                <w:highlight w:val="none"/>
              </w:rPr>
            </w:pPr>
            <w:r>
              <w:rPr>
                <w:sz w:val="21"/>
                <w:szCs w:val="21"/>
                <w:highlight w:val="none"/>
              </w:rPr>
              <w:t>无</w:t>
            </w:r>
          </w:p>
        </w:tc>
      </w:tr>
      <w:tr w14:paraId="5B1ACD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1620" w:type="dxa"/>
            <w:tcBorders>
              <w:left w:val="single" w:color="000000" w:sz="2" w:space="0"/>
            </w:tcBorders>
          </w:tcPr>
          <w:p w14:paraId="0B3B03A6">
            <w:pPr>
              <w:pStyle w:val="173"/>
              <w:spacing w:before="50" w:line="221" w:lineRule="auto"/>
              <w:ind w:left="502"/>
              <w:rPr>
                <w:sz w:val="21"/>
                <w:szCs w:val="21"/>
                <w:highlight w:val="none"/>
              </w:rPr>
            </w:pPr>
            <w:r>
              <w:rPr>
                <w:spacing w:val="-2"/>
                <w:sz w:val="21"/>
                <w:szCs w:val="21"/>
                <w:highlight w:val="none"/>
              </w:rPr>
              <w:t>第二节</w:t>
            </w:r>
          </w:p>
          <w:p w14:paraId="52BBB335">
            <w:pPr>
              <w:pStyle w:val="173"/>
              <w:spacing w:before="22" w:line="221" w:lineRule="auto"/>
              <w:ind w:left="161"/>
              <w:rPr>
                <w:sz w:val="21"/>
                <w:szCs w:val="21"/>
                <w:highlight w:val="none"/>
              </w:rPr>
            </w:pPr>
            <w:r>
              <w:rPr>
                <w:spacing w:val="-5"/>
                <w:sz w:val="21"/>
                <w:szCs w:val="21"/>
                <w:highlight w:val="none"/>
              </w:rPr>
              <w:t>第</w:t>
            </w:r>
            <w:r>
              <w:rPr>
                <w:spacing w:val="-24"/>
                <w:sz w:val="21"/>
                <w:szCs w:val="21"/>
                <w:highlight w:val="none"/>
              </w:rPr>
              <w:t xml:space="preserve"> </w:t>
            </w:r>
            <w:r>
              <w:rPr>
                <w:spacing w:val="-5"/>
                <w:sz w:val="21"/>
                <w:szCs w:val="21"/>
                <w:highlight w:val="none"/>
              </w:rPr>
              <w:t>1.2（7）项</w:t>
            </w:r>
          </w:p>
        </w:tc>
        <w:tc>
          <w:tcPr>
            <w:tcW w:w="1526" w:type="dxa"/>
          </w:tcPr>
          <w:p w14:paraId="519CB802">
            <w:pPr>
              <w:pStyle w:val="173"/>
              <w:spacing w:before="189" w:line="221" w:lineRule="auto"/>
              <w:ind w:left="110"/>
              <w:rPr>
                <w:sz w:val="21"/>
                <w:szCs w:val="21"/>
                <w:highlight w:val="none"/>
              </w:rPr>
            </w:pPr>
            <w:r>
              <w:rPr>
                <w:spacing w:val="-1"/>
                <w:sz w:val="21"/>
                <w:szCs w:val="21"/>
                <w:highlight w:val="none"/>
              </w:rPr>
              <w:t>其他术语解释</w:t>
            </w:r>
          </w:p>
        </w:tc>
        <w:tc>
          <w:tcPr>
            <w:tcW w:w="5401" w:type="dxa"/>
            <w:tcBorders>
              <w:right w:val="single" w:color="000000" w:sz="2" w:space="0"/>
            </w:tcBorders>
          </w:tcPr>
          <w:p w14:paraId="70E25AB7">
            <w:pPr>
              <w:pStyle w:val="173"/>
              <w:spacing w:before="190" w:line="221" w:lineRule="auto"/>
              <w:ind w:left="112"/>
              <w:rPr>
                <w:sz w:val="21"/>
                <w:szCs w:val="21"/>
                <w:highlight w:val="none"/>
              </w:rPr>
            </w:pPr>
            <w:r>
              <w:rPr>
                <w:sz w:val="21"/>
                <w:szCs w:val="21"/>
                <w:highlight w:val="none"/>
              </w:rPr>
              <w:t>无</w:t>
            </w:r>
          </w:p>
        </w:tc>
      </w:tr>
      <w:tr w14:paraId="0DFBED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4" w:hRule="atLeast"/>
        </w:trPr>
        <w:tc>
          <w:tcPr>
            <w:tcW w:w="1620" w:type="dxa"/>
            <w:tcBorders>
              <w:left w:val="single" w:color="000000" w:sz="2" w:space="0"/>
            </w:tcBorders>
          </w:tcPr>
          <w:p w14:paraId="4985542D">
            <w:pPr>
              <w:pStyle w:val="173"/>
              <w:spacing w:before="294" w:line="231" w:lineRule="auto"/>
              <w:ind w:left="397" w:right="378" w:firstLine="105"/>
              <w:rPr>
                <w:sz w:val="21"/>
                <w:szCs w:val="21"/>
                <w:highlight w:val="none"/>
              </w:rPr>
            </w:pPr>
            <w:r>
              <w:rPr>
                <w:spacing w:val="-2"/>
                <w:sz w:val="21"/>
                <w:szCs w:val="21"/>
                <w:highlight w:val="none"/>
              </w:rPr>
              <w:t>第二节</w:t>
            </w:r>
            <w:r>
              <w:rPr>
                <w:sz w:val="21"/>
                <w:szCs w:val="21"/>
                <w:highlight w:val="none"/>
              </w:rPr>
              <w:t xml:space="preserve">  </w:t>
            </w:r>
            <w:r>
              <w:rPr>
                <w:spacing w:val="-5"/>
                <w:sz w:val="21"/>
                <w:szCs w:val="21"/>
                <w:highlight w:val="none"/>
              </w:rPr>
              <w:t>第</w:t>
            </w:r>
            <w:r>
              <w:rPr>
                <w:spacing w:val="-42"/>
                <w:sz w:val="21"/>
                <w:szCs w:val="21"/>
                <w:highlight w:val="none"/>
              </w:rPr>
              <w:t xml:space="preserve"> </w:t>
            </w:r>
            <w:r>
              <w:rPr>
                <w:spacing w:val="-5"/>
                <w:sz w:val="21"/>
                <w:szCs w:val="21"/>
                <w:highlight w:val="none"/>
              </w:rPr>
              <w:t>4.4</w:t>
            </w:r>
            <w:r>
              <w:rPr>
                <w:spacing w:val="-43"/>
                <w:sz w:val="21"/>
                <w:szCs w:val="21"/>
                <w:highlight w:val="none"/>
              </w:rPr>
              <w:t xml:space="preserve"> </w:t>
            </w:r>
            <w:r>
              <w:rPr>
                <w:spacing w:val="-5"/>
                <w:sz w:val="21"/>
                <w:szCs w:val="21"/>
                <w:highlight w:val="none"/>
              </w:rPr>
              <w:t>款</w:t>
            </w:r>
          </w:p>
        </w:tc>
        <w:tc>
          <w:tcPr>
            <w:tcW w:w="1526" w:type="dxa"/>
          </w:tcPr>
          <w:p w14:paraId="18A2175C">
            <w:pPr>
              <w:pStyle w:val="173"/>
              <w:spacing w:before="23" w:line="233" w:lineRule="auto"/>
              <w:ind w:left="110" w:right="152" w:firstLine="2"/>
              <w:rPr>
                <w:sz w:val="21"/>
                <w:szCs w:val="21"/>
                <w:highlight w:val="none"/>
                <w:lang w:eastAsia="zh-CN"/>
              </w:rPr>
            </w:pPr>
            <w:r>
              <w:rPr>
                <w:spacing w:val="-2"/>
                <w:sz w:val="21"/>
                <w:szCs w:val="21"/>
                <w:highlight w:val="none"/>
                <w:lang w:eastAsia="zh-CN"/>
              </w:rPr>
              <w:t>履约验收中甲</w:t>
            </w:r>
            <w:r>
              <w:rPr>
                <w:spacing w:val="1"/>
                <w:sz w:val="21"/>
                <w:szCs w:val="21"/>
                <w:highlight w:val="none"/>
                <w:lang w:eastAsia="zh-CN"/>
              </w:rPr>
              <w:t xml:space="preserve"> </w:t>
            </w:r>
            <w:r>
              <w:rPr>
                <w:spacing w:val="-2"/>
                <w:sz w:val="21"/>
                <w:szCs w:val="21"/>
                <w:highlight w:val="none"/>
                <w:lang w:eastAsia="zh-CN"/>
              </w:rPr>
              <w:t>方提出异议或</w:t>
            </w:r>
            <w:r>
              <w:rPr>
                <w:spacing w:val="4"/>
                <w:sz w:val="21"/>
                <w:szCs w:val="21"/>
                <w:highlight w:val="none"/>
                <w:lang w:eastAsia="zh-CN"/>
              </w:rPr>
              <w:t xml:space="preserve"> </w:t>
            </w:r>
            <w:r>
              <w:rPr>
                <w:spacing w:val="-2"/>
                <w:sz w:val="21"/>
                <w:szCs w:val="21"/>
                <w:highlight w:val="none"/>
                <w:lang w:eastAsia="zh-CN"/>
              </w:rPr>
              <w:t>作出说明的期</w:t>
            </w:r>
            <w:r>
              <w:rPr>
                <w:spacing w:val="4"/>
                <w:sz w:val="21"/>
                <w:szCs w:val="21"/>
                <w:highlight w:val="none"/>
                <w:lang w:eastAsia="zh-CN"/>
              </w:rPr>
              <w:t xml:space="preserve"> </w:t>
            </w:r>
            <w:r>
              <w:rPr>
                <w:sz w:val="21"/>
                <w:szCs w:val="21"/>
                <w:highlight w:val="none"/>
                <w:lang w:eastAsia="zh-CN"/>
              </w:rPr>
              <w:t>限</w:t>
            </w:r>
          </w:p>
        </w:tc>
        <w:tc>
          <w:tcPr>
            <w:tcW w:w="5401" w:type="dxa"/>
            <w:tcBorders>
              <w:right w:val="single" w:color="000000" w:sz="2" w:space="0"/>
            </w:tcBorders>
          </w:tcPr>
          <w:p w14:paraId="511EFDD5">
            <w:pPr>
              <w:spacing w:line="360" w:lineRule="auto"/>
              <w:rPr>
                <w:rFonts w:ascii="Arial"/>
                <w:highlight w:val="none"/>
              </w:rPr>
            </w:pPr>
          </w:p>
          <w:p w14:paraId="55ECB1BD">
            <w:pPr>
              <w:pStyle w:val="173"/>
              <w:spacing w:before="68" w:line="221" w:lineRule="auto"/>
              <w:ind w:left="126"/>
              <w:rPr>
                <w:sz w:val="21"/>
                <w:szCs w:val="21"/>
                <w:highlight w:val="none"/>
                <w:lang w:eastAsia="zh-CN"/>
              </w:rPr>
            </w:pPr>
          </w:p>
        </w:tc>
      </w:tr>
      <w:tr w14:paraId="7AA154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5" w:hRule="atLeast"/>
        </w:trPr>
        <w:tc>
          <w:tcPr>
            <w:tcW w:w="1620" w:type="dxa"/>
            <w:tcBorders>
              <w:left w:val="single" w:color="000000" w:sz="2" w:space="0"/>
            </w:tcBorders>
          </w:tcPr>
          <w:p w14:paraId="618B6C7C">
            <w:pPr>
              <w:pStyle w:val="173"/>
              <w:spacing w:before="162" w:line="228" w:lineRule="auto"/>
              <w:ind w:left="397" w:right="378" w:firstLine="105"/>
              <w:rPr>
                <w:sz w:val="21"/>
                <w:szCs w:val="21"/>
                <w:highlight w:val="none"/>
              </w:rPr>
            </w:pPr>
            <w:r>
              <w:rPr>
                <w:spacing w:val="-2"/>
                <w:sz w:val="21"/>
                <w:szCs w:val="21"/>
                <w:highlight w:val="none"/>
              </w:rPr>
              <w:t>第二节</w:t>
            </w:r>
            <w:r>
              <w:rPr>
                <w:sz w:val="21"/>
                <w:szCs w:val="21"/>
                <w:highlight w:val="none"/>
              </w:rPr>
              <w:t xml:space="preserve">  </w:t>
            </w:r>
            <w:r>
              <w:rPr>
                <w:spacing w:val="-5"/>
                <w:sz w:val="21"/>
                <w:szCs w:val="21"/>
                <w:highlight w:val="none"/>
              </w:rPr>
              <w:t>第</w:t>
            </w:r>
            <w:r>
              <w:rPr>
                <w:spacing w:val="-42"/>
                <w:sz w:val="21"/>
                <w:szCs w:val="21"/>
                <w:highlight w:val="none"/>
              </w:rPr>
              <w:t xml:space="preserve"> </w:t>
            </w:r>
            <w:r>
              <w:rPr>
                <w:spacing w:val="-5"/>
                <w:sz w:val="21"/>
                <w:szCs w:val="21"/>
                <w:highlight w:val="none"/>
              </w:rPr>
              <w:t>4.6</w:t>
            </w:r>
            <w:r>
              <w:rPr>
                <w:spacing w:val="-43"/>
                <w:sz w:val="21"/>
                <w:szCs w:val="21"/>
                <w:highlight w:val="none"/>
              </w:rPr>
              <w:t xml:space="preserve"> </w:t>
            </w:r>
            <w:r>
              <w:rPr>
                <w:spacing w:val="-5"/>
                <w:sz w:val="21"/>
                <w:szCs w:val="21"/>
                <w:highlight w:val="none"/>
              </w:rPr>
              <w:t>款</w:t>
            </w:r>
          </w:p>
        </w:tc>
        <w:tc>
          <w:tcPr>
            <w:tcW w:w="1526" w:type="dxa"/>
          </w:tcPr>
          <w:p w14:paraId="5250E4A2">
            <w:pPr>
              <w:pStyle w:val="173"/>
              <w:spacing w:before="23" w:line="232" w:lineRule="auto"/>
              <w:ind w:left="116" w:right="152" w:hanging="2"/>
              <w:rPr>
                <w:sz w:val="21"/>
                <w:szCs w:val="21"/>
                <w:highlight w:val="none"/>
                <w:lang w:eastAsia="zh-CN"/>
              </w:rPr>
            </w:pPr>
            <w:r>
              <w:rPr>
                <w:spacing w:val="-2"/>
                <w:sz w:val="21"/>
                <w:szCs w:val="21"/>
                <w:highlight w:val="none"/>
                <w:lang w:eastAsia="zh-CN"/>
              </w:rPr>
              <w:t>约定甲方承担</w:t>
            </w:r>
            <w:r>
              <w:rPr>
                <w:sz w:val="21"/>
                <w:szCs w:val="21"/>
                <w:highlight w:val="none"/>
                <w:lang w:eastAsia="zh-CN"/>
              </w:rPr>
              <w:t xml:space="preserve"> </w:t>
            </w:r>
            <w:r>
              <w:rPr>
                <w:spacing w:val="-3"/>
                <w:sz w:val="21"/>
                <w:szCs w:val="21"/>
                <w:highlight w:val="none"/>
                <w:lang w:eastAsia="zh-CN"/>
              </w:rPr>
              <w:t>的其他义务和</w:t>
            </w:r>
            <w:r>
              <w:rPr>
                <w:spacing w:val="3"/>
                <w:sz w:val="21"/>
                <w:szCs w:val="21"/>
                <w:highlight w:val="none"/>
                <w:lang w:eastAsia="zh-CN"/>
              </w:rPr>
              <w:t xml:space="preserve"> </w:t>
            </w:r>
            <w:r>
              <w:rPr>
                <w:spacing w:val="-4"/>
                <w:sz w:val="21"/>
                <w:szCs w:val="21"/>
                <w:highlight w:val="none"/>
                <w:lang w:eastAsia="zh-CN"/>
              </w:rPr>
              <w:t>责任</w:t>
            </w:r>
          </w:p>
        </w:tc>
        <w:tc>
          <w:tcPr>
            <w:tcW w:w="5401" w:type="dxa"/>
            <w:tcBorders>
              <w:right w:val="single" w:color="000000" w:sz="2" w:space="0"/>
            </w:tcBorders>
          </w:tcPr>
          <w:p w14:paraId="7938B5E7">
            <w:pPr>
              <w:pStyle w:val="173"/>
              <w:spacing w:before="296" w:line="221" w:lineRule="auto"/>
              <w:ind w:left="112"/>
              <w:rPr>
                <w:sz w:val="21"/>
                <w:szCs w:val="21"/>
                <w:highlight w:val="none"/>
              </w:rPr>
            </w:pPr>
            <w:r>
              <w:rPr>
                <w:sz w:val="21"/>
                <w:szCs w:val="21"/>
                <w:highlight w:val="none"/>
              </w:rPr>
              <w:t>无</w:t>
            </w:r>
          </w:p>
        </w:tc>
      </w:tr>
      <w:tr w14:paraId="075153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0" w:hRule="atLeast"/>
        </w:trPr>
        <w:tc>
          <w:tcPr>
            <w:tcW w:w="1620" w:type="dxa"/>
            <w:tcBorders>
              <w:left w:val="single" w:color="000000" w:sz="2" w:space="0"/>
            </w:tcBorders>
          </w:tcPr>
          <w:p w14:paraId="6E1A7990">
            <w:pPr>
              <w:pStyle w:val="173"/>
              <w:spacing w:before="156" w:line="231" w:lineRule="auto"/>
              <w:ind w:left="397" w:right="378" w:firstLine="105"/>
              <w:rPr>
                <w:sz w:val="21"/>
                <w:szCs w:val="21"/>
                <w:highlight w:val="none"/>
              </w:rPr>
            </w:pPr>
            <w:r>
              <w:rPr>
                <w:spacing w:val="-2"/>
                <w:sz w:val="21"/>
                <w:szCs w:val="21"/>
                <w:highlight w:val="none"/>
              </w:rPr>
              <w:t>第二节</w:t>
            </w:r>
            <w:r>
              <w:rPr>
                <w:sz w:val="21"/>
                <w:szCs w:val="21"/>
                <w:highlight w:val="none"/>
              </w:rPr>
              <w:t xml:space="preserve">  </w:t>
            </w:r>
            <w:r>
              <w:rPr>
                <w:spacing w:val="-6"/>
                <w:sz w:val="21"/>
                <w:szCs w:val="21"/>
                <w:highlight w:val="none"/>
              </w:rPr>
              <w:t>第</w:t>
            </w:r>
            <w:r>
              <w:rPr>
                <w:spacing w:val="-37"/>
                <w:sz w:val="21"/>
                <w:szCs w:val="21"/>
                <w:highlight w:val="none"/>
              </w:rPr>
              <w:t xml:space="preserve"> </w:t>
            </w:r>
            <w:r>
              <w:rPr>
                <w:spacing w:val="-6"/>
                <w:sz w:val="21"/>
                <w:szCs w:val="21"/>
                <w:highlight w:val="none"/>
              </w:rPr>
              <w:t>5.4</w:t>
            </w:r>
            <w:r>
              <w:rPr>
                <w:spacing w:val="-43"/>
                <w:sz w:val="21"/>
                <w:szCs w:val="21"/>
                <w:highlight w:val="none"/>
              </w:rPr>
              <w:t xml:space="preserve"> </w:t>
            </w:r>
            <w:r>
              <w:rPr>
                <w:spacing w:val="-6"/>
                <w:sz w:val="21"/>
                <w:szCs w:val="21"/>
                <w:highlight w:val="none"/>
              </w:rPr>
              <w:t>款</w:t>
            </w:r>
          </w:p>
        </w:tc>
        <w:tc>
          <w:tcPr>
            <w:tcW w:w="1526" w:type="dxa"/>
          </w:tcPr>
          <w:p w14:paraId="42F2FDBC">
            <w:pPr>
              <w:pStyle w:val="173"/>
              <w:spacing w:before="21" w:line="231" w:lineRule="auto"/>
              <w:ind w:left="116" w:right="152" w:hanging="2"/>
              <w:rPr>
                <w:sz w:val="21"/>
                <w:szCs w:val="21"/>
                <w:highlight w:val="none"/>
                <w:lang w:eastAsia="zh-CN"/>
              </w:rPr>
            </w:pPr>
            <w:r>
              <w:rPr>
                <w:spacing w:val="-2"/>
                <w:sz w:val="21"/>
                <w:szCs w:val="21"/>
                <w:highlight w:val="none"/>
                <w:lang w:eastAsia="zh-CN"/>
              </w:rPr>
              <w:t>约定乙方承担</w:t>
            </w:r>
            <w:r>
              <w:rPr>
                <w:sz w:val="21"/>
                <w:szCs w:val="21"/>
                <w:highlight w:val="none"/>
                <w:lang w:eastAsia="zh-CN"/>
              </w:rPr>
              <w:t xml:space="preserve"> </w:t>
            </w:r>
            <w:r>
              <w:rPr>
                <w:spacing w:val="-3"/>
                <w:sz w:val="21"/>
                <w:szCs w:val="21"/>
                <w:highlight w:val="none"/>
                <w:lang w:eastAsia="zh-CN"/>
              </w:rPr>
              <w:t>的其他义务和</w:t>
            </w:r>
            <w:r>
              <w:rPr>
                <w:spacing w:val="3"/>
                <w:sz w:val="21"/>
                <w:szCs w:val="21"/>
                <w:highlight w:val="none"/>
                <w:lang w:eastAsia="zh-CN"/>
              </w:rPr>
              <w:t xml:space="preserve"> </w:t>
            </w:r>
            <w:r>
              <w:rPr>
                <w:spacing w:val="-4"/>
                <w:sz w:val="21"/>
                <w:szCs w:val="21"/>
                <w:highlight w:val="none"/>
                <w:lang w:eastAsia="zh-CN"/>
              </w:rPr>
              <w:t>责任</w:t>
            </w:r>
          </w:p>
        </w:tc>
        <w:tc>
          <w:tcPr>
            <w:tcW w:w="5401" w:type="dxa"/>
            <w:tcBorders>
              <w:right w:val="single" w:color="000000" w:sz="2" w:space="0"/>
            </w:tcBorders>
          </w:tcPr>
          <w:p w14:paraId="3891042C">
            <w:pPr>
              <w:pStyle w:val="173"/>
              <w:spacing w:before="292" w:line="221" w:lineRule="auto"/>
              <w:ind w:left="112"/>
              <w:rPr>
                <w:sz w:val="21"/>
                <w:szCs w:val="21"/>
                <w:highlight w:val="none"/>
              </w:rPr>
            </w:pPr>
            <w:r>
              <w:rPr>
                <w:sz w:val="21"/>
                <w:szCs w:val="21"/>
                <w:highlight w:val="none"/>
              </w:rPr>
              <w:t>无</w:t>
            </w:r>
          </w:p>
        </w:tc>
      </w:tr>
      <w:tr w14:paraId="030720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4" w:hRule="atLeast"/>
        </w:trPr>
        <w:tc>
          <w:tcPr>
            <w:tcW w:w="1620" w:type="dxa"/>
            <w:tcBorders>
              <w:left w:val="single" w:color="000000" w:sz="2" w:space="0"/>
            </w:tcBorders>
          </w:tcPr>
          <w:p w14:paraId="09C864FF">
            <w:pPr>
              <w:pStyle w:val="173"/>
              <w:spacing w:before="118" w:line="231" w:lineRule="auto"/>
              <w:ind w:left="397" w:right="378" w:firstLine="105"/>
              <w:rPr>
                <w:sz w:val="21"/>
                <w:szCs w:val="21"/>
                <w:highlight w:val="none"/>
              </w:rPr>
            </w:pPr>
            <w:r>
              <w:rPr>
                <w:spacing w:val="-2"/>
                <w:sz w:val="21"/>
                <w:szCs w:val="21"/>
                <w:highlight w:val="none"/>
              </w:rPr>
              <w:t>第二节</w:t>
            </w:r>
            <w:r>
              <w:rPr>
                <w:sz w:val="21"/>
                <w:szCs w:val="21"/>
                <w:highlight w:val="none"/>
              </w:rPr>
              <w:t xml:space="preserve">  </w:t>
            </w:r>
            <w:r>
              <w:rPr>
                <w:spacing w:val="-5"/>
                <w:sz w:val="21"/>
                <w:szCs w:val="21"/>
                <w:highlight w:val="none"/>
              </w:rPr>
              <w:t>第</w:t>
            </w:r>
            <w:r>
              <w:rPr>
                <w:spacing w:val="-42"/>
                <w:sz w:val="21"/>
                <w:szCs w:val="21"/>
                <w:highlight w:val="none"/>
              </w:rPr>
              <w:t xml:space="preserve"> </w:t>
            </w:r>
            <w:r>
              <w:rPr>
                <w:spacing w:val="-5"/>
                <w:sz w:val="21"/>
                <w:szCs w:val="21"/>
                <w:highlight w:val="none"/>
              </w:rPr>
              <w:t>6.1</w:t>
            </w:r>
            <w:r>
              <w:rPr>
                <w:spacing w:val="-43"/>
                <w:sz w:val="21"/>
                <w:szCs w:val="21"/>
                <w:highlight w:val="none"/>
              </w:rPr>
              <w:t xml:space="preserve"> </w:t>
            </w:r>
            <w:r>
              <w:rPr>
                <w:spacing w:val="-5"/>
                <w:sz w:val="21"/>
                <w:szCs w:val="21"/>
                <w:highlight w:val="none"/>
              </w:rPr>
              <w:t>款</w:t>
            </w:r>
          </w:p>
        </w:tc>
        <w:tc>
          <w:tcPr>
            <w:tcW w:w="1526" w:type="dxa"/>
          </w:tcPr>
          <w:p w14:paraId="44FE343E">
            <w:pPr>
              <w:pStyle w:val="173"/>
              <w:spacing w:before="119" w:line="231" w:lineRule="auto"/>
              <w:ind w:left="126" w:right="152" w:hanging="13"/>
              <w:rPr>
                <w:sz w:val="21"/>
                <w:szCs w:val="21"/>
                <w:highlight w:val="none"/>
              </w:rPr>
            </w:pPr>
            <w:r>
              <w:rPr>
                <w:spacing w:val="-2"/>
                <w:sz w:val="21"/>
                <w:szCs w:val="21"/>
                <w:highlight w:val="none"/>
              </w:rPr>
              <w:t>履行合同义务</w:t>
            </w:r>
            <w:r>
              <w:rPr>
                <w:spacing w:val="1"/>
                <w:sz w:val="21"/>
                <w:szCs w:val="21"/>
                <w:highlight w:val="none"/>
              </w:rPr>
              <w:t xml:space="preserve"> </w:t>
            </w:r>
            <w:r>
              <w:rPr>
                <w:spacing w:val="-5"/>
                <w:sz w:val="21"/>
                <w:szCs w:val="21"/>
                <w:highlight w:val="none"/>
              </w:rPr>
              <w:t>的顺序</w:t>
            </w:r>
          </w:p>
        </w:tc>
        <w:tc>
          <w:tcPr>
            <w:tcW w:w="5401" w:type="dxa"/>
            <w:tcBorders>
              <w:right w:val="single" w:color="000000" w:sz="2" w:space="0"/>
            </w:tcBorders>
          </w:tcPr>
          <w:p w14:paraId="0A0097AD">
            <w:pPr>
              <w:pStyle w:val="173"/>
              <w:spacing w:before="254" w:line="221" w:lineRule="auto"/>
              <w:ind w:left="112"/>
              <w:rPr>
                <w:sz w:val="21"/>
                <w:szCs w:val="21"/>
                <w:highlight w:val="none"/>
              </w:rPr>
            </w:pPr>
            <w:r>
              <w:rPr>
                <w:sz w:val="21"/>
                <w:szCs w:val="21"/>
                <w:highlight w:val="none"/>
              </w:rPr>
              <w:t>无</w:t>
            </w:r>
          </w:p>
        </w:tc>
      </w:tr>
      <w:tr w14:paraId="0619E2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6" w:hRule="atLeast"/>
        </w:trPr>
        <w:tc>
          <w:tcPr>
            <w:tcW w:w="1620" w:type="dxa"/>
            <w:vMerge w:val="restart"/>
            <w:tcBorders>
              <w:left w:val="single" w:color="000000" w:sz="2" w:space="0"/>
              <w:bottom w:val="nil"/>
            </w:tcBorders>
          </w:tcPr>
          <w:p w14:paraId="62D07239">
            <w:pPr>
              <w:spacing w:line="355" w:lineRule="auto"/>
              <w:rPr>
                <w:rFonts w:ascii="Arial"/>
                <w:highlight w:val="none"/>
              </w:rPr>
            </w:pPr>
          </w:p>
          <w:p w14:paraId="280E8576">
            <w:pPr>
              <w:pStyle w:val="173"/>
              <w:spacing w:before="68" w:line="231" w:lineRule="auto"/>
              <w:ind w:left="397" w:right="378" w:firstLine="105"/>
              <w:rPr>
                <w:sz w:val="21"/>
                <w:szCs w:val="21"/>
                <w:highlight w:val="none"/>
              </w:rPr>
            </w:pPr>
            <w:r>
              <w:rPr>
                <w:spacing w:val="-2"/>
                <w:sz w:val="21"/>
                <w:szCs w:val="21"/>
                <w:highlight w:val="none"/>
              </w:rPr>
              <w:t>第二节</w:t>
            </w:r>
            <w:r>
              <w:rPr>
                <w:sz w:val="21"/>
                <w:szCs w:val="21"/>
                <w:highlight w:val="none"/>
              </w:rPr>
              <w:t xml:space="preserve">  </w:t>
            </w:r>
            <w:r>
              <w:rPr>
                <w:spacing w:val="-6"/>
                <w:sz w:val="21"/>
                <w:szCs w:val="21"/>
                <w:highlight w:val="none"/>
              </w:rPr>
              <w:t>第</w:t>
            </w:r>
            <w:r>
              <w:rPr>
                <w:spacing w:val="-37"/>
                <w:sz w:val="21"/>
                <w:szCs w:val="21"/>
                <w:highlight w:val="none"/>
              </w:rPr>
              <w:t xml:space="preserve"> </w:t>
            </w:r>
            <w:r>
              <w:rPr>
                <w:spacing w:val="-6"/>
                <w:sz w:val="21"/>
                <w:szCs w:val="21"/>
                <w:highlight w:val="none"/>
              </w:rPr>
              <w:t>7.1</w:t>
            </w:r>
            <w:r>
              <w:rPr>
                <w:spacing w:val="-43"/>
                <w:sz w:val="21"/>
                <w:szCs w:val="21"/>
                <w:highlight w:val="none"/>
              </w:rPr>
              <w:t xml:space="preserve"> </w:t>
            </w:r>
            <w:r>
              <w:rPr>
                <w:spacing w:val="-6"/>
                <w:sz w:val="21"/>
                <w:szCs w:val="21"/>
                <w:highlight w:val="none"/>
              </w:rPr>
              <w:t>款</w:t>
            </w:r>
          </w:p>
        </w:tc>
        <w:tc>
          <w:tcPr>
            <w:tcW w:w="1526" w:type="dxa"/>
          </w:tcPr>
          <w:p w14:paraId="05C88C9E">
            <w:pPr>
              <w:pStyle w:val="173"/>
              <w:spacing w:before="224" w:line="221" w:lineRule="auto"/>
              <w:ind w:left="109"/>
              <w:rPr>
                <w:sz w:val="21"/>
                <w:szCs w:val="21"/>
                <w:highlight w:val="none"/>
              </w:rPr>
            </w:pPr>
            <w:r>
              <w:rPr>
                <w:spacing w:val="-1"/>
                <w:sz w:val="21"/>
                <w:szCs w:val="21"/>
                <w:highlight w:val="none"/>
              </w:rPr>
              <w:t>包装特殊要求</w:t>
            </w:r>
          </w:p>
        </w:tc>
        <w:tc>
          <w:tcPr>
            <w:tcW w:w="5401" w:type="dxa"/>
            <w:tcBorders>
              <w:right w:val="single" w:color="000000" w:sz="2" w:space="0"/>
            </w:tcBorders>
          </w:tcPr>
          <w:p w14:paraId="52A657F8">
            <w:pPr>
              <w:pStyle w:val="173"/>
              <w:spacing w:before="225" w:line="221" w:lineRule="auto"/>
              <w:ind w:left="112"/>
              <w:rPr>
                <w:sz w:val="21"/>
                <w:szCs w:val="21"/>
                <w:highlight w:val="none"/>
              </w:rPr>
            </w:pPr>
            <w:r>
              <w:rPr>
                <w:sz w:val="21"/>
                <w:szCs w:val="21"/>
                <w:highlight w:val="none"/>
              </w:rPr>
              <w:t>无</w:t>
            </w:r>
          </w:p>
        </w:tc>
      </w:tr>
      <w:tr w14:paraId="39122F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2" w:hRule="atLeast"/>
        </w:trPr>
        <w:tc>
          <w:tcPr>
            <w:tcW w:w="1620" w:type="dxa"/>
            <w:vMerge w:val="continue"/>
            <w:tcBorders>
              <w:top w:val="nil"/>
              <w:left w:val="single" w:color="000000" w:sz="2" w:space="0"/>
            </w:tcBorders>
          </w:tcPr>
          <w:p w14:paraId="5D3E05BB">
            <w:pPr>
              <w:rPr>
                <w:rFonts w:ascii="Arial"/>
                <w:highlight w:val="none"/>
              </w:rPr>
            </w:pPr>
          </w:p>
        </w:tc>
        <w:tc>
          <w:tcPr>
            <w:tcW w:w="1526" w:type="dxa"/>
          </w:tcPr>
          <w:p w14:paraId="214B3931">
            <w:pPr>
              <w:pStyle w:val="173"/>
              <w:spacing w:before="226" w:line="221" w:lineRule="auto"/>
              <w:ind w:left="112"/>
              <w:rPr>
                <w:sz w:val="21"/>
                <w:szCs w:val="21"/>
                <w:highlight w:val="none"/>
              </w:rPr>
            </w:pPr>
            <w:r>
              <w:rPr>
                <w:spacing w:val="-2"/>
                <w:sz w:val="21"/>
                <w:szCs w:val="21"/>
                <w:highlight w:val="none"/>
              </w:rPr>
              <w:t>指定现场</w:t>
            </w:r>
          </w:p>
        </w:tc>
        <w:tc>
          <w:tcPr>
            <w:tcW w:w="5401" w:type="dxa"/>
            <w:tcBorders>
              <w:right w:val="single" w:color="000000" w:sz="2" w:space="0"/>
            </w:tcBorders>
          </w:tcPr>
          <w:p w14:paraId="2606C63F">
            <w:pPr>
              <w:pStyle w:val="173"/>
              <w:spacing w:before="231" w:line="221" w:lineRule="auto"/>
              <w:ind w:left="137"/>
              <w:rPr>
                <w:sz w:val="21"/>
                <w:szCs w:val="21"/>
                <w:highlight w:val="none"/>
              </w:rPr>
            </w:pPr>
            <w:r>
              <w:rPr>
                <w:spacing w:val="-5"/>
                <w:sz w:val="21"/>
                <w:szCs w:val="21"/>
                <w:highlight w:val="none"/>
              </w:rPr>
              <w:t>甲方指定地点</w:t>
            </w:r>
          </w:p>
        </w:tc>
      </w:tr>
      <w:tr w14:paraId="06E3B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2" w:hRule="atLeast"/>
        </w:trPr>
        <w:tc>
          <w:tcPr>
            <w:tcW w:w="1620" w:type="dxa"/>
            <w:tcBorders>
              <w:left w:val="single" w:color="000000" w:sz="2" w:space="0"/>
            </w:tcBorders>
          </w:tcPr>
          <w:p w14:paraId="7355D777">
            <w:pPr>
              <w:pStyle w:val="173"/>
              <w:spacing w:before="138" w:line="231" w:lineRule="auto"/>
              <w:ind w:left="397" w:right="378" w:firstLine="105"/>
              <w:rPr>
                <w:sz w:val="21"/>
                <w:szCs w:val="21"/>
                <w:highlight w:val="none"/>
              </w:rPr>
            </w:pPr>
            <w:r>
              <w:rPr>
                <w:spacing w:val="-2"/>
                <w:sz w:val="21"/>
                <w:szCs w:val="21"/>
                <w:highlight w:val="none"/>
              </w:rPr>
              <w:t>第二节</w:t>
            </w:r>
            <w:r>
              <w:rPr>
                <w:sz w:val="21"/>
                <w:szCs w:val="21"/>
                <w:highlight w:val="none"/>
              </w:rPr>
              <w:t xml:space="preserve">  </w:t>
            </w:r>
            <w:r>
              <w:rPr>
                <w:spacing w:val="-6"/>
                <w:sz w:val="21"/>
                <w:szCs w:val="21"/>
                <w:highlight w:val="none"/>
              </w:rPr>
              <w:t>第</w:t>
            </w:r>
            <w:r>
              <w:rPr>
                <w:spacing w:val="-37"/>
                <w:sz w:val="21"/>
                <w:szCs w:val="21"/>
                <w:highlight w:val="none"/>
              </w:rPr>
              <w:t xml:space="preserve"> </w:t>
            </w:r>
            <w:r>
              <w:rPr>
                <w:spacing w:val="-6"/>
                <w:sz w:val="21"/>
                <w:szCs w:val="21"/>
                <w:highlight w:val="none"/>
              </w:rPr>
              <w:t>7.2</w:t>
            </w:r>
            <w:r>
              <w:rPr>
                <w:spacing w:val="-43"/>
                <w:sz w:val="21"/>
                <w:szCs w:val="21"/>
                <w:highlight w:val="none"/>
              </w:rPr>
              <w:t xml:space="preserve"> </w:t>
            </w:r>
            <w:r>
              <w:rPr>
                <w:spacing w:val="-6"/>
                <w:sz w:val="21"/>
                <w:szCs w:val="21"/>
                <w:highlight w:val="none"/>
              </w:rPr>
              <w:t>款</w:t>
            </w:r>
          </w:p>
        </w:tc>
        <w:tc>
          <w:tcPr>
            <w:tcW w:w="1526" w:type="dxa"/>
          </w:tcPr>
          <w:p w14:paraId="415009DF">
            <w:pPr>
              <w:pStyle w:val="173"/>
              <w:spacing w:before="278" w:line="221" w:lineRule="auto"/>
              <w:ind w:left="109"/>
              <w:rPr>
                <w:sz w:val="21"/>
                <w:szCs w:val="21"/>
                <w:highlight w:val="none"/>
              </w:rPr>
            </w:pPr>
            <w:r>
              <w:rPr>
                <w:spacing w:val="-1"/>
                <w:sz w:val="21"/>
                <w:szCs w:val="21"/>
                <w:highlight w:val="none"/>
              </w:rPr>
              <w:t>运输特殊要求</w:t>
            </w:r>
          </w:p>
        </w:tc>
        <w:tc>
          <w:tcPr>
            <w:tcW w:w="5401" w:type="dxa"/>
            <w:tcBorders>
              <w:right w:val="single" w:color="000000" w:sz="2" w:space="0"/>
            </w:tcBorders>
          </w:tcPr>
          <w:p w14:paraId="370232CE">
            <w:pPr>
              <w:pStyle w:val="173"/>
              <w:spacing w:before="283" w:line="221" w:lineRule="auto"/>
              <w:ind w:left="112"/>
              <w:rPr>
                <w:sz w:val="21"/>
                <w:szCs w:val="21"/>
                <w:highlight w:val="none"/>
              </w:rPr>
            </w:pPr>
            <w:r>
              <w:rPr>
                <w:sz w:val="21"/>
                <w:szCs w:val="21"/>
                <w:highlight w:val="none"/>
              </w:rPr>
              <w:t>无</w:t>
            </w:r>
          </w:p>
        </w:tc>
      </w:tr>
      <w:tr w14:paraId="280717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6" w:hRule="atLeast"/>
        </w:trPr>
        <w:tc>
          <w:tcPr>
            <w:tcW w:w="1620" w:type="dxa"/>
            <w:tcBorders>
              <w:left w:val="single" w:color="000000" w:sz="2" w:space="0"/>
            </w:tcBorders>
          </w:tcPr>
          <w:p w14:paraId="6F2AEF19">
            <w:pPr>
              <w:pStyle w:val="173"/>
              <w:spacing w:before="85" w:line="231" w:lineRule="auto"/>
              <w:ind w:left="397" w:right="378" w:firstLine="105"/>
              <w:rPr>
                <w:sz w:val="21"/>
                <w:szCs w:val="21"/>
                <w:highlight w:val="none"/>
              </w:rPr>
            </w:pPr>
            <w:r>
              <w:rPr>
                <w:spacing w:val="-2"/>
                <w:sz w:val="21"/>
                <w:szCs w:val="21"/>
                <w:highlight w:val="none"/>
              </w:rPr>
              <w:t>第二节</w:t>
            </w:r>
            <w:r>
              <w:rPr>
                <w:sz w:val="21"/>
                <w:szCs w:val="21"/>
                <w:highlight w:val="none"/>
              </w:rPr>
              <w:t xml:space="preserve">  </w:t>
            </w:r>
            <w:r>
              <w:rPr>
                <w:spacing w:val="-6"/>
                <w:sz w:val="21"/>
                <w:szCs w:val="21"/>
                <w:highlight w:val="none"/>
              </w:rPr>
              <w:t>第</w:t>
            </w:r>
            <w:r>
              <w:rPr>
                <w:spacing w:val="-37"/>
                <w:sz w:val="21"/>
                <w:szCs w:val="21"/>
                <w:highlight w:val="none"/>
              </w:rPr>
              <w:t xml:space="preserve"> </w:t>
            </w:r>
            <w:r>
              <w:rPr>
                <w:spacing w:val="-6"/>
                <w:sz w:val="21"/>
                <w:szCs w:val="21"/>
                <w:highlight w:val="none"/>
              </w:rPr>
              <w:t>7.3</w:t>
            </w:r>
            <w:r>
              <w:rPr>
                <w:spacing w:val="-43"/>
                <w:sz w:val="21"/>
                <w:szCs w:val="21"/>
                <w:highlight w:val="none"/>
              </w:rPr>
              <w:t xml:space="preserve"> </w:t>
            </w:r>
            <w:r>
              <w:rPr>
                <w:spacing w:val="-6"/>
                <w:sz w:val="21"/>
                <w:szCs w:val="21"/>
                <w:highlight w:val="none"/>
              </w:rPr>
              <w:t>款</w:t>
            </w:r>
          </w:p>
        </w:tc>
        <w:tc>
          <w:tcPr>
            <w:tcW w:w="1526" w:type="dxa"/>
          </w:tcPr>
          <w:p w14:paraId="2805DF47">
            <w:pPr>
              <w:pStyle w:val="173"/>
              <w:spacing w:before="226" w:line="221" w:lineRule="auto"/>
              <w:ind w:left="110"/>
              <w:rPr>
                <w:sz w:val="21"/>
                <w:szCs w:val="21"/>
                <w:highlight w:val="none"/>
              </w:rPr>
            </w:pPr>
            <w:r>
              <w:rPr>
                <w:spacing w:val="-1"/>
                <w:sz w:val="21"/>
                <w:szCs w:val="21"/>
                <w:highlight w:val="none"/>
              </w:rPr>
              <w:t>保险要求</w:t>
            </w:r>
          </w:p>
        </w:tc>
        <w:tc>
          <w:tcPr>
            <w:tcW w:w="5401" w:type="dxa"/>
            <w:tcBorders>
              <w:right w:val="single" w:color="000000" w:sz="2" w:space="0"/>
            </w:tcBorders>
          </w:tcPr>
          <w:p w14:paraId="026A9738">
            <w:pPr>
              <w:pStyle w:val="173"/>
              <w:spacing w:before="231" w:line="221" w:lineRule="auto"/>
              <w:ind w:left="112"/>
              <w:rPr>
                <w:sz w:val="21"/>
                <w:szCs w:val="21"/>
                <w:highlight w:val="none"/>
              </w:rPr>
            </w:pPr>
            <w:r>
              <w:rPr>
                <w:sz w:val="21"/>
                <w:szCs w:val="21"/>
                <w:highlight w:val="none"/>
              </w:rPr>
              <w:t>无</w:t>
            </w:r>
          </w:p>
        </w:tc>
      </w:tr>
      <w:tr w14:paraId="3AE3C1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9" w:hRule="atLeast"/>
        </w:trPr>
        <w:tc>
          <w:tcPr>
            <w:tcW w:w="1620" w:type="dxa"/>
            <w:tcBorders>
              <w:left w:val="single" w:color="000000" w:sz="2" w:space="0"/>
            </w:tcBorders>
          </w:tcPr>
          <w:p w14:paraId="0015E95F">
            <w:pPr>
              <w:pStyle w:val="173"/>
              <w:spacing w:before="120" w:line="221" w:lineRule="auto"/>
              <w:ind w:left="502"/>
              <w:rPr>
                <w:sz w:val="21"/>
                <w:szCs w:val="21"/>
                <w:highlight w:val="none"/>
              </w:rPr>
            </w:pPr>
            <w:r>
              <w:rPr>
                <w:spacing w:val="-2"/>
                <w:sz w:val="21"/>
                <w:szCs w:val="21"/>
                <w:highlight w:val="none"/>
              </w:rPr>
              <w:t>第二节</w:t>
            </w:r>
          </w:p>
          <w:p w14:paraId="118566C5">
            <w:pPr>
              <w:pStyle w:val="173"/>
              <w:spacing w:before="17" w:line="221" w:lineRule="auto"/>
              <w:ind w:left="161"/>
              <w:rPr>
                <w:sz w:val="21"/>
                <w:szCs w:val="21"/>
                <w:highlight w:val="none"/>
              </w:rPr>
            </w:pPr>
            <w:r>
              <w:rPr>
                <w:spacing w:val="-3"/>
                <w:sz w:val="21"/>
                <w:szCs w:val="21"/>
                <w:highlight w:val="none"/>
              </w:rPr>
              <w:t>第</w:t>
            </w:r>
            <w:r>
              <w:rPr>
                <w:spacing w:val="-40"/>
                <w:sz w:val="21"/>
                <w:szCs w:val="21"/>
                <w:highlight w:val="none"/>
              </w:rPr>
              <w:t xml:space="preserve"> </w:t>
            </w:r>
            <w:r>
              <w:rPr>
                <w:spacing w:val="-3"/>
                <w:sz w:val="21"/>
                <w:szCs w:val="21"/>
                <w:highlight w:val="none"/>
              </w:rPr>
              <w:t>8.2（1）项</w:t>
            </w:r>
          </w:p>
        </w:tc>
        <w:tc>
          <w:tcPr>
            <w:tcW w:w="1526" w:type="dxa"/>
          </w:tcPr>
          <w:p w14:paraId="7535B45B">
            <w:pPr>
              <w:pStyle w:val="173"/>
              <w:spacing w:before="256" w:line="221" w:lineRule="auto"/>
              <w:ind w:left="110"/>
              <w:rPr>
                <w:sz w:val="21"/>
                <w:szCs w:val="21"/>
                <w:highlight w:val="none"/>
              </w:rPr>
            </w:pPr>
            <w:r>
              <w:rPr>
                <w:spacing w:val="-1"/>
                <w:sz w:val="21"/>
                <w:szCs w:val="21"/>
                <w:highlight w:val="none"/>
              </w:rPr>
              <w:t>质量保证期</w:t>
            </w:r>
          </w:p>
        </w:tc>
        <w:tc>
          <w:tcPr>
            <w:tcW w:w="5401" w:type="dxa"/>
            <w:tcBorders>
              <w:right w:val="single" w:color="000000" w:sz="2" w:space="0"/>
            </w:tcBorders>
          </w:tcPr>
          <w:p w14:paraId="59A40691">
            <w:pPr>
              <w:pStyle w:val="173"/>
              <w:spacing w:before="255" w:line="221" w:lineRule="auto"/>
              <w:ind w:left="126"/>
              <w:rPr>
                <w:sz w:val="21"/>
                <w:szCs w:val="21"/>
                <w:highlight w:val="none"/>
                <w:lang w:eastAsia="zh-CN"/>
              </w:rPr>
            </w:pPr>
            <w:r>
              <w:rPr>
                <w:rFonts w:hint="eastAsia"/>
                <w:sz w:val="21"/>
                <w:szCs w:val="21"/>
                <w:highlight w:val="none"/>
                <w:lang w:val="en-US" w:eastAsia="zh-CN"/>
              </w:rPr>
              <w:t>1年</w:t>
            </w:r>
          </w:p>
        </w:tc>
      </w:tr>
      <w:tr w14:paraId="56BB2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8" w:hRule="atLeast"/>
        </w:trPr>
        <w:tc>
          <w:tcPr>
            <w:tcW w:w="1620" w:type="dxa"/>
            <w:tcBorders>
              <w:left w:val="single" w:color="000000" w:sz="2" w:space="0"/>
            </w:tcBorders>
          </w:tcPr>
          <w:p w14:paraId="0CACA824">
            <w:pPr>
              <w:pStyle w:val="173"/>
              <w:spacing w:before="120" w:line="221" w:lineRule="auto"/>
              <w:ind w:left="502"/>
              <w:rPr>
                <w:sz w:val="21"/>
                <w:szCs w:val="21"/>
                <w:highlight w:val="none"/>
              </w:rPr>
            </w:pPr>
            <w:r>
              <w:rPr>
                <w:spacing w:val="-2"/>
                <w:sz w:val="21"/>
                <w:szCs w:val="21"/>
                <w:highlight w:val="none"/>
              </w:rPr>
              <w:t>第二节</w:t>
            </w:r>
          </w:p>
          <w:p w14:paraId="37E85E2E">
            <w:pPr>
              <w:pStyle w:val="173"/>
              <w:spacing w:before="22" w:line="221" w:lineRule="auto"/>
              <w:ind w:left="161"/>
              <w:rPr>
                <w:sz w:val="21"/>
                <w:szCs w:val="21"/>
                <w:highlight w:val="none"/>
              </w:rPr>
            </w:pPr>
            <w:r>
              <w:rPr>
                <w:spacing w:val="-3"/>
                <w:sz w:val="21"/>
                <w:szCs w:val="21"/>
                <w:highlight w:val="none"/>
              </w:rPr>
              <w:t>第</w:t>
            </w:r>
            <w:r>
              <w:rPr>
                <w:spacing w:val="-40"/>
                <w:sz w:val="21"/>
                <w:szCs w:val="21"/>
                <w:highlight w:val="none"/>
              </w:rPr>
              <w:t xml:space="preserve"> </w:t>
            </w:r>
            <w:r>
              <w:rPr>
                <w:spacing w:val="-3"/>
                <w:sz w:val="21"/>
                <w:szCs w:val="21"/>
                <w:highlight w:val="none"/>
              </w:rPr>
              <w:t>8.2（3）项</w:t>
            </w:r>
          </w:p>
        </w:tc>
        <w:tc>
          <w:tcPr>
            <w:tcW w:w="1526" w:type="dxa"/>
          </w:tcPr>
          <w:p w14:paraId="23DF043E">
            <w:pPr>
              <w:pStyle w:val="173"/>
              <w:spacing w:before="120" w:line="232" w:lineRule="auto"/>
              <w:ind w:left="119" w:right="152" w:hanging="5"/>
              <w:rPr>
                <w:sz w:val="21"/>
                <w:szCs w:val="21"/>
                <w:highlight w:val="none"/>
                <w:lang w:eastAsia="zh-CN"/>
              </w:rPr>
            </w:pPr>
            <w:r>
              <w:rPr>
                <w:spacing w:val="-2"/>
                <w:sz w:val="21"/>
                <w:szCs w:val="21"/>
                <w:highlight w:val="none"/>
                <w:lang w:eastAsia="zh-CN"/>
              </w:rPr>
              <w:t>货物质量缺陷</w:t>
            </w:r>
            <w:r>
              <w:rPr>
                <w:sz w:val="21"/>
                <w:szCs w:val="21"/>
                <w:highlight w:val="none"/>
                <w:lang w:eastAsia="zh-CN"/>
              </w:rPr>
              <w:t xml:space="preserve"> </w:t>
            </w:r>
            <w:r>
              <w:rPr>
                <w:spacing w:val="-3"/>
                <w:sz w:val="21"/>
                <w:szCs w:val="21"/>
                <w:highlight w:val="none"/>
                <w:lang w:eastAsia="zh-CN"/>
              </w:rPr>
              <w:t>响应时间</w:t>
            </w:r>
          </w:p>
        </w:tc>
        <w:tc>
          <w:tcPr>
            <w:tcW w:w="5401" w:type="dxa"/>
            <w:tcBorders>
              <w:right w:val="single" w:color="000000" w:sz="2" w:space="0"/>
            </w:tcBorders>
          </w:tcPr>
          <w:p w14:paraId="0235941E">
            <w:pPr>
              <w:pStyle w:val="173"/>
              <w:spacing w:before="255" w:line="221" w:lineRule="auto"/>
              <w:ind w:left="115"/>
              <w:rPr>
                <w:sz w:val="21"/>
                <w:szCs w:val="21"/>
                <w:highlight w:val="none"/>
                <w:lang w:eastAsia="zh-CN"/>
              </w:rPr>
            </w:pPr>
          </w:p>
        </w:tc>
      </w:tr>
      <w:tr w14:paraId="7340D2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1620" w:type="dxa"/>
            <w:tcBorders>
              <w:left w:val="single" w:color="000000" w:sz="2" w:space="0"/>
            </w:tcBorders>
          </w:tcPr>
          <w:p w14:paraId="3C7D529D">
            <w:pPr>
              <w:pStyle w:val="173"/>
              <w:spacing w:before="58" w:line="290" w:lineRule="auto"/>
              <w:ind w:left="378" w:right="359" w:firstLine="124"/>
              <w:rPr>
                <w:highlight w:val="none"/>
              </w:rPr>
            </w:pPr>
            <w:r>
              <w:rPr>
                <w:spacing w:val="-2"/>
                <w:sz w:val="21"/>
                <w:szCs w:val="21"/>
                <w:highlight w:val="none"/>
              </w:rPr>
              <w:t>第二节</w:t>
            </w:r>
            <w:r>
              <w:rPr>
                <w:sz w:val="21"/>
                <w:szCs w:val="21"/>
                <w:highlight w:val="none"/>
              </w:rPr>
              <w:t xml:space="preserve">  </w:t>
            </w:r>
            <w:r>
              <w:rPr>
                <w:spacing w:val="-1"/>
                <w:highlight w:val="none"/>
              </w:rPr>
              <w:t>第11.1款</w:t>
            </w:r>
          </w:p>
        </w:tc>
        <w:tc>
          <w:tcPr>
            <w:tcW w:w="1526" w:type="dxa"/>
          </w:tcPr>
          <w:p w14:paraId="49E431F7">
            <w:pPr>
              <w:pStyle w:val="173"/>
              <w:spacing w:before="121" w:line="231" w:lineRule="auto"/>
              <w:ind w:left="126" w:right="99" w:hanging="16"/>
              <w:rPr>
                <w:sz w:val="21"/>
                <w:szCs w:val="21"/>
                <w:highlight w:val="none"/>
              </w:rPr>
            </w:pPr>
            <w:r>
              <w:rPr>
                <w:spacing w:val="7"/>
                <w:sz w:val="21"/>
                <w:szCs w:val="21"/>
                <w:highlight w:val="none"/>
              </w:rPr>
              <w:t>其他应当保密</w:t>
            </w:r>
            <w:r>
              <w:rPr>
                <w:spacing w:val="-5"/>
                <w:sz w:val="21"/>
                <w:szCs w:val="21"/>
                <w:highlight w:val="none"/>
              </w:rPr>
              <w:t>的信息</w:t>
            </w:r>
          </w:p>
        </w:tc>
        <w:tc>
          <w:tcPr>
            <w:tcW w:w="5401" w:type="dxa"/>
            <w:tcBorders>
              <w:right w:val="single" w:color="000000" w:sz="2" w:space="0"/>
            </w:tcBorders>
          </w:tcPr>
          <w:p w14:paraId="55DDA1F5">
            <w:pPr>
              <w:pStyle w:val="173"/>
              <w:spacing w:before="262" w:line="221" w:lineRule="auto"/>
              <w:ind w:left="112"/>
              <w:rPr>
                <w:sz w:val="21"/>
                <w:szCs w:val="21"/>
                <w:highlight w:val="none"/>
              </w:rPr>
            </w:pPr>
            <w:r>
              <w:rPr>
                <w:sz w:val="21"/>
                <w:szCs w:val="21"/>
                <w:highlight w:val="none"/>
              </w:rPr>
              <w:t>无</w:t>
            </w:r>
          </w:p>
        </w:tc>
      </w:tr>
      <w:tr w14:paraId="1CFF70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0" w:hRule="atLeast"/>
        </w:trPr>
        <w:tc>
          <w:tcPr>
            <w:tcW w:w="1620" w:type="dxa"/>
            <w:tcBorders>
              <w:left w:val="single" w:color="000000" w:sz="2" w:space="0"/>
            </w:tcBorders>
          </w:tcPr>
          <w:p w14:paraId="7BAB41B6">
            <w:pPr>
              <w:pStyle w:val="173"/>
              <w:spacing w:before="159" w:line="231" w:lineRule="auto"/>
              <w:ind w:left="344" w:right="325" w:firstLine="158"/>
              <w:rPr>
                <w:sz w:val="21"/>
                <w:szCs w:val="21"/>
                <w:highlight w:val="none"/>
              </w:rPr>
            </w:pPr>
            <w:r>
              <w:rPr>
                <w:spacing w:val="-2"/>
                <w:sz w:val="21"/>
                <w:szCs w:val="21"/>
                <w:highlight w:val="none"/>
              </w:rPr>
              <w:t>第二节</w:t>
            </w:r>
            <w:r>
              <w:rPr>
                <w:sz w:val="21"/>
                <w:szCs w:val="21"/>
                <w:highlight w:val="none"/>
              </w:rPr>
              <w:t xml:space="preserve">  </w:t>
            </w:r>
            <w:r>
              <w:rPr>
                <w:spacing w:val="-7"/>
                <w:sz w:val="21"/>
                <w:szCs w:val="21"/>
                <w:highlight w:val="none"/>
              </w:rPr>
              <w:t>第</w:t>
            </w:r>
            <w:r>
              <w:rPr>
                <w:spacing w:val="-24"/>
                <w:sz w:val="21"/>
                <w:szCs w:val="21"/>
                <w:highlight w:val="none"/>
              </w:rPr>
              <w:t xml:space="preserve"> </w:t>
            </w:r>
            <w:r>
              <w:rPr>
                <w:spacing w:val="-7"/>
                <w:sz w:val="21"/>
                <w:szCs w:val="21"/>
                <w:highlight w:val="none"/>
              </w:rPr>
              <w:t>12.2</w:t>
            </w:r>
            <w:r>
              <w:rPr>
                <w:spacing w:val="-43"/>
                <w:sz w:val="21"/>
                <w:szCs w:val="21"/>
                <w:highlight w:val="none"/>
              </w:rPr>
              <w:t xml:space="preserve"> </w:t>
            </w:r>
            <w:r>
              <w:rPr>
                <w:spacing w:val="-7"/>
                <w:sz w:val="21"/>
                <w:szCs w:val="21"/>
                <w:highlight w:val="none"/>
              </w:rPr>
              <w:t>款</w:t>
            </w:r>
          </w:p>
        </w:tc>
        <w:tc>
          <w:tcPr>
            <w:tcW w:w="1526" w:type="dxa"/>
          </w:tcPr>
          <w:p w14:paraId="4770F1EB">
            <w:pPr>
              <w:pStyle w:val="173"/>
              <w:spacing w:before="159" w:line="232" w:lineRule="auto"/>
              <w:ind w:left="119" w:right="152" w:hanging="9"/>
              <w:rPr>
                <w:sz w:val="21"/>
                <w:szCs w:val="21"/>
                <w:highlight w:val="none"/>
              </w:rPr>
            </w:pPr>
            <w:r>
              <w:rPr>
                <w:spacing w:val="-2"/>
                <w:sz w:val="21"/>
                <w:szCs w:val="21"/>
                <w:highlight w:val="none"/>
              </w:rPr>
              <w:t>合同价款支付</w:t>
            </w:r>
            <w:r>
              <w:rPr>
                <w:spacing w:val="4"/>
                <w:sz w:val="21"/>
                <w:szCs w:val="21"/>
                <w:highlight w:val="none"/>
              </w:rPr>
              <w:t xml:space="preserve"> </w:t>
            </w:r>
            <w:r>
              <w:rPr>
                <w:spacing w:val="-4"/>
                <w:sz w:val="21"/>
                <w:szCs w:val="21"/>
                <w:highlight w:val="none"/>
              </w:rPr>
              <w:t>时间</w:t>
            </w:r>
          </w:p>
        </w:tc>
        <w:tc>
          <w:tcPr>
            <w:tcW w:w="5401" w:type="dxa"/>
            <w:tcBorders>
              <w:right w:val="single" w:color="000000" w:sz="2" w:space="0"/>
            </w:tcBorders>
          </w:tcPr>
          <w:p w14:paraId="204199D4">
            <w:pPr>
              <w:pStyle w:val="173"/>
              <w:spacing w:before="25" w:line="230" w:lineRule="auto"/>
              <w:ind w:right="71"/>
              <w:rPr>
                <w:sz w:val="21"/>
                <w:szCs w:val="21"/>
                <w:highlight w:val="none"/>
                <w:lang w:eastAsia="zh-CN"/>
              </w:rPr>
            </w:pPr>
            <w:r>
              <w:rPr>
                <w:rFonts w:hint="eastAsia"/>
                <w:sz w:val="21"/>
                <w:szCs w:val="21"/>
                <w:highlight w:val="none"/>
                <w:lang w:eastAsia="zh-CN"/>
              </w:rPr>
              <w:t>详见采购需求</w:t>
            </w:r>
          </w:p>
        </w:tc>
      </w:tr>
      <w:tr w14:paraId="187375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5" w:hRule="atLeast"/>
        </w:trPr>
        <w:tc>
          <w:tcPr>
            <w:tcW w:w="1620" w:type="dxa"/>
            <w:tcBorders>
              <w:left w:val="single" w:color="000000" w:sz="2" w:space="0"/>
            </w:tcBorders>
          </w:tcPr>
          <w:p w14:paraId="1BB10420">
            <w:pPr>
              <w:pStyle w:val="173"/>
              <w:spacing w:before="102" w:line="231" w:lineRule="auto"/>
              <w:ind w:left="344" w:right="325" w:firstLine="158"/>
              <w:rPr>
                <w:sz w:val="21"/>
                <w:szCs w:val="21"/>
                <w:highlight w:val="none"/>
              </w:rPr>
            </w:pPr>
            <w:r>
              <w:rPr>
                <w:spacing w:val="-2"/>
                <w:sz w:val="21"/>
                <w:szCs w:val="21"/>
                <w:highlight w:val="none"/>
              </w:rPr>
              <w:t>第二节</w:t>
            </w:r>
            <w:r>
              <w:rPr>
                <w:sz w:val="21"/>
                <w:szCs w:val="21"/>
                <w:highlight w:val="none"/>
              </w:rPr>
              <w:t xml:space="preserve">  </w:t>
            </w:r>
            <w:r>
              <w:rPr>
                <w:spacing w:val="-7"/>
                <w:sz w:val="21"/>
                <w:szCs w:val="21"/>
                <w:highlight w:val="none"/>
              </w:rPr>
              <w:t>第</w:t>
            </w:r>
            <w:r>
              <w:rPr>
                <w:spacing w:val="-24"/>
                <w:sz w:val="21"/>
                <w:szCs w:val="21"/>
                <w:highlight w:val="none"/>
              </w:rPr>
              <w:t xml:space="preserve"> </w:t>
            </w:r>
            <w:r>
              <w:rPr>
                <w:spacing w:val="-7"/>
                <w:sz w:val="21"/>
                <w:szCs w:val="21"/>
                <w:highlight w:val="none"/>
              </w:rPr>
              <w:t>13.2</w:t>
            </w:r>
            <w:r>
              <w:rPr>
                <w:spacing w:val="-43"/>
                <w:sz w:val="21"/>
                <w:szCs w:val="21"/>
                <w:highlight w:val="none"/>
              </w:rPr>
              <w:t xml:space="preserve"> </w:t>
            </w:r>
            <w:r>
              <w:rPr>
                <w:spacing w:val="-7"/>
                <w:sz w:val="21"/>
                <w:szCs w:val="21"/>
                <w:highlight w:val="none"/>
              </w:rPr>
              <w:t>款</w:t>
            </w:r>
          </w:p>
        </w:tc>
        <w:tc>
          <w:tcPr>
            <w:tcW w:w="1526" w:type="dxa"/>
          </w:tcPr>
          <w:p w14:paraId="2E7D1172">
            <w:pPr>
              <w:pStyle w:val="173"/>
              <w:spacing w:before="103" w:line="231" w:lineRule="auto"/>
              <w:ind w:left="116" w:right="152" w:hanging="3"/>
              <w:rPr>
                <w:sz w:val="21"/>
                <w:szCs w:val="21"/>
                <w:highlight w:val="none"/>
                <w:lang w:eastAsia="zh-CN"/>
              </w:rPr>
            </w:pPr>
            <w:r>
              <w:rPr>
                <w:spacing w:val="-2"/>
                <w:sz w:val="21"/>
                <w:szCs w:val="21"/>
                <w:highlight w:val="none"/>
                <w:lang w:eastAsia="zh-CN"/>
              </w:rPr>
              <w:t>履约保证金不</w:t>
            </w:r>
            <w:r>
              <w:rPr>
                <w:spacing w:val="1"/>
                <w:sz w:val="21"/>
                <w:szCs w:val="21"/>
                <w:highlight w:val="none"/>
                <w:lang w:eastAsia="zh-CN"/>
              </w:rPr>
              <w:t xml:space="preserve"> </w:t>
            </w:r>
            <w:r>
              <w:rPr>
                <w:spacing w:val="-3"/>
                <w:sz w:val="21"/>
                <w:szCs w:val="21"/>
                <w:highlight w:val="none"/>
                <w:lang w:eastAsia="zh-CN"/>
              </w:rPr>
              <w:t>予退还的情形</w:t>
            </w:r>
          </w:p>
        </w:tc>
        <w:tc>
          <w:tcPr>
            <w:tcW w:w="5401" w:type="dxa"/>
            <w:tcBorders>
              <w:right w:val="single" w:color="000000" w:sz="2" w:space="0"/>
            </w:tcBorders>
          </w:tcPr>
          <w:p w14:paraId="52949653">
            <w:pPr>
              <w:pStyle w:val="173"/>
              <w:spacing w:before="242" w:line="221" w:lineRule="auto"/>
              <w:ind w:left="112"/>
              <w:rPr>
                <w:sz w:val="21"/>
                <w:szCs w:val="21"/>
                <w:highlight w:val="none"/>
                <w:lang w:eastAsia="zh-CN"/>
              </w:rPr>
            </w:pPr>
          </w:p>
        </w:tc>
      </w:tr>
      <w:tr w14:paraId="60071A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0" w:hRule="atLeast"/>
        </w:trPr>
        <w:tc>
          <w:tcPr>
            <w:tcW w:w="1620" w:type="dxa"/>
            <w:tcBorders>
              <w:left w:val="single" w:color="000000" w:sz="2" w:space="0"/>
            </w:tcBorders>
          </w:tcPr>
          <w:p w14:paraId="76BDBB0F">
            <w:pPr>
              <w:pStyle w:val="173"/>
              <w:spacing w:before="160" w:line="231" w:lineRule="auto"/>
              <w:ind w:left="344" w:right="325" w:firstLine="158"/>
              <w:rPr>
                <w:sz w:val="21"/>
                <w:szCs w:val="21"/>
                <w:highlight w:val="none"/>
              </w:rPr>
            </w:pPr>
            <w:r>
              <w:rPr>
                <w:spacing w:val="-2"/>
                <w:sz w:val="21"/>
                <w:szCs w:val="21"/>
                <w:highlight w:val="none"/>
              </w:rPr>
              <w:t>第二节</w:t>
            </w:r>
            <w:r>
              <w:rPr>
                <w:sz w:val="21"/>
                <w:szCs w:val="21"/>
                <w:highlight w:val="none"/>
              </w:rPr>
              <w:t xml:space="preserve">  </w:t>
            </w:r>
            <w:r>
              <w:rPr>
                <w:spacing w:val="-7"/>
                <w:sz w:val="21"/>
                <w:szCs w:val="21"/>
                <w:highlight w:val="none"/>
              </w:rPr>
              <w:t>第</w:t>
            </w:r>
            <w:r>
              <w:rPr>
                <w:spacing w:val="-24"/>
                <w:sz w:val="21"/>
                <w:szCs w:val="21"/>
                <w:highlight w:val="none"/>
              </w:rPr>
              <w:t xml:space="preserve"> </w:t>
            </w:r>
            <w:r>
              <w:rPr>
                <w:spacing w:val="-7"/>
                <w:sz w:val="21"/>
                <w:szCs w:val="21"/>
                <w:highlight w:val="none"/>
              </w:rPr>
              <w:t>13.3</w:t>
            </w:r>
            <w:r>
              <w:rPr>
                <w:spacing w:val="-43"/>
                <w:sz w:val="21"/>
                <w:szCs w:val="21"/>
                <w:highlight w:val="none"/>
              </w:rPr>
              <w:t xml:space="preserve"> </w:t>
            </w:r>
            <w:r>
              <w:rPr>
                <w:spacing w:val="-7"/>
                <w:sz w:val="21"/>
                <w:szCs w:val="21"/>
                <w:highlight w:val="none"/>
              </w:rPr>
              <w:t>款</w:t>
            </w:r>
          </w:p>
        </w:tc>
        <w:tc>
          <w:tcPr>
            <w:tcW w:w="1526" w:type="dxa"/>
          </w:tcPr>
          <w:p w14:paraId="185553D6">
            <w:pPr>
              <w:pStyle w:val="173"/>
              <w:spacing w:before="28" w:line="229" w:lineRule="auto"/>
              <w:ind w:left="108" w:right="152" w:firstLine="4"/>
              <w:rPr>
                <w:sz w:val="21"/>
                <w:szCs w:val="21"/>
                <w:highlight w:val="none"/>
                <w:lang w:eastAsia="zh-CN"/>
              </w:rPr>
            </w:pPr>
            <w:r>
              <w:rPr>
                <w:spacing w:val="-2"/>
                <w:sz w:val="21"/>
                <w:szCs w:val="21"/>
                <w:highlight w:val="none"/>
                <w:lang w:eastAsia="zh-CN"/>
              </w:rPr>
              <w:t>履约保证金退</w:t>
            </w:r>
            <w:r>
              <w:rPr>
                <w:spacing w:val="1"/>
                <w:sz w:val="21"/>
                <w:szCs w:val="21"/>
                <w:highlight w:val="none"/>
                <w:lang w:eastAsia="zh-CN"/>
              </w:rPr>
              <w:t xml:space="preserve"> </w:t>
            </w:r>
            <w:r>
              <w:rPr>
                <w:spacing w:val="-1"/>
                <w:sz w:val="21"/>
                <w:szCs w:val="21"/>
                <w:highlight w:val="none"/>
                <w:lang w:eastAsia="zh-CN"/>
              </w:rPr>
              <w:t>还时间及逾期</w:t>
            </w:r>
            <w:r>
              <w:rPr>
                <w:sz w:val="21"/>
                <w:szCs w:val="21"/>
                <w:highlight w:val="none"/>
                <w:lang w:eastAsia="zh-CN"/>
              </w:rPr>
              <w:t xml:space="preserve"> </w:t>
            </w:r>
            <w:r>
              <w:rPr>
                <w:spacing w:val="-1"/>
                <w:sz w:val="21"/>
                <w:szCs w:val="21"/>
                <w:highlight w:val="none"/>
                <w:lang w:eastAsia="zh-CN"/>
              </w:rPr>
              <w:t>退还的违约金</w:t>
            </w:r>
          </w:p>
        </w:tc>
        <w:tc>
          <w:tcPr>
            <w:tcW w:w="5401" w:type="dxa"/>
            <w:tcBorders>
              <w:right w:val="single" w:color="000000" w:sz="2" w:space="0"/>
            </w:tcBorders>
          </w:tcPr>
          <w:p w14:paraId="551B6A91">
            <w:pPr>
              <w:pStyle w:val="173"/>
              <w:spacing w:before="296" w:line="221" w:lineRule="auto"/>
              <w:ind w:left="112"/>
              <w:rPr>
                <w:sz w:val="21"/>
                <w:szCs w:val="21"/>
                <w:highlight w:val="none"/>
              </w:rPr>
            </w:pPr>
            <w:r>
              <w:rPr>
                <w:sz w:val="21"/>
                <w:szCs w:val="21"/>
                <w:highlight w:val="none"/>
              </w:rPr>
              <w:t>无</w:t>
            </w:r>
          </w:p>
        </w:tc>
      </w:tr>
      <w:tr w14:paraId="14A0F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3" w:hRule="atLeast"/>
        </w:trPr>
        <w:tc>
          <w:tcPr>
            <w:tcW w:w="1620" w:type="dxa"/>
            <w:tcBorders>
              <w:left w:val="single" w:color="000000" w:sz="2" w:space="0"/>
              <w:bottom w:val="single" w:color="000000" w:sz="2" w:space="0"/>
            </w:tcBorders>
          </w:tcPr>
          <w:p w14:paraId="389AFF4C">
            <w:pPr>
              <w:pStyle w:val="173"/>
              <w:spacing w:before="147" w:line="221" w:lineRule="auto"/>
              <w:ind w:left="502"/>
              <w:rPr>
                <w:sz w:val="21"/>
                <w:szCs w:val="21"/>
                <w:highlight w:val="none"/>
              </w:rPr>
            </w:pPr>
            <w:r>
              <w:rPr>
                <w:spacing w:val="-2"/>
                <w:sz w:val="21"/>
                <w:szCs w:val="21"/>
                <w:highlight w:val="none"/>
              </w:rPr>
              <w:t>第二节</w:t>
            </w:r>
          </w:p>
          <w:p w14:paraId="1079FEA6">
            <w:pPr>
              <w:pStyle w:val="173"/>
              <w:spacing w:before="22" w:line="221" w:lineRule="auto"/>
              <w:ind w:left="123"/>
              <w:rPr>
                <w:sz w:val="21"/>
                <w:szCs w:val="21"/>
                <w:highlight w:val="none"/>
              </w:rPr>
            </w:pPr>
            <w:r>
              <w:rPr>
                <w:spacing w:val="-6"/>
                <w:sz w:val="21"/>
                <w:szCs w:val="21"/>
                <w:highlight w:val="none"/>
              </w:rPr>
              <w:t>第</w:t>
            </w:r>
            <w:r>
              <w:rPr>
                <w:spacing w:val="-28"/>
                <w:sz w:val="21"/>
                <w:szCs w:val="21"/>
                <w:highlight w:val="none"/>
              </w:rPr>
              <w:t xml:space="preserve"> </w:t>
            </w:r>
            <w:r>
              <w:rPr>
                <w:spacing w:val="-6"/>
                <w:sz w:val="21"/>
                <w:szCs w:val="21"/>
                <w:highlight w:val="none"/>
              </w:rPr>
              <w:t>14.1（3）项</w:t>
            </w:r>
          </w:p>
        </w:tc>
        <w:tc>
          <w:tcPr>
            <w:tcW w:w="1526" w:type="dxa"/>
            <w:tcBorders>
              <w:bottom w:val="single" w:color="000000" w:sz="2" w:space="0"/>
            </w:tcBorders>
          </w:tcPr>
          <w:p w14:paraId="04056F83">
            <w:pPr>
              <w:pStyle w:val="173"/>
              <w:spacing w:before="146" w:line="231" w:lineRule="auto"/>
              <w:ind w:left="109" w:right="152"/>
              <w:rPr>
                <w:sz w:val="21"/>
                <w:szCs w:val="21"/>
                <w:highlight w:val="none"/>
              </w:rPr>
            </w:pPr>
            <w:r>
              <w:rPr>
                <w:spacing w:val="-1"/>
                <w:sz w:val="21"/>
                <w:szCs w:val="21"/>
                <w:highlight w:val="none"/>
              </w:rPr>
              <w:t>运行监督、维</w:t>
            </w:r>
            <w:r>
              <w:rPr>
                <w:sz w:val="21"/>
                <w:szCs w:val="21"/>
                <w:highlight w:val="none"/>
              </w:rPr>
              <w:t xml:space="preserve"> </w:t>
            </w:r>
            <w:r>
              <w:rPr>
                <w:spacing w:val="-2"/>
                <w:sz w:val="21"/>
                <w:szCs w:val="21"/>
                <w:highlight w:val="none"/>
              </w:rPr>
              <w:t>修期限</w:t>
            </w:r>
          </w:p>
        </w:tc>
        <w:tc>
          <w:tcPr>
            <w:tcW w:w="5401" w:type="dxa"/>
            <w:tcBorders>
              <w:bottom w:val="single" w:color="000000" w:sz="2" w:space="0"/>
              <w:right w:val="single" w:color="000000" w:sz="2" w:space="0"/>
            </w:tcBorders>
          </w:tcPr>
          <w:p w14:paraId="4E8C6523">
            <w:pPr>
              <w:pStyle w:val="173"/>
              <w:spacing w:before="281" w:line="221" w:lineRule="auto"/>
              <w:ind w:left="115"/>
              <w:rPr>
                <w:sz w:val="21"/>
                <w:szCs w:val="21"/>
                <w:highlight w:val="none"/>
              </w:rPr>
            </w:pPr>
          </w:p>
        </w:tc>
      </w:tr>
    </w:tbl>
    <w:p w14:paraId="065B530A">
      <w:pPr>
        <w:pStyle w:val="4"/>
        <w:rPr>
          <w:highlight w:val="none"/>
        </w:rPr>
      </w:pPr>
    </w:p>
    <w:p w14:paraId="49A7F492">
      <w:pPr>
        <w:rPr>
          <w:highlight w:val="none"/>
        </w:rPr>
        <w:sectPr>
          <w:headerReference r:id="rId8" w:type="default"/>
          <w:footerReference r:id="rId9" w:type="default"/>
          <w:pgSz w:w="11905" w:h="16839"/>
          <w:pgMar w:top="1387" w:right="1738" w:bottom="1362" w:left="1613" w:header="0" w:footer="1200" w:gutter="0"/>
          <w:pgBorders>
            <w:top w:val="none" w:sz="0" w:space="0"/>
            <w:left w:val="none" w:sz="0" w:space="0"/>
            <w:bottom w:val="none" w:sz="0" w:space="0"/>
            <w:right w:val="none" w:sz="0" w:space="0"/>
          </w:pgBorders>
          <w:cols w:space="720" w:num="1"/>
        </w:sectPr>
      </w:pPr>
    </w:p>
    <w:tbl>
      <w:tblPr>
        <w:tblStyle w:val="174"/>
        <w:tblW w:w="8547"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20"/>
        <w:gridCol w:w="1526"/>
        <w:gridCol w:w="5401"/>
      </w:tblGrid>
      <w:tr w14:paraId="6A620E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4" w:hRule="atLeast"/>
        </w:trPr>
        <w:tc>
          <w:tcPr>
            <w:tcW w:w="1620" w:type="dxa"/>
            <w:tcBorders>
              <w:top w:val="single" w:color="000000" w:sz="2" w:space="0"/>
              <w:left w:val="single" w:color="000000" w:sz="2" w:space="0"/>
            </w:tcBorders>
          </w:tcPr>
          <w:p w14:paraId="7A43757E">
            <w:pPr>
              <w:pStyle w:val="173"/>
              <w:spacing w:before="168" w:line="221" w:lineRule="auto"/>
              <w:ind w:left="502"/>
              <w:rPr>
                <w:sz w:val="21"/>
                <w:szCs w:val="21"/>
                <w:highlight w:val="none"/>
              </w:rPr>
            </w:pPr>
            <w:r>
              <w:rPr>
                <w:spacing w:val="-2"/>
                <w:sz w:val="21"/>
                <w:szCs w:val="21"/>
                <w:highlight w:val="none"/>
              </w:rPr>
              <w:t>第二节</w:t>
            </w:r>
          </w:p>
          <w:p w14:paraId="6B849C74">
            <w:pPr>
              <w:pStyle w:val="173"/>
              <w:spacing w:before="22" w:line="221" w:lineRule="auto"/>
              <w:ind w:left="123"/>
              <w:rPr>
                <w:sz w:val="21"/>
                <w:szCs w:val="21"/>
                <w:highlight w:val="none"/>
              </w:rPr>
            </w:pPr>
            <w:r>
              <w:rPr>
                <w:spacing w:val="-6"/>
                <w:sz w:val="21"/>
                <w:szCs w:val="21"/>
                <w:highlight w:val="none"/>
              </w:rPr>
              <w:t>第</w:t>
            </w:r>
            <w:r>
              <w:rPr>
                <w:spacing w:val="-28"/>
                <w:sz w:val="21"/>
                <w:szCs w:val="21"/>
                <w:highlight w:val="none"/>
              </w:rPr>
              <w:t xml:space="preserve"> </w:t>
            </w:r>
            <w:r>
              <w:rPr>
                <w:spacing w:val="-6"/>
                <w:sz w:val="21"/>
                <w:szCs w:val="21"/>
                <w:highlight w:val="none"/>
              </w:rPr>
              <w:t>14.1（5）项</w:t>
            </w:r>
          </w:p>
        </w:tc>
        <w:tc>
          <w:tcPr>
            <w:tcW w:w="1526" w:type="dxa"/>
            <w:tcBorders>
              <w:top w:val="single" w:color="000000" w:sz="2" w:space="0"/>
            </w:tcBorders>
          </w:tcPr>
          <w:p w14:paraId="213A5947">
            <w:pPr>
              <w:pStyle w:val="173"/>
              <w:spacing w:before="168" w:line="231" w:lineRule="auto"/>
              <w:ind w:left="114" w:right="152"/>
              <w:rPr>
                <w:sz w:val="21"/>
                <w:szCs w:val="21"/>
                <w:highlight w:val="none"/>
              </w:rPr>
            </w:pPr>
            <w:r>
              <w:rPr>
                <w:spacing w:val="-2"/>
                <w:sz w:val="21"/>
                <w:szCs w:val="21"/>
                <w:highlight w:val="none"/>
              </w:rPr>
              <w:t>货物回收的约</w:t>
            </w:r>
            <w:r>
              <w:rPr>
                <w:sz w:val="21"/>
                <w:szCs w:val="21"/>
                <w:highlight w:val="none"/>
              </w:rPr>
              <w:t xml:space="preserve"> 定</w:t>
            </w:r>
          </w:p>
        </w:tc>
        <w:tc>
          <w:tcPr>
            <w:tcW w:w="5401" w:type="dxa"/>
            <w:tcBorders>
              <w:top w:val="single" w:color="000000" w:sz="2" w:space="0"/>
              <w:right w:val="single" w:color="000000" w:sz="2" w:space="0"/>
            </w:tcBorders>
          </w:tcPr>
          <w:p w14:paraId="780C32CF">
            <w:pPr>
              <w:pStyle w:val="173"/>
              <w:spacing w:before="303" w:line="221" w:lineRule="auto"/>
              <w:ind w:left="112"/>
              <w:rPr>
                <w:sz w:val="21"/>
                <w:szCs w:val="21"/>
                <w:highlight w:val="none"/>
              </w:rPr>
            </w:pPr>
            <w:r>
              <w:rPr>
                <w:sz w:val="21"/>
                <w:szCs w:val="21"/>
                <w:highlight w:val="none"/>
              </w:rPr>
              <w:t>无</w:t>
            </w:r>
          </w:p>
        </w:tc>
      </w:tr>
      <w:tr w14:paraId="403545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5" w:hRule="atLeast"/>
        </w:trPr>
        <w:tc>
          <w:tcPr>
            <w:tcW w:w="1620" w:type="dxa"/>
            <w:tcBorders>
              <w:left w:val="single" w:color="000000" w:sz="2" w:space="0"/>
            </w:tcBorders>
          </w:tcPr>
          <w:p w14:paraId="5450E485">
            <w:pPr>
              <w:pStyle w:val="173"/>
              <w:spacing w:before="117" w:line="221" w:lineRule="auto"/>
              <w:ind w:left="502"/>
              <w:rPr>
                <w:sz w:val="21"/>
                <w:szCs w:val="21"/>
                <w:highlight w:val="none"/>
              </w:rPr>
            </w:pPr>
            <w:r>
              <w:rPr>
                <w:spacing w:val="-2"/>
                <w:sz w:val="21"/>
                <w:szCs w:val="21"/>
                <w:highlight w:val="none"/>
              </w:rPr>
              <w:t>第二节</w:t>
            </w:r>
          </w:p>
          <w:p w14:paraId="5E74AC80">
            <w:pPr>
              <w:pStyle w:val="173"/>
              <w:spacing w:before="22" w:line="221" w:lineRule="auto"/>
              <w:ind w:left="123"/>
              <w:rPr>
                <w:sz w:val="21"/>
                <w:szCs w:val="21"/>
                <w:highlight w:val="none"/>
              </w:rPr>
            </w:pPr>
            <w:r>
              <w:rPr>
                <w:spacing w:val="-6"/>
                <w:sz w:val="21"/>
                <w:szCs w:val="21"/>
                <w:highlight w:val="none"/>
              </w:rPr>
              <w:t>第</w:t>
            </w:r>
            <w:r>
              <w:rPr>
                <w:spacing w:val="-28"/>
                <w:sz w:val="21"/>
                <w:szCs w:val="21"/>
                <w:highlight w:val="none"/>
              </w:rPr>
              <w:t xml:space="preserve"> </w:t>
            </w:r>
            <w:r>
              <w:rPr>
                <w:spacing w:val="-6"/>
                <w:sz w:val="21"/>
                <w:szCs w:val="21"/>
                <w:highlight w:val="none"/>
              </w:rPr>
              <w:t>14.1（6）项</w:t>
            </w:r>
          </w:p>
        </w:tc>
        <w:tc>
          <w:tcPr>
            <w:tcW w:w="1526" w:type="dxa"/>
          </w:tcPr>
          <w:p w14:paraId="0AEAADFC">
            <w:pPr>
              <w:pStyle w:val="173"/>
              <w:spacing w:before="117" w:line="231" w:lineRule="auto"/>
              <w:ind w:left="109" w:right="152" w:firstLine="20"/>
              <w:rPr>
                <w:sz w:val="21"/>
                <w:szCs w:val="21"/>
                <w:highlight w:val="none"/>
              </w:rPr>
            </w:pPr>
            <w:r>
              <w:rPr>
                <w:spacing w:val="-5"/>
                <w:sz w:val="21"/>
                <w:szCs w:val="21"/>
                <w:highlight w:val="none"/>
              </w:rPr>
              <w:t>乙方提供的其</w:t>
            </w:r>
            <w:r>
              <w:rPr>
                <w:spacing w:val="2"/>
                <w:sz w:val="21"/>
                <w:szCs w:val="21"/>
                <w:highlight w:val="none"/>
              </w:rPr>
              <w:t xml:space="preserve"> </w:t>
            </w:r>
            <w:r>
              <w:rPr>
                <w:spacing w:val="-2"/>
                <w:sz w:val="21"/>
                <w:szCs w:val="21"/>
                <w:highlight w:val="none"/>
              </w:rPr>
              <w:t>他服务</w:t>
            </w:r>
          </w:p>
        </w:tc>
        <w:tc>
          <w:tcPr>
            <w:tcW w:w="5401" w:type="dxa"/>
            <w:tcBorders>
              <w:right w:val="single" w:color="000000" w:sz="2" w:space="0"/>
            </w:tcBorders>
          </w:tcPr>
          <w:p w14:paraId="52035C92">
            <w:pPr>
              <w:pStyle w:val="173"/>
              <w:spacing w:before="257" w:line="221" w:lineRule="auto"/>
              <w:ind w:left="112"/>
              <w:rPr>
                <w:sz w:val="21"/>
                <w:szCs w:val="21"/>
                <w:highlight w:val="none"/>
              </w:rPr>
            </w:pPr>
            <w:r>
              <w:rPr>
                <w:sz w:val="21"/>
                <w:szCs w:val="21"/>
                <w:highlight w:val="none"/>
              </w:rPr>
              <w:t>无</w:t>
            </w:r>
          </w:p>
        </w:tc>
      </w:tr>
      <w:tr w14:paraId="22E63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1" w:hRule="atLeast"/>
        </w:trPr>
        <w:tc>
          <w:tcPr>
            <w:tcW w:w="1620" w:type="dxa"/>
            <w:tcBorders>
              <w:left w:val="single" w:color="000000" w:sz="2" w:space="0"/>
            </w:tcBorders>
          </w:tcPr>
          <w:p w14:paraId="29F452C1">
            <w:pPr>
              <w:pStyle w:val="173"/>
              <w:spacing w:before="154" w:line="231" w:lineRule="auto"/>
              <w:ind w:left="344" w:right="325" w:firstLine="158"/>
              <w:rPr>
                <w:sz w:val="21"/>
                <w:szCs w:val="21"/>
                <w:highlight w:val="none"/>
              </w:rPr>
            </w:pPr>
            <w:r>
              <w:rPr>
                <w:spacing w:val="-2"/>
                <w:sz w:val="21"/>
                <w:szCs w:val="21"/>
                <w:highlight w:val="none"/>
              </w:rPr>
              <w:t>第二节</w:t>
            </w:r>
            <w:r>
              <w:rPr>
                <w:sz w:val="21"/>
                <w:szCs w:val="21"/>
                <w:highlight w:val="none"/>
              </w:rPr>
              <w:t xml:space="preserve">  </w:t>
            </w:r>
            <w:r>
              <w:rPr>
                <w:spacing w:val="-7"/>
                <w:sz w:val="21"/>
                <w:szCs w:val="21"/>
                <w:highlight w:val="none"/>
              </w:rPr>
              <w:t>第</w:t>
            </w:r>
            <w:r>
              <w:rPr>
                <w:spacing w:val="-24"/>
                <w:sz w:val="21"/>
                <w:szCs w:val="21"/>
                <w:highlight w:val="none"/>
              </w:rPr>
              <w:t xml:space="preserve"> </w:t>
            </w:r>
            <w:r>
              <w:rPr>
                <w:spacing w:val="-7"/>
                <w:sz w:val="21"/>
                <w:szCs w:val="21"/>
                <w:highlight w:val="none"/>
              </w:rPr>
              <w:t>15.1</w:t>
            </w:r>
            <w:r>
              <w:rPr>
                <w:spacing w:val="-43"/>
                <w:sz w:val="21"/>
                <w:szCs w:val="21"/>
                <w:highlight w:val="none"/>
              </w:rPr>
              <w:t xml:space="preserve"> </w:t>
            </w:r>
            <w:r>
              <w:rPr>
                <w:spacing w:val="-7"/>
                <w:sz w:val="21"/>
                <w:szCs w:val="21"/>
                <w:highlight w:val="none"/>
              </w:rPr>
              <w:t>款</w:t>
            </w:r>
          </w:p>
        </w:tc>
        <w:tc>
          <w:tcPr>
            <w:tcW w:w="1526" w:type="dxa"/>
          </w:tcPr>
          <w:p w14:paraId="1AF781DE">
            <w:pPr>
              <w:pStyle w:val="173"/>
              <w:spacing w:before="19" w:line="232" w:lineRule="auto"/>
              <w:ind w:left="109" w:right="152"/>
              <w:rPr>
                <w:sz w:val="21"/>
                <w:szCs w:val="21"/>
                <w:highlight w:val="none"/>
                <w:lang w:eastAsia="zh-CN"/>
              </w:rPr>
            </w:pPr>
            <w:r>
              <w:rPr>
                <w:spacing w:val="-1"/>
                <w:sz w:val="21"/>
                <w:szCs w:val="21"/>
                <w:highlight w:val="none"/>
                <w:lang w:eastAsia="zh-CN"/>
              </w:rPr>
              <w:t>修理、重作、</w:t>
            </w:r>
            <w:r>
              <w:rPr>
                <w:sz w:val="21"/>
                <w:szCs w:val="21"/>
                <w:highlight w:val="none"/>
                <w:lang w:eastAsia="zh-CN"/>
              </w:rPr>
              <w:t xml:space="preserve"> </w:t>
            </w:r>
            <w:r>
              <w:rPr>
                <w:spacing w:val="-2"/>
                <w:sz w:val="21"/>
                <w:szCs w:val="21"/>
                <w:highlight w:val="none"/>
                <w:lang w:eastAsia="zh-CN"/>
              </w:rPr>
              <w:t>更换相关具体</w:t>
            </w:r>
            <w:r>
              <w:rPr>
                <w:spacing w:val="4"/>
                <w:sz w:val="21"/>
                <w:szCs w:val="21"/>
                <w:highlight w:val="none"/>
                <w:lang w:eastAsia="zh-CN"/>
              </w:rPr>
              <w:t xml:space="preserve"> </w:t>
            </w:r>
            <w:r>
              <w:rPr>
                <w:spacing w:val="-2"/>
                <w:sz w:val="21"/>
                <w:szCs w:val="21"/>
                <w:highlight w:val="none"/>
                <w:lang w:eastAsia="zh-CN"/>
              </w:rPr>
              <w:t>规定</w:t>
            </w:r>
          </w:p>
        </w:tc>
        <w:tc>
          <w:tcPr>
            <w:tcW w:w="5401" w:type="dxa"/>
            <w:tcBorders>
              <w:right w:val="single" w:color="000000" w:sz="2" w:space="0"/>
            </w:tcBorders>
          </w:tcPr>
          <w:p w14:paraId="18809C0B">
            <w:pPr>
              <w:pStyle w:val="173"/>
              <w:spacing w:before="294" w:line="221" w:lineRule="auto"/>
              <w:ind w:left="112"/>
              <w:rPr>
                <w:sz w:val="21"/>
                <w:szCs w:val="21"/>
                <w:highlight w:val="none"/>
              </w:rPr>
            </w:pPr>
            <w:r>
              <w:rPr>
                <w:sz w:val="21"/>
                <w:szCs w:val="21"/>
                <w:highlight w:val="none"/>
              </w:rPr>
              <w:t>无</w:t>
            </w:r>
          </w:p>
        </w:tc>
      </w:tr>
      <w:tr w14:paraId="4923A4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5" w:hRule="atLeast"/>
        </w:trPr>
        <w:tc>
          <w:tcPr>
            <w:tcW w:w="1620" w:type="dxa"/>
            <w:tcBorders>
              <w:left w:val="single" w:color="000000" w:sz="2" w:space="0"/>
            </w:tcBorders>
          </w:tcPr>
          <w:p w14:paraId="044329D6">
            <w:pPr>
              <w:pStyle w:val="173"/>
              <w:spacing w:before="115" w:line="221" w:lineRule="auto"/>
              <w:ind w:left="502"/>
              <w:rPr>
                <w:sz w:val="21"/>
                <w:szCs w:val="21"/>
                <w:highlight w:val="none"/>
              </w:rPr>
            </w:pPr>
            <w:r>
              <w:rPr>
                <w:spacing w:val="-2"/>
                <w:sz w:val="21"/>
                <w:szCs w:val="21"/>
                <w:highlight w:val="none"/>
              </w:rPr>
              <w:t>第二节</w:t>
            </w:r>
          </w:p>
          <w:p w14:paraId="22BA7633">
            <w:pPr>
              <w:pStyle w:val="173"/>
              <w:spacing w:before="22" w:line="221" w:lineRule="auto"/>
              <w:ind w:left="123"/>
              <w:rPr>
                <w:sz w:val="21"/>
                <w:szCs w:val="21"/>
                <w:highlight w:val="none"/>
              </w:rPr>
            </w:pPr>
            <w:r>
              <w:rPr>
                <w:spacing w:val="-6"/>
                <w:sz w:val="21"/>
                <w:szCs w:val="21"/>
                <w:highlight w:val="none"/>
              </w:rPr>
              <w:t>第</w:t>
            </w:r>
            <w:r>
              <w:rPr>
                <w:spacing w:val="-28"/>
                <w:sz w:val="21"/>
                <w:szCs w:val="21"/>
                <w:highlight w:val="none"/>
              </w:rPr>
              <w:t xml:space="preserve"> </w:t>
            </w:r>
            <w:r>
              <w:rPr>
                <w:spacing w:val="-6"/>
                <w:sz w:val="21"/>
                <w:szCs w:val="21"/>
                <w:highlight w:val="none"/>
              </w:rPr>
              <w:t>15.2（2）项</w:t>
            </w:r>
          </w:p>
        </w:tc>
        <w:tc>
          <w:tcPr>
            <w:tcW w:w="1526" w:type="dxa"/>
          </w:tcPr>
          <w:p w14:paraId="6B78622F">
            <w:pPr>
              <w:pStyle w:val="173"/>
              <w:spacing w:before="115" w:line="231" w:lineRule="auto"/>
              <w:ind w:left="120" w:right="152" w:hanging="11"/>
              <w:rPr>
                <w:sz w:val="21"/>
                <w:szCs w:val="21"/>
                <w:highlight w:val="none"/>
              </w:rPr>
            </w:pPr>
            <w:r>
              <w:rPr>
                <w:spacing w:val="-1"/>
                <w:sz w:val="21"/>
                <w:szCs w:val="21"/>
                <w:highlight w:val="none"/>
              </w:rPr>
              <w:t>迟延交货赔偿</w:t>
            </w:r>
            <w:r>
              <w:rPr>
                <w:sz w:val="21"/>
                <w:szCs w:val="21"/>
                <w:highlight w:val="none"/>
              </w:rPr>
              <w:t xml:space="preserve"> 费</w:t>
            </w:r>
          </w:p>
        </w:tc>
        <w:tc>
          <w:tcPr>
            <w:tcW w:w="5401" w:type="dxa"/>
            <w:tcBorders>
              <w:right w:val="single" w:color="000000" w:sz="2" w:space="0"/>
            </w:tcBorders>
          </w:tcPr>
          <w:p w14:paraId="5E90BE83">
            <w:pPr>
              <w:pStyle w:val="173"/>
              <w:spacing w:before="294" w:line="221" w:lineRule="auto"/>
              <w:ind w:left="112"/>
              <w:rPr>
                <w:sz w:val="21"/>
                <w:szCs w:val="21"/>
                <w:highlight w:val="none"/>
              </w:rPr>
            </w:pPr>
          </w:p>
        </w:tc>
      </w:tr>
      <w:tr w14:paraId="2ABE08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1620" w:type="dxa"/>
            <w:tcBorders>
              <w:left w:val="single" w:color="000000" w:sz="2" w:space="0"/>
            </w:tcBorders>
          </w:tcPr>
          <w:p w14:paraId="4D1BEFD8">
            <w:pPr>
              <w:pStyle w:val="173"/>
              <w:spacing w:before="116" w:line="228" w:lineRule="auto"/>
              <w:ind w:left="344" w:right="325" w:firstLine="158"/>
              <w:rPr>
                <w:sz w:val="21"/>
                <w:szCs w:val="21"/>
                <w:highlight w:val="none"/>
              </w:rPr>
            </w:pPr>
            <w:r>
              <w:rPr>
                <w:spacing w:val="-2"/>
                <w:sz w:val="21"/>
                <w:szCs w:val="21"/>
                <w:highlight w:val="none"/>
              </w:rPr>
              <w:t>第二节</w:t>
            </w:r>
            <w:r>
              <w:rPr>
                <w:sz w:val="21"/>
                <w:szCs w:val="21"/>
                <w:highlight w:val="none"/>
              </w:rPr>
              <w:t xml:space="preserve">  </w:t>
            </w:r>
            <w:r>
              <w:rPr>
                <w:spacing w:val="-7"/>
                <w:sz w:val="21"/>
                <w:szCs w:val="21"/>
                <w:highlight w:val="none"/>
              </w:rPr>
              <w:t>第</w:t>
            </w:r>
            <w:r>
              <w:rPr>
                <w:spacing w:val="-24"/>
                <w:sz w:val="21"/>
                <w:szCs w:val="21"/>
                <w:highlight w:val="none"/>
              </w:rPr>
              <w:t xml:space="preserve"> </w:t>
            </w:r>
            <w:r>
              <w:rPr>
                <w:spacing w:val="-7"/>
                <w:sz w:val="21"/>
                <w:szCs w:val="21"/>
                <w:highlight w:val="none"/>
              </w:rPr>
              <w:t>15.3</w:t>
            </w:r>
            <w:r>
              <w:rPr>
                <w:spacing w:val="-43"/>
                <w:sz w:val="21"/>
                <w:szCs w:val="21"/>
                <w:highlight w:val="none"/>
              </w:rPr>
              <w:t xml:space="preserve"> </w:t>
            </w:r>
            <w:r>
              <w:rPr>
                <w:spacing w:val="-7"/>
                <w:sz w:val="21"/>
                <w:szCs w:val="21"/>
                <w:highlight w:val="none"/>
              </w:rPr>
              <w:t>款</w:t>
            </w:r>
          </w:p>
        </w:tc>
        <w:tc>
          <w:tcPr>
            <w:tcW w:w="1526" w:type="dxa"/>
          </w:tcPr>
          <w:p w14:paraId="09C077A5">
            <w:pPr>
              <w:pStyle w:val="173"/>
              <w:spacing w:before="249" w:line="221" w:lineRule="auto"/>
              <w:ind w:left="107"/>
              <w:rPr>
                <w:sz w:val="21"/>
                <w:szCs w:val="21"/>
                <w:highlight w:val="none"/>
              </w:rPr>
            </w:pPr>
            <w:r>
              <w:rPr>
                <w:spacing w:val="-1"/>
                <w:sz w:val="21"/>
                <w:szCs w:val="21"/>
                <w:highlight w:val="none"/>
              </w:rPr>
              <w:t>逾期付款利息</w:t>
            </w:r>
          </w:p>
        </w:tc>
        <w:tc>
          <w:tcPr>
            <w:tcW w:w="5401" w:type="dxa"/>
            <w:tcBorders>
              <w:right w:val="single" w:color="000000" w:sz="2" w:space="0"/>
            </w:tcBorders>
          </w:tcPr>
          <w:p w14:paraId="0158F571">
            <w:pPr>
              <w:pStyle w:val="173"/>
              <w:spacing w:before="294" w:line="221" w:lineRule="auto"/>
              <w:ind w:left="112"/>
              <w:rPr>
                <w:sz w:val="21"/>
                <w:szCs w:val="21"/>
                <w:highlight w:val="none"/>
              </w:rPr>
            </w:pPr>
          </w:p>
        </w:tc>
      </w:tr>
      <w:tr w14:paraId="57A26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trPr>
        <w:tc>
          <w:tcPr>
            <w:tcW w:w="1620" w:type="dxa"/>
            <w:tcBorders>
              <w:left w:val="single" w:color="000000" w:sz="2" w:space="0"/>
              <w:bottom w:val="single" w:color="000000" w:sz="2" w:space="0"/>
              <w:right w:val="single" w:color="000000" w:sz="2" w:space="0"/>
            </w:tcBorders>
          </w:tcPr>
          <w:p w14:paraId="2764416E">
            <w:pPr>
              <w:pStyle w:val="173"/>
              <w:spacing w:before="186" w:line="228" w:lineRule="auto"/>
              <w:ind w:left="344" w:right="328" w:firstLine="158"/>
              <w:rPr>
                <w:sz w:val="21"/>
                <w:szCs w:val="21"/>
                <w:highlight w:val="none"/>
              </w:rPr>
            </w:pPr>
            <w:r>
              <w:rPr>
                <w:spacing w:val="-2"/>
                <w:sz w:val="21"/>
                <w:szCs w:val="21"/>
                <w:highlight w:val="none"/>
              </w:rPr>
              <w:t>第二节</w:t>
            </w:r>
            <w:r>
              <w:rPr>
                <w:sz w:val="21"/>
                <w:szCs w:val="21"/>
                <w:highlight w:val="none"/>
              </w:rPr>
              <w:t xml:space="preserve">  </w:t>
            </w:r>
            <w:r>
              <w:rPr>
                <w:spacing w:val="-7"/>
                <w:sz w:val="21"/>
                <w:szCs w:val="21"/>
                <w:highlight w:val="none"/>
              </w:rPr>
              <w:t>第</w:t>
            </w:r>
            <w:r>
              <w:rPr>
                <w:spacing w:val="-24"/>
                <w:sz w:val="21"/>
                <w:szCs w:val="21"/>
                <w:highlight w:val="none"/>
              </w:rPr>
              <w:t xml:space="preserve"> </w:t>
            </w:r>
            <w:r>
              <w:rPr>
                <w:spacing w:val="-7"/>
                <w:sz w:val="21"/>
                <w:szCs w:val="21"/>
                <w:highlight w:val="none"/>
              </w:rPr>
              <w:t>15.4</w:t>
            </w:r>
            <w:r>
              <w:rPr>
                <w:spacing w:val="-43"/>
                <w:sz w:val="21"/>
                <w:szCs w:val="21"/>
                <w:highlight w:val="none"/>
              </w:rPr>
              <w:t xml:space="preserve"> </w:t>
            </w:r>
            <w:r>
              <w:rPr>
                <w:spacing w:val="-7"/>
                <w:sz w:val="21"/>
                <w:szCs w:val="21"/>
                <w:highlight w:val="none"/>
              </w:rPr>
              <w:t>款</w:t>
            </w:r>
          </w:p>
        </w:tc>
        <w:tc>
          <w:tcPr>
            <w:tcW w:w="1526" w:type="dxa"/>
            <w:tcBorders>
              <w:left w:val="single" w:color="000000" w:sz="2" w:space="0"/>
              <w:bottom w:val="single" w:color="000000" w:sz="2" w:space="0"/>
              <w:right w:val="single" w:color="000000" w:sz="2" w:space="0"/>
            </w:tcBorders>
          </w:tcPr>
          <w:p w14:paraId="4258BD4F">
            <w:pPr>
              <w:spacing w:line="250" w:lineRule="auto"/>
              <w:rPr>
                <w:rFonts w:ascii="Arial"/>
                <w:highlight w:val="none"/>
              </w:rPr>
            </w:pPr>
          </w:p>
          <w:p w14:paraId="65FFBB55">
            <w:pPr>
              <w:pStyle w:val="173"/>
              <w:spacing w:before="68" w:line="221" w:lineRule="auto"/>
              <w:ind w:left="113"/>
              <w:rPr>
                <w:sz w:val="21"/>
                <w:szCs w:val="21"/>
                <w:highlight w:val="none"/>
              </w:rPr>
            </w:pPr>
            <w:r>
              <w:rPr>
                <w:spacing w:val="-1"/>
                <w:sz w:val="21"/>
                <w:szCs w:val="21"/>
                <w:highlight w:val="none"/>
              </w:rPr>
              <w:t>其他违约责任</w:t>
            </w:r>
          </w:p>
        </w:tc>
        <w:tc>
          <w:tcPr>
            <w:tcW w:w="5401" w:type="dxa"/>
            <w:tcBorders>
              <w:left w:val="single" w:color="000000" w:sz="2" w:space="0"/>
              <w:bottom w:val="single" w:color="000000" w:sz="2" w:space="0"/>
              <w:right w:val="single" w:color="000000" w:sz="2" w:space="0"/>
            </w:tcBorders>
          </w:tcPr>
          <w:p w14:paraId="384993D8">
            <w:pPr>
              <w:spacing w:line="250" w:lineRule="auto"/>
              <w:rPr>
                <w:rFonts w:ascii="Arial"/>
                <w:highlight w:val="none"/>
              </w:rPr>
            </w:pPr>
          </w:p>
          <w:p w14:paraId="00EE0812">
            <w:pPr>
              <w:pStyle w:val="173"/>
              <w:spacing w:before="69" w:line="221" w:lineRule="auto"/>
              <w:ind w:left="114"/>
              <w:rPr>
                <w:sz w:val="21"/>
                <w:szCs w:val="21"/>
                <w:highlight w:val="none"/>
              </w:rPr>
            </w:pPr>
            <w:r>
              <w:rPr>
                <w:sz w:val="21"/>
                <w:szCs w:val="21"/>
                <w:highlight w:val="none"/>
                <w:u w:val="single"/>
              </w:rPr>
              <w:t>无</w:t>
            </w:r>
          </w:p>
        </w:tc>
      </w:tr>
      <w:tr w14:paraId="19DB01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63" w:hRule="atLeast"/>
        </w:trPr>
        <w:tc>
          <w:tcPr>
            <w:tcW w:w="1620" w:type="dxa"/>
            <w:tcBorders>
              <w:top w:val="single" w:color="000000" w:sz="2" w:space="0"/>
              <w:left w:val="single" w:color="000000" w:sz="2" w:space="0"/>
              <w:right w:val="single" w:color="000000" w:sz="2" w:space="0"/>
            </w:tcBorders>
          </w:tcPr>
          <w:p w14:paraId="7E9EF33A">
            <w:pPr>
              <w:spacing w:line="406" w:lineRule="auto"/>
              <w:rPr>
                <w:rFonts w:ascii="Arial"/>
                <w:highlight w:val="none"/>
              </w:rPr>
            </w:pPr>
          </w:p>
          <w:p w14:paraId="3DC9220E">
            <w:pPr>
              <w:pStyle w:val="173"/>
              <w:spacing w:before="69" w:line="231" w:lineRule="auto"/>
              <w:ind w:left="344" w:right="328" w:firstLine="158"/>
              <w:rPr>
                <w:sz w:val="21"/>
                <w:szCs w:val="21"/>
                <w:highlight w:val="none"/>
              </w:rPr>
            </w:pPr>
            <w:r>
              <w:rPr>
                <w:spacing w:val="-2"/>
                <w:sz w:val="21"/>
                <w:szCs w:val="21"/>
                <w:highlight w:val="none"/>
              </w:rPr>
              <w:t>第二节</w:t>
            </w:r>
            <w:r>
              <w:rPr>
                <w:sz w:val="21"/>
                <w:szCs w:val="21"/>
                <w:highlight w:val="none"/>
              </w:rPr>
              <w:t xml:space="preserve">  </w:t>
            </w:r>
            <w:r>
              <w:rPr>
                <w:spacing w:val="-7"/>
                <w:sz w:val="21"/>
                <w:szCs w:val="21"/>
                <w:highlight w:val="none"/>
              </w:rPr>
              <w:t>第</w:t>
            </w:r>
            <w:r>
              <w:rPr>
                <w:spacing w:val="-24"/>
                <w:sz w:val="21"/>
                <w:szCs w:val="21"/>
                <w:highlight w:val="none"/>
              </w:rPr>
              <w:t xml:space="preserve"> </w:t>
            </w:r>
            <w:r>
              <w:rPr>
                <w:spacing w:val="-7"/>
                <w:sz w:val="21"/>
                <w:szCs w:val="21"/>
                <w:highlight w:val="none"/>
              </w:rPr>
              <w:t>19.2</w:t>
            </w:r>
            <w:r>
              <w:rPr>
                <w:spacing w:val="-43"/>
                <w:sz w:val="21"/>
                <w:szCs w:val="21"/>
                <w:highlight w:val="none"/>
              </w:rPr>
              <w:t xml:space="preserve"> </w:t>
            </w:r>
            <w:r>
              <w:rPr>
                <w:spacing w:val="-7"/>
                <w:sz w:val="21"/>
                <w:szCs w:val="21"/>
                <w:highlight w:val="none"/>
              </w:rPr>
              <w:t>款</w:t>
            </w:r>
          </w:p>
        </w:tc>
        <w:tc>
          <w:tcPr>
            <w:tcW w:w="1526" w:type="dxa"/>
            <w:tcBorders>
              <w:top w:val="single" w:color="000000" w:sz="2" w:space="0"/>
              <w:left w:val="single" w:color="000000" w:sz="2" w:space="0"/>
              <w:right w:val="single" w:color="000000" w:sz="2" w:space="0"/>
            </w:tcBorders>
          </w:tcPr>
          <w:p w14:paraId="3BAD6088">
            <w:pPr>
              <w:spacing w:line="408" w:lineRule="auto"/>
              <w:rPr>
                <w:rFonts w:ascii="Arial"/>
                <w:highlight w:val="none"/>
              </w:rPr>
            </w:pPr>
          </w:p>
          <w:p w14:paraId="0F27730B">
            <w:pPr>
              <w:pStyle w:val="173"/>
              <w:spacing w:before="69" w:line="233" w:lineRule="auto"/>
              <w:ind w:left="112" w:right="154" w:hanging="1"/>
              <w:rPr>
                <w:sz w:val="21"/>
                <w:szCs w:val="21"/>
                <w:highlight w:val="none"/>
              </w:rPr>
            </w:pPr>
            <w:r>
              <w:rPr>
                <w:spacing w:val="-1"/>
                <w:sz w:val="21"/>
                <w:szCs w:val="21"/>
                <w:highlight w:val="none"/>
              </w:rPr>
              <w:t>解决争议的方</w:t>
            </w:r>
            <w:r>
              <w:rPr>
                <w:sz w:val="21"/>
                <w:szCs w:val="21"/>
                <w:highlight w:val="none"/>
              </w:rPr>
              <w:t xml:space="preserve"> 法</w:t>
            </w:r>
          </w:p>
        </w:tc>
        <w:tc>
          <w:tcPr>
            <w:tcW w:w="5401" w:type="dxa"/>
            <w:tcBorders>
              <w:top w:val="single" w:color="000000" w:sz="2" w:space="0"/>
              <w:left w:val="single" w:color="000000" w:sz="2" w:space="0"/>
              <w:right w:val="single" w:color="000000" w:sz="2" w:space="0"/>
            </w:tcBorders>
          </w:tcPr>
          <w:p w14:paraId="47026C25">
            <w:pPr>
              <w:pStyle w:val="173"/>
              <w:spacing w:before="132" w:line="337" w:lineRule="auto"/>
              <w:ind w:left="114" w:right="143" w:firstLine="15"/>
              <w:rPr>
                <w:sz w:val="21"/>
                <w:szCs w:val="21"/>
                <w:highlight w:val="none"/>
                <w:lang w:eastAsia="zh-CN"/>
              </w:rPr>
            </w:pPr>
            <w:r>
              <w:rPr>
                <w:spacing w:val="-1"/>
                <w:sz w:val="21"/>
                <w:szCs w:val="21"/>
                <w:highlight w:val="none"/>
                <w:lang w:eastAsia="zh-CN"/>
              </w:rPr>
              <w:t>因本合同及合同有关事项发生的争议，按下列第</w:t>
            </w:r>
            <w:r>
              <w:rPr>
                <w:spacing w:val="-1"/>
                <w:sz w:val="21"/>
                <w:szCs w:val="21"/>
                <w:highlight w:val="none"/>
                <w:u w:val="single"/>
                <w:lang w:eastAsia="zh-CN"/>
              </w:rPr>
              <w:t>（</w:t>
            </w:r>
            <w:r>
              <w:rPr>
                <w:rFonts w:hint="eastAsia"/>
                <w:spacing w:val="-1"/>
                <w:sz w:val="21"/>
                <w:szCs w:val="21"/>
                <w:highlight w:val="none"/>
                <w:u w:val="single"/>
                <w:lang w:val="en-US" w:eastAsia="zh-CN"/>
              </w:rPr>
              <w:t>2</w:t>
            </w:r>
            <w:r>
              <w:rPr>
                <w:spacing w:val="-1"/>
                <w:sz w:val="21"/>
                <w:szCs w:val="21"/>
                <w:highlight w:val="none"/>
                <w:u w:val="single"/>
                <w:lang w:eastAsia="zh-CN"/>
              </w:rPr>
              <w:t>）</w:t>
            </w:r>
            <w:r>
              <w:rPr>
                <w:spacing w:val="-1"/>
                <w:sz w:val="21"/>
                <w:szCs w:val="21"/>
                <w:highlight w:val="none"/>
                <w:lang w:eastAsia="zh-CN"/>
              </w:rPr>
              <w:t>种</w:t>
            </w:r>
            <w:r>
              <w:rPr>
                <w:spacing w:val="1"/>
                <w:sz w:val="21"/>
                <w:szCs w:val="21"/>
                <w:highlight w:val="none"/>
                <w:lang w:eastAsia="zh-CN"/>
              </w:rPr>
              <w:t xml:space="preserve"> </w:t>
            </w:r>
            <w:r>
              <w:rPr>
                <w:spacing w:val="-9"/>
                <w:sz w:val="21"/>
                <w:szCs w:val="21"/>
                <w:highlight w:val="none"/>
                <w:lang w:eastAsia="zh-CN"/>
              </w:rPr>
              <w:t>方式解决：</w:t>
            </w:r>
          </w:p>
          <w:p w14:paraId="208A99CF">
            <w:pPr>
              <w:pStyle w:val="173"/>
              <w:spacing w:before="30" w:line="220" w:lineRule="auto"/>
              <w:ind w:left="119"/>
              <w:rPr>
                <w:sz w:val="21"/>
                <w:szCs w:val="21"/>
                <w:highlight w:val="none"/>
                <w:lang w:eastAsia="zh-CN"/>
              </w:rPr>
            </w:pPr>
            <w:r>
              <w:rPr>
                <w:spacing w:val="-1"/>
                <w:sz w:val="21"/>
                <w:szCs w:val="21"/>
                <w:highlight w:val="none"/>
                <w:lang w:eastAsia="zh-CN"/>
              </w:rPr>
              <w:t>（1）向邵阳仲裁委员会申请仲裁，仲裁地点为</w:t>
            </w:r>
            <w:r>
              <w:rPr>
                <w:spacing w:val="-1"/>
                <w:sz w:val="21"/>
                <w:szCs w:val="21"/>
                <w:highlight w:val="none"/>
                <w:u w:val="single"/>
                <w:lang w:eastAsia="zh-CN"/>
              </w:rPr>
              <w:t>邵阳市</w:t>
            </w:r>
            <w:r>
              <w:rPr>
                <w:spacing w:val="-1"/>
                <w:sz w:val="21"/>
                <w:szCs w:val="21"/>
                <w:highlight w:val="none"/>
                <w:lang w:eastAsia="zh-CN"/>
              </w:rPr>
              <w:t>；</w:t>
            </w:r>
          </w:p>
          <w:p w14:paraId="36931F5A">
            <w:pPr>
              <w:pStyle w:val="173"/>
              <w:spacing w:before="37" w:line="207" w:lineRule="auto"/>
              <w:ind w:left="119"/>
              <w:rPr>
                <w:sz w:val="21"/>
                <w:szCs w:val="21"/>
                <w:highlight w:val="none"/>
                <w:lang w:eastAsia="zh-CN"/>
              </w:rPr>
            </w:pPr>
            <w:r>
              <w:rPr>
                <w:spacing w:val="-6"/>
                <w:sz w:val="21"/>
                <w:szCs w:val="21"/>
                <w:highlight w:val="none"/>
                <w:lang w:eastAsia="zh-CN"/>
              </w:rPr>
              <w:t>（2）向</w:t>
            </w:r>
            <w:r>
              <w:rPr>
                <w:spacing w:val="1"/>
                <w:sz w:val="21"/>
                <w:szCs w:val="21"/>
                <w:highlight w:val="none"/>
                <w:u w:val="single"/>
                <w:lang w:eastAsia="zh-CN"/>
              </w:rPr>
              <w:t xml:space="preserve"> </w:t>
            </w:r>
            <w:r>
              <w:rPr>
                <w:rFonts w:hint="eastAsia"/>
                <w:spacing w:val="1"/>
                <w:sz w:val="21"/>
                <w:szCs w:val="21"/>
                <w:highlight w:val="none"/>
                <w:u w:val="single"/>
                <w:lang w:eastAsia="zh-CN"/>
              </w:rPr>
              <w:t>采购人所在地</w:t>
            </w:r>
            <w:r>
              <w:rPr>
                <w:spacing w:val="1"/>
                <w:sz w:val="21"/>
                <w:szCs w:val="21"/>
                <w:highlight w:val="none"/>
                <w:u w:val="single"/>
                <w:lang w:eastAsia="zh-CN"/>
              </w:rPr>
              <w:t xml:space="preserve">   </w:t>
            </w:r>
            <w:r>
              <w:rPr>
                <w:spacing w:val="-6"/>
                <w:sz w:val="21"/>
                <w:szCs w:val="21"/>
                <w:highlight w:val="none"/>
                <w:lang w:eastAsia="zh-CN"/>
              </w:rPr>
              <w:t>人民法院起诉。</w:t>
            </w:r>
          </w:p>
        </w:tc>
      </w:tr>
      <w:tr w14:paraId="783464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0" w:hRule="atLeast"/>
        </w:trPr>
        <w:tc>
          <w:tcPr>
            <w:tcW w:w="1620" w:type="dxa"/>
            <w:tcBorders>
              <w:left w:val="single" w:color="000000" w:sz="2" w:space="0"/>
              <w:bottom w:val="single" w:color="000000" w:sz="2" w:space="0"/>
            </w:tcBorders>
          </w:tcPr>
          <w:p w14:paraId="29BA8E83">
            <w:pPr>
              <w:pStyle w:val="173"/>
              <w:spacing w:before="142" w:line="231" w:lineRule="auto"/>
              <w:ind w:left="344" w:right="325" w:firstLine="158"/>
              <w:rPr>
                <w:sz w:val="21"/>
                <w:szCs w:val="21"/>
                <w:highlight w:val="none"/>
              </w:rPr>
            </w:pPr>
            <w:r>
              <w:rPr>
                <w:spacing w:val="-2"/>
                <w:sz w:val="21"/>
                <w:szCs w:val="21"/>
                <w:highlight w:val="none"/>
              </w:rPr>
              <w:t>第二节</w:t>
            </w:r>
            <w:r>
              <w:rPr>
                <w:sz w:val="21"/>
                <w:szCs w:val="21"/>
                <w:highlight w:val="none"/>
              </w:rPr>
              <w:t xml:space="preserve">  </w:t>
            </w:r>
            <w:r>
              <w:rPr>
                <w:spacing w:val="-4"/>
                <w:sz w:val="21"/>
                <w:szCs w:val="21"/>
                <w:highlight w:val="none"/>
              </w:rPr>
              <w:t>第</w:t>
            </w:r>
            <w:r>
              <w:rPr>
                <w:spacing w:val="-42"/>
                <w:sz w:val="21"/>
                <w:szCs w:val="21"/>
                <w:highlight w:val="none"/>
              </w:rPr>
              <w:t xml:space="preserve"> </w:t>
            </w:r>
            <w:r>
              <w:rPr>
                <w:spacing w:val="-4"/>
                <w:sz w:val="21"/>
                <w:szCs w:val="21"/>
                <w:highlight w:val="none"/>
              </w:rPr>
              <w:t>23.1</w:t>
            </w:r>
            <w:r>
              <w:rPr>
                <w:spacing w:val="-43"/>
                <w:sz w:val="21"/>
                <w:szCs w:val="21"/>
                <w:highlight w:val="none"/>
              </w:rPr>
              <w:t xml:space="preserve"> </w:t>
            </w:r>
            <w:r>
              <w:rPr>
                <w:spacing w:val="-4"/>
                <w:sz w:val="21"/>
                <w:szCs w:val="21"/>
                <w:highlight w:val="none"/>
              </w:rPr>
              <w:t>款</w:t>
            </w:r>
          </w:p>
        </w:tc>
        <w:tc>
          <w:tcPr>
            <w:tcW w:w="1526" w:type="dxa"/>
            <w:tcBorders>
              <w:bottom w:val="single" w:color="000000" w:sz="2" w:space="0"/>
            </w:tcBorders>
          </w:tcPr>
          <w:p w14:paraId="59E2CD4B">
            <w:pPr>
              <w:pStyle w:val="173"/>
              <w:spacing w:before="277" w:line="221" w:lineRule="auto"/>
              <w:ind w:left="110"/>
              <w:rPr>
                <w:sz w:val="21"/>
                <w:szCs w:val="21"/>
                <w:highlight w:val="none"/>
              </w:rPr>
            </w:pPr>
            <w:r>
              <w:rPr>
                <w:spacing w:val="-1"/>
                <w:sz w:val="21"/>
                <w:szCs w:val="21"/>
                <w:highlight w:val="none"/>
              </w:rPr>
              <w:t>其他专用条款</w:t>
            </w:r>
          </w:p>
        </w:tc>
        <w:tc>
          <w:tcPr>
            <w:tcW w:w="5401" w:type="dxa"/>
            <w:tcBorders>
              <w:bottom w:val="single" w:color="000000" w:sz="2" w:space="0"/>
              <w:right w:val="single" w:color="000000" w:sz="2" w:space="0"/>
            </w:tcBorders>
          </w:tcPr>
          <w:p w14:paraId="5B072F26">
            <w:pPr>
              <w:pStyle w:val="173"/>
              <w:spacing w:before="278" w:line="221" w:lineRule="auto"/>
              <w:ind w:left="112"/>
              <w:rPr>
                <w:sz w:val="21"/>
                <w:szCs w:val="21"/>
                <w:highlight w:val="none"/>
              </w:rPr>
            </w:pPr>
            <w:r>
              <w:rPr>
                <w:sz w:val="21"/>
                <w:szCs w:val="21"/>
                <w:highlight w:val="none"/>
              </w:rPr>
              <w:t>无</w:t>
            </w:r>
          </w:p>
        </w:tc>
      </w:tr>
    </w:tbl>
    <w:p w14:paraId="6E20A07E">
      <w:pPr>
        <w:pStyle w:val="4"/>
        <w:rPr>
          <w:highlight w:val="none"/>
        </w:rPr>
      </w:pPr>
    </w:p>
    <w:p w14:paraId="62884AA6">
      <w:pPr>
        <w:rPr>
          <w:highlight w:val="none"/>
        </w:rPr>
        <w:sectPr>
          <w:footerReference r:id="rId10" w:type="default"/>
          <w:pgSz w:w="11905" w:h="16839"/>
          <w:pgMar w:top="1248" w:right="1738" w:bottom="1362" w:left="1613" w:header="0" w:footer="1200" w:gutter="0"/>
          <w:pgBorders>
            <w:top w:val="none" w:sz="0" w:space="0"/>
            <w:left w:val="none" w:sz="0" w:space="0"/>
            <w:bottom w:val="none" w:sz="0" w:space="0"/>
            <w:right w:val="none" w:sz="0" w:space="0"/>
          </w:pgBorders>
          <w:cols w:space="720" w:num="1"/>
        </w:sectPr>
      </w:pPr>
    </w:p>
    <w:p w14:paraId="282F773E">
      <w:pPr>
        <w:pStyle w:val="23"/>
        <w:adjustRightInd w:val="0"/>
        <w:snapToGrid w:val="0"/>
        <w:spacing w:line="360" w:lineRule="auto"/>
        <w:jc w:val="center"/>
        <w:outlineLvl w:val="0"/>
        <w:rPr>
          <w:rFonts w:ascii="黑体" w:hAnsi="华文中宋" w:eastAsia="黑体"/>
          <w:b/>
          <w:sz w:val="32"/>
          <w:szCs w:val="32"/>
          <w:highlight w:val="none"/>
        </w:rPr>
      </w:pPr>
      <w:bookmarkStart w:id="59" w:name="_Toc4718"/>
      <w:r>
        <w:rPr>
          <w:rFonts w:hint="eastAsia" w:ascii="黑体" w:hAnsi="华文中宋" w:eastAsia="黑体"/>
          <w:b/>
          <w:sz w:val="32"/>
          <w:szCs w:val="32"/>
          <w:highlight w:val="none"/>
        </w:rPr>
        <w:t>第七章  投标文件的组成</w:t>
      </w:r>
      <w:bookmarkEnd w:id="59"/>
    </w:p>
    <w:p w14:paraId="76A6D0C5">
      <w:pPr>
        <w:adjustRightInd w:val="0"/>
        <w:snapToGrid w:val="0"/>
        <w:spacing w:line="360" w:lineRule="auto"/>
        <w:ind w:left="-88" w:leftChars="-42"/>
        <w:jc w:val="center"/>
        <w:rPr>
          <w:b/>
          <w:bCs/>
          <w:sz w:val="32"/>
          <w:highlight w:val="none"/>
        </w:rPr>
      </w:pPr>
    </w:p>
    <w:p w14:paraId="6D82E5DC">
      <w:pPr>
        <w:adjustRightInd w:val="0"/>
        <w:snapToGrid w:val="0"/>
        <w:spacing w:before="120" w:beforeLines="50"/>
        <w:jc w:val="left"/>
        <w:rPr>
          <w:rFonts w:ascii="宋体" w:hAnsi="宋体"/>
          <w:b/>
          <w:szCs w:val="21"/>
          <w:highlight w:val="none"/>
        </w:rPr>
      </w:pPr>
      <w:r>
        <w:rPr>
          <w:rFonts w:hint="eastAsia" w:ascii="宋体" w:hAnsi="宋体"/>
          <w:b/>
          <w:szCs w:val="21"/>
          <w:highlight w:val="none"/>
        </w:rPr>
        <w:t>第一部分 资格证明文件</w:t>
      </w:r>
    </w:p>
    <w:p w14:paraId="4FF480E2">
      <w:pPr>
        <w:pStyle w:val="4"/>
        <w:ind w:firstLine="630" w:firstLineChars="300"/>
        <w:jc w:val="left"/>
        <w:rPr>
          <w:highlight w:val="none"/>
        </w:rPr>
      </w:pPr>
      <w:r>
        <w:rPr>
          <w:rFonts w:hint="eastAsia"/>
          <w:highlight w:val="none"/>
        </w:rPr>
        <w:t>封面</w:t>
      </w:r>
    </w:p>
    <w:p w14:paraId="68E1ACD8">
      <w:pPr>
        <w:adjustRightInd w:val="0"/>
        <w:snapToGrid w:val="0"/>
        <w:spacing w:before="120" w:beforeLines="50"/>
        <w:ind w:firstLine="420" w:firstLineChars="200"/>
        <w:jc w:val="left"/>
        <w:rPr>
          <w:rFonts w:ascii="宋体" w:hAnsi="宋体"/>
          <w:szCs w:val="21"/>
          <w:highlight w:val="none"/>
        </w:rPr>
      </w:pPr>
      <w:r>
        <w:rPr>
          <w:rFonts w:hint="eastAsia" w:ascii="宋体" w:hAnsi="宋体"/>
          <w:szCs w:val="21"/>
          <w:highlight w:val="none"/>
        </w:rPr>
        <w:t>一、</w:t>
      </w:r>
      <w:r>
        <w:rPr>
          <w:rStyle w:val="167"/>
          <w:rFonts w:ascii="微软雅黑" w:hAnsi="微软雅黑" w:eastAsia="微软雅黑" w:cs="微软雅黑"/>
          <w:color w:val="000000"/>
          <w:sz w:val="19"/>
          <w:szCs w:val="19"/>
          <w:highlight w:val="none"/>
        </w:rPr>
        <w:t>投标人具备投标资格的证明文件</w:t>
      </w:r>
    </w:p>
    <w:p w14:paraId="08338B45">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ascii="微软雅黑" w:hAnsi="微软雅黑" w:eastAsia="微软雅黑" w:cs="微软雅黑"/>
          <w:color w:val="000000"/>
          <w:sz w:val="19"/>
          <w:szCs w:val="19"/>
          <w:highlight w:val="none"/>
        </w:rPr>
        <w:t>附件1 授权委托书</w:t>
      </w:r>
    </w:p>
    <w:p w14:paraId="12C2CD7E">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ascii="微软雅黑" w:hAnsi="微软雅黑" w:eastAsia="微软雅黑" w:cs="微软雅黑"/>
          <w:color w:val="000000"/>
          <w:sz w:val="19"/>
          <w:szCs w:val="19"/>
          <w:highlight w:val="none"/>
        </w:rPr>
        <w:t>附件1-1 法定代表人身份证明</w:t>
      </w:r>
    </w:p>
    <w:p w14:paraId="367D1EB1">
      <w:pPr>
        <w:adjustRightInd w:val="0"/>
        <w:snapToGrid w:val="0"/>
        <w:spacing w:before="120" w:beforeLines="50"/>
        <w:ind w:firstLine="380" w:firstLineChars="200"/>
        <w:jc w:val="left"/>
        <w:rPr>
          <w:rStyle w:val="168"/>
          <w:rFonts w:ascii="微软雅黑" w:hAnsi="微软雅黑" w:eastAsia="微软雅黑" w:cs="微软雅黑"/>
          <w:color w:val="000000"/>
          <w:sz w:val="19"/>
          <w:szCs w:val="19"/>
          <w:highlight w:val="none"/>
        </w:rPr>
      </w:pPr>
      <w:r>
        <w:rPr>
          <w:rStyle w:val="168"/>
          <w:rFonts w:ascii="微软雅黑" w:hAnsi="微软雅黑" w:eastAsia="微软雅黑" w:cs="微软雅黑"/>
          <w:color w:val="000000"/>
          <w:sz w:val="19"/>
          <w:szCs w:val="19"/>
          <w:highlight w:val="none"/>
        </w:rPr>
        <w:t>附件2 投标人基本情况</w:t>
      </w:r>
    </w:p>
    <w:p w14:paraId="35987DF2">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附件3湖南省政府采购供应商资格承诺函</w:t>
      </w:r>
    </w:p>
    <w:p w14:paraId="66FE99D3">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Style w:val="168"/>
          <w:rFonts w:hint="eastAsia" w:ascii="微软雅黑" w:hAnsi="微软雅黑" w:eastAsia="微软雅黑" w:cs="微软雅黑"/>
          <w:color w:val="000000"/>
          <w:sz w:val="19"/>
          <w:szCs w:val="19"/>
          <w:highlight w:val="none"/>
        </w:rPr>
        <w:t>附件</w:t>
      </w:r>
      <w:r>
        <w:rPr>
          <w:rFonts w:hint="eastAsia" w:ascii="微软雅黑" w:hAnsi="微软雅黑" w:eastAsia="微软雅黑" w:cs="微软雅黑"/>
          <w:color w:val="000000"/>
          <w:sz w:val="19"/>
          <w:szCs w:val="19"/>
          <w:highlight w:val="none"/>
        </w:rPr>
        <w:t>4 项目免交投标保证金承诺书</w:t>
      </w:r>
    </w:p>
    <w:p w14:paraId="446EDDD2">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附件5 信用信息查询结果</w:t>
      </w:r>
    </w:p>
    <w:p w14:paraId="2128BB3B">
      <w:pPr>
        <w:pStyle w:val="73"/>
        <w:ind w:firstLine="380"/>
        <w:rPr>
          <w:highlight w:val="none"/>
        </w:rPr>
      </w:pPr>
      <w:r>
        <w:rPr>
          <w:rFonts w:hint="eastAsia" w:ascii="微软雅黑" w:hAnsi="微软雅黑" w:eastAsia="微软雅黑" w:cs="微软雅黑"/>
          <w:color w:val="000000"/>
          <w:sz w:val="19"/>
          <w:szCs w:val="19"/>
          <w:highlight w:val="none"/>
        </w:rPr>
        <w:t>附件6特定资格条件和其他资格条件证明材料</w:t>
      </w:r>
    </w:p>
    <w:p w14:paraId="0402DF28">
      <w:pPr>
        <w:adjustRightInd w:val="0"/>
        <w:snapToGrid w:val="0"/>
        <w:spacing w:before="120" w:beforeLines="50"/>
        <w:jc w:val="left"/>
        <w:rPr>
          <w:rFonts w:ascii="宋体" w:hAnsi="宋体"/>
          <w:b/>
          <w:szCs w:val="21"/>
          <w:highlight w:val="none"/>
        </w:rPr>
      </w:pPr>
      <w:r>
        <w:rPr>
          <w:rFonts w:hint="eastAsia" w:ascii="宋体" w:hAnsi="宋体"/>
          <w:b/>
          <w:szCs w:val="21"/>
          <w:highlight w:val="none"/>
        </w:rPr>
        <w:t>第二部分 商务文件</w:t>
      </w:r>
    </w:p>
    <w:p w14:paraId="0486C2C5">
      <w:pPr>
        <w:pStyle w:val="4"/>
        <w:rPr>
          <w:highlight w:val="none"/>
        </w:rPr>
      </w:pPr>
      <w:r>
        <w:rPr>
          <w:rFonts w:hint="eastAsia" w:ascii="宋体" w:hAnsi="宋体"/>
          <w:b/>
          <w:szCs w:val="21"/>
          <w:highlight w:val="none"/>
        </w:rPr>
        <w:t xml:space="preserve">     </w:t>
      </w:r>
      <w:r>
        <w:rPr>
          <w:rFonts w:hint="eastAsia"/>
          <w:highlight w:val="none"/>
        </w:rPr>
        <w:t>封面</w:t>
      </w:r>
    </w:p>
    <w:p w14:paraId="17D53823">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二、投标函</w:t>
      </w:r>
    </w:p>
    <w:p w14:paraId="55B04F02">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三、开标一览表</w:t>
      </w:r>
    </w:p>
    <w:p w14:paraId="3D9DE8A2">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四、分项报价</w:t>
      </w:r>
    </w:p>
    <w:p w14:paraId="29AD6974">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五、商务条款响应、偏离表享受政府采购政策优惠的证明资料和清单表</w:t>
      </w:r>
    </w:p>
    <w:p w14:paraId="5649BFB5">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六、投标保证金</w:t>
      </w:r>
    </w:p>
    <w:p w14:paraId="46F05866">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七、中小企业声明函</w:t>
      </w:r>
    </w:p>
    <w:p w14:paraId="2F22CE87">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八、享受政府采购政策优惠的证明资料和清单表</w:t>
      </w:r>
    </w:p>
    <w:p w14:paraId="27D7F69C">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九、招标文件规定的其他与本项目相关的证明文件</w:t>
      </w:r>
    </w:p>
    <w:p w14:paraId="609FDAF1">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十、进口产品经销或代理投标货物或为投标货物提供售后服务的证明文件</w:t>
      </w:r>
    </w:p>
    <w:p w14:paraId="57D3A6D7">
      <w:pPr>
        <w:pStyle w:val="4"/>
        <w:rPr>
          <w:rFonts w:ascii="宋体" w:hAnsi="宋体"/>
          <w:b/>
          <w:szCs w:val="21"/>
          <w:highlight w:val="none"/>
        </w:rPr>
      </w:pPr>
      <w:r>
        <w:rPr>
          <w:rFonts w:hint="eastAsia" w:ascii="宋体" w:hAnsi="宋体"/>
          <w:b/>
          <w:szCs w:val="21"/>
          <w:highlight w:val="none"/>
        </w:rPr>
        <w:t>第三部分 技术文件</w:t>
      </w:r>
    </w:p>
    <w:p w14:paraId="115AB035">
      <w:pPr>
        <w:pStyle w:val="4"/>
        <w:ind w:firstLine="420" w:firstLineChars="200"/>
        <w:rPr>
          <w:highlight w:val="none"/>
        </w:rPr>
      </w:pPr>
      <w:r>
        <w:rPr>
          <w:rFonts w:hint="eastAsia"/>
          <w:highlight w:val="none"/>
        </w:rPr>
        <w:t>封面</w:t>
      </w:r>
    </w:p>
    <w:p w14:paraId="0786DDA9">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十一、货物说明一览表</w:t>
      </w:r>
    </w:p>
    <w:p w14:paraId="0BD7780D">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十二、技术规格、参数响应、偏离表</w:t>
      </w:r>
    </w:p>
    <w:p w14:paraId="71687957">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r>
        <w:rPr>
          <w:rFonts w:hint="eastAsia" w:ascii="微软雅黑" w:hAnsi="微软雅黑" w:eastAsia="微软雅黑" w:cs="微软雅黑"/>
          <w:color w:val="000000"/>
          <w:sz w:val="19"/>
          <w:szCs w:val="19"/>
          <w:highlight w:val="none"/>
        </w:rPr>
        <w:t>十三、投标货物符合招标文件规定的证明文件</w:t>
      </w:r>
    </w:p>
    <w:p w14:paraId="754019ED">
      <w:pPr>
        <w:adjustRightInd w:val="0"/>
        <w:snapToGrid w:val="0"/>
        <w:spacing w:before="120" w:beforeLines="50"/>
        <w:ind w:firstLine="380" w:firstLineChars="200"/>
        <w:jc w:val="left"/>
        <w:rPr>
          <w:rFonts w:ascii="微软雅黑" w:hAnsi="微软雅黑" w:eastAsia="微软雅黑" w:cs="微软雅黑"/>
          <w:color w:val="000000"/>
          <w:sz w:val="19"/>
          <w:szCs w:val="19"/>
          <w:highlight w:val="none"/>
        </w:rPr>
      </w:pPr>
    </w:p>
    <w:p w14:paraId="6FF3F3DB">
      <w:pPr>
        <w:adjustRightInd w:val="0"/>
        <w:snapToGrid w:val="0"/>
        <w:spacing w:line="360" w:lineRule="auto"/>
        <w:jc w:val="center"/>
        <w:rPr>
          <w:rFonts w:ascii="黑体" w:eastAsia="黑体"/>
          <w:sz w:val="32"/>
          <w:szCs w:val="32"/>
          <w:highlight w:val="none"/>
        </w:rPr>
      </w:pPr>
    </w:p>
    <w:p w14:paraId="13C05034">
      <w:pPr>
        <w:adjustRightInd w:val="0"/>
        <w:snapToGrid w:val="0"/>
        <w:spacing w:line="360" w:lineRule="auto"/>
        <w:rPr>
          <w:rFonts w:ascii="黑体" w:eastAsia="黑体"/>
          <w:sz w:val="32"/>
          <w:szCs w:val="32"/>
          <w:highlight w:val="none"/>
        </w:rPr>
      </w:pPr>
    </w:p>
    <w:p w14:paraId="66EB263D">
      <w:pPr>
        <w:pStyle w:val="23"/>
        <w:adjustRightInd w:val="0"/>
        <w:snapToGrid w:val="0"/>
        <w:spacing w:line="360" w:lineRule="auto"/>
        <w:jc w:val="center"/>
        <w:rPr>
          <w:rFonts w:cs="Times New Roman" w:asciiTheme="minorEastAsia" w:hAnsiTheme="minorEastAsia" w:eastAsiaTheme="minorEastAsia"/>
          <w:b/>
          <w:bCs/>
          <w:sz w:val="84"/>
          <w:szCs w:val="84"/>
          <w:highlight w:val="none"/>
        </w:rPr>
      </w:pPr>
      <w:r>
        <w:rPr>
          <w:rFonts w:hint="eastAsia" w:cs="Times New Roman" w:asciiTheme="minorEastAsia" w:hAnsiTheme="minorEastAsia" w:eastAsiaTheme="minorEastAsia"/>
          <w:b/>
          <w:bCs/>
          <w:sz w:val="84"/>
          <w:szCs w:val="84"/>
          <w:highlight w:val="none"/>
        </w:rPr>
        <w:t>政府采购</w:t>
      </w:r>
    </w:p>
    <w:p w14:paraId="0B1227A5">
      <w:pPr>
        <w:adjustRightInd w:val="0"/>
        <w:snapToGrid w:val="0"/>
        <w:spacing w:line="360" w:lineRule="auto"/>
        <w:jc w:val="center"/>
        <w:rPr>
          <w:rFonts w:asciiTheme="minorEastAsia" w:hAnsiTheme="minorEastAsia" w:eastAsiaTheme="minorEastAsia"/>
          <w:b/>
          <w:bCs/>
          <w:sz w:val="84"/>
          <w:szCs w:val="84"/>
          <w:highlight w:val="none"/>
        </w:rPr>
      </w:pPr>
      <w:r>
        <w:rPr>
          <w:rFonts w:hint="eastAsia" w:asciiTheme="minorEastAsia" w:hAnsiTheme="minorEastAsia" w:eastAsiaTheme="minorEastAsia"/>
          <w:b/>
          <w:bCs/>
          <w:sz w:val="84"/>
          <w:szCs w:val="84"/>
          <w:highlight w:val="none"/>
        </w:rPr>
        <w:t>投 标 文 件</w:t>
      </w:r>
    </w:p>
    <w:p w14:paraId="6E5338BA">
      <w:pPr>
        <w:adjustRightInd w:val="0"/>
        <w:snapToGrid w:val="0"/>
        <w:jc w:val="center"/>
        <w:rPr>
          <w:rFonts w:ascii="黑体" w:hAnsi="黑体" w:eastAsia="黑体"/>
          <w:sz w:val="44"/>
          <w:szCs w:val="44"/>
          <w:highlight w:val="none"/>
        </w:rPr>
      </w:pPr>
      <w:r>
        <w:rPr>
          <w:rFonts w:hint="eastAsia" w:ascii="黑体" w:hAnsi="黑体" w:eastAsia="黑体"/>
          <w:sz w:val="44"/>
          <w:szCs w:val="44"/>
          <w:highlight w:val="none"/>
        </w:rPr>
        <w:t>第一部分 资格证明文件</w:t>
      </w:r>
    </w:p>
    <w:p w14:paraId="098092E9">
      <w:pPr>
        <w:adjustRightInd w:val="0"/>
        <w:snapToGrid w:val="0"/>
        <w:spacing w:line="360" w:lineRule="auto"/>
        <w:rPr>
          <w:rFonts w:asciiTheme="minorEastAsia" w:hAnsiTheme="minorEastAsia" w:eastAsiaTheme="minorEastAsia"/>
          <w:b/>
          <w:sz w:val="30"/>
          <w:szCs w:val="30"/>
          <w:highlight w:val="none"/>
        </w:rPr>
      </w:pPr>
    </w:p>
    <w:p w14:paraId="1ED101B9">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采购项目名称：</w:t>
      </w:r>
    </w:p>
    <w:p w14:paraId="775A9B5C">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政府采购编号：</w:t>
      </w:r>
    </w:p>
    <w:p w14:paraId="3F534630">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项 目  编 号：</w:t>
      </w:r>
    </w:p>
    <w:p w14:paraId="63549D16">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采购代理编号：</w:t>
      </w:r>
    </w:p>
    <w:p w14:paraId="244AB786">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   购   人：</w:t>
      </w:r>
    </w:p>
    <w:p w14:paraId="7C1F95C2">
      <w:pPr>
        <w:adjustRightInd w:val="0"/>
        <w:snapToGrid w:val="0"/>
        <w:spacing w:line="360" w:lineRule="auto"/>
        <w:ind w:firstLine="1124" w:firstLineChars="350"/>
        <w:rPr>
          <w:rFonts w:asciiTheme="minorEastAsia" w:hAnsiTheme="minorEastAsia" w:eastAsiaTheme="minorEastAsia"/>
          <w:b/>
          <w:bCs/>
          <w:sz w:val="30"/>
          <w:szCs w:val="30"/>
          <w:highlight w:val="none"/>
          <w:u w:val="single"/>
        </w:rPr>
      </w:pPr>
      <w:r>
        <w:rPr>
          <w:rFonts w:hint="eastAsia" w:ascii="宋体"/>
          <w:b/>
          <w:sz w:val="32"/>
          <w:szCs w:val="21"/>
          <w:highlight w:val="none"/>
        </w:rPr>
        <w:t>采购代理机构：</w:t>
      </w:r>
    </w:p>
    <w:p w14:paraId="198C4AFC">
      <w:pPr>
        <w:adjustRightInd w:val="0"/>
        <w:snapToGrid w:val="0"/>
        <w:spacing w:line="360" w:lineRule="auto"/>
        <w:rPr>
          <w:rFonts w:ascii="黑体" w:hAnsi="黑体" w:eastAsia="黑体"/>
          <w:sz w:val="30"/>
          <w:szCs w:val="30"/>
          <w:highlight w:val="none"/>
        </w:rPr>
      </w:pPr>
    </w:p>
    <w:p w14:paraId="5B2B1BBE">
      <w:pPr>
        <w:adjustRightInd w:val="0"/>
        <w:snapToGrid w:val="0"/>
        <w:spacing w:line="360" w:lineRule="auto"/>
        <w:rPr>
          <w:rFonts w:ascii="黑体" w:hAnsi="宋体" w:eastAsia="黑体"/>
          <w:sz w:val="30"/>
          <w:szCs w:val="30"/>
          <w:highlight w:val="none"/>
        </w:rPr>
      </w:pPr>
    </w:p>
    <w:p w14:paraId="4BB76A7D">
      <w:pPr>
        <w:adjustRightInd w:val="0"/>
        <w:snapToGrid w:val="0"/>
        <w:spacing w:line="360" w:lineRule="auto"/>
        <w:rPr>
          <w:rFonts w:ascii="黑体" w:hAnsi="宋体" w:eastAsia="黑体"/>
          <w:sz w:val="30"/>
          <w:szCs w:val="30"/>
          <w:highlight w:val="none"/>
        </w:rPr>
      </w:pPr>
    </w:p>
    <w:p w14:paraId="52FCA4EF">
      <w:pPr>
        <w:adjustRightInd w:val="0"/>
        <w:snapToGrid w:val="0"/>
        <w:spacing w:line="360" w:lineRule="auto"/>
        <w:ind w:firstLine="1984" w:firstLineChars="620"/>
        <w:rPr>
          <w:rFonts w:ascii="黑体" w:hAnsi="宋体" w:eastAsia="黑体"/>
          <w:sz w:val="32"/>
          <w:szCs w:val="32"/>
          <w:highlight w:val="none"/>
          <w:u w:val="single"/>
        </w:rPr>
      </w:pPr>
      <w:r>
        <w:rPr>
          <w:rFonts w:hint="eastAsia" w:ascii="黑体" w:hAnsi="宋体" w:eastAsia="黑体"/>
          <w:sz w:val="32"/>
          <w:szCs w:val="32"/>
          <w:highlight w:val="none"/>
        </w:rPr>
        <w:t>投标人：</w:t>
      </w:r>
    </w:p>
    <w:p w14:paraId="50CAB06A">
      <w:pPr>
        <w:adjustRightInd w:val="0"/>
        <w:snapToGrid w:val="0"/>
        <w:spacing w:line="360" w:lineRule="auto"/>
        <w:jc w:val="center"/>
        <w:rPr>
          <w:rFonts w:asciiTheme="minorEastAsia" w:hAnsiTheme="minorEastAsia" w:eastAsiaTheme="minorEastAsia"/>
          <w:szCs w:val="21"/>
          <w:highlight w:val="none"/>
        </w:rPr>
      </w:pPr>
      <w:r>
        <w:rPr>
          <w:rFonts w:hint="eastAsia" w:ascii="黑体" w:hAnsi="宋体" w:eastAsia="黑体"/>
          <w:sz w:val="32"/>
          <w:szCs w:val="32"/>
          <w:highlight w:val="none"/>
        </w:rPr>
        <w:t>年  月  日</w:t>
      </w:r>
      <w:r>
        <w:rPr>
          <w:rFonts w:ascii="黑体" w:eastAsia="黑体"/>
          <w:sz w:val="28"/>
          <w:szCs w:val="28"/>
          <w:highlight w:val="none"/>
        </w:rPr>
        <w:br w:type="page"/>
      </w:r>
    </w:p>
    <w:p w14:paraId="05EDD3CB">
      <w:pPr>
        <w:pStyle w:val="157"/>
        <w:spacing w:line="480" w:lineRule="auto"/>
        <w:jc w:val="center"/>
        <w:rPr>
          <w:rFonts w:ascii="黑体" w:hAnsi="宋体" w:eastAsia="黑体"/>
          <w:sz w:val="28"/>
          <w:szCs w:val="28"/>
          <w:highlight w:val="none"/>
        </w:rPr>
      </w:pPr>
      <w:r>
        <w:rPr>
          <w:rFonts w:hint="eastAsia" w:ascii="黑体" w:hAnsi="宋体" w:eastAsia="黑体"/>
          <w:sz w:val="28"/>
          <w:szCs w:val="28"/>
          <w:highlight w:val="none"/>
        </w:rPr>
        <w:t>一、投标人具备投标资格的证明文件</w:t>
      </w:r>
    </w:p>
    <w:p w14:paraId="25DBA1A4">
      <w:pPr>
        <w:pStyle w:val="157"/>
        <w:spacing w:line="480" w:lineRule="auto"/>
        <w:jc w:val="center"/>
        <w:rPr>
          <w:rFonts w:ascii="黑体" w:hAnsi="宋体" w:eastAsia="黑体"/>
          <w:sz w:val="28"/>
          <w:szCs w:val="28"/>
          <w:highlight w:val="none"/>
        </w:rPr>
      </w:pPr>
      <w:r>
        <w:rPr>
          <w:rFonts w:ascii="黑体" w:hAnsi="黑体" w:eastAsia="黑体" w:cs="黑体"/>
          <w:sz w:val="28"/>
          <w:szCs w:val="28"/>
          <w:highlight w:val="none"/>
        </w:rPr>
        <w:t>投标人</w:t>
      </w:r>
      <w:r>
        <w:rPr>
          <w:rFonts w:hint="eastAsia" w:ascii="黑体" w:hAnsi="黑体" w:eastAsia="黑体" w:cs="黑体"/>
          <w:sz w:val="28"/>
          <w:szCs w:val="28"/>
          <w:highlight w:val="none"/>
        </w:rPr>
        <w:t>应按本招标文件规定的资格条件提供证明材料。</w:t>
      </w:r>
    </w:p>
    <w:p w14:paraId="3D6DD483">
      <w:pPr>
        <w:spacing w:line="400" w:lineRule="exact"/>
        <w:rPr>
          <w:rFonts w:ascii="黑体" w:hAnsi="黑体" w:eastAsia="黑体" w:cs="黑体"/>
          <w:b/>
          <w:bCs/>
          <w:szCs w:val="21"/>
          <w:highlight w:val="none"/>
        </w:rPr>
      </w:pPr>
    </w:p>
    <w:p w14:paraId="10FC9A39">
      <w:pPr>
        <w:spacing w:line="400" w:lineRule="exact"/>
        <w:rPr>
          <w:rFonts w:ascii="黑体" w:hAnsi="黑体" w:eastAsia="黑体" w:cs="黑体"/>
          <w:sz w:val="28"/>
          <w:szCs w:val="28"/>
          <w:highlight w:val="none"/>
        </w:rPr>
      </w:pPr>
      <w:r>
        <w:rPr>
          <w:rFonts w:ascii="黑体" w:hAnsi="黑体" w:eastAsia="黑体" w:cs="黑体"/>
          <w:b/>
          <w:bCs/>
          <w:szCs w:val="21"/>
          <w:highlight w:val="none"/>
        </w:rPr>
        <w:t>附件1</w:t>
      </w:r>
      <w:r>
        <w:rPr>
          <w:rFonts w:hint="eastAsia" w:ascii="宋体" w:hAnsi="宋体" w:cs="宋体"/>
          <w:sz w:val="28"/>
          <w:szCs w:val="28"/>
          <w:highlight w:val="none"/>
        </w:rPr>
        <w:t> </w:t>
      </w:r>
      <w:r>
        <w:rPr>
          <w:rFonts w:hint="eastAsia" w:ascii="黑体" w:hAnsi="黑体" w:eastAsia="黑体" w:cs="黑体"/>
          <w:sz w:val="28"/>
          <w:szCs w:val="28"/>
          <w:highlight w:val="none"/>
        </w:rPr>
        <w:t xml:space="preserve"> </w:t>
      </w:r>
    </w:p>
    <w:p w14:paraId="58F37EE7">
      <w:pPr>
        <w:spacing w:before="240" w:after="240"/>
        <w:ind w:firstLine="3640" w:firstLineChars="1300"/>
        <w:rPr>
          <w:highlight w:val="none"/>
        </w:rPr>
      </w:pPr>
      <w:r>
        <w:rPr>
          <w:rFonts w:ascii="黑体" w:hAnsi="黑体" w:eastAsia="黑体" w:cs="黑体"/>
          <w:sz w:val="28"/>
          <w:szCs w:val="28"/>
          <w:highlight w:val="none"/>
        </w:rPr>
        <w:t>授权委托书</w:t>
      </w:r>
      <w:r>
        <w:rPr>
          <w:szCs w:val="21"/>
          <w:highlight w:val="none"/>
        </w:rPr>
        <w:t xml:space="preserve"> </w:t>
      </w:r>
    </w:p>
    <w:p w14:paraId="08B583DC">
      <w:pPr>
        <w:spacing w:line="360" w:lineRule="auto"/>
        <w:rPr>
          <w:szCs w:val="21"/>
          <w:highlight w:val="none"/>
        </w:rPr>
      </w:pPr>
    </w:p>
    <w:p w14:paraId="3CE4CDA1">
      <w:pPr>
        <w:spacing w:line="400" w:lineRule="exact"/>
        <w:ind w:firstLine="420" w:firstLineChars="200"/>
        <w:rPr>
          <w:highlight w:val="none"/>
        </w:rPr>
      </w:pPr>
      <w:r>
        <w:rPr>
          <w:rFonts w:ascii="宋体" w:hAnsi="宋体" w:cs="宋体"/>
          <w:szCs w:val="21"/>
          <w:highlight w:val="none"/>
        </w:rPr>
        <w:t>本人</w:t>
      </w:r>
      <w:r>
        <w:rPr>
          <w:rFonts w:ascii="宋体" w:hAnsi="宋体" w:cs="宋体"/>
          <w:szCs w:val="21"/>
          <w:highlight w:val="none"/>
          <w:u w:val="single"/>
        </w:rPr>
        <w:t>         </w:t>
      </w:r>
      <w:r>
        <w:rPr>
          <w:rFonts w:ascii="宋体" w:hAnsi="宋体" w:cs="宋体"/>
          <w:szCs w:val="21"/>
          <w:highlight w:val="none"/>
        </w:rPr>
        <w:t xml:space="preserve"> （姓名、职务）系_______________  （供应商名称）的法定代表人，现授权</w:t>
      </w:r>
      <w:r>
        <w:rPr>
          <w:rFonts w:ascii="宋体" w:hAnsi="宋体" w:cs="宋体"/>
          <w:szCs w:val="21"/>
          <w:highlight w:val="none"/>
          <w:u w:val="single"/>
        </w:rPr>
        <w:t>         </w:t>
      </w:r>
      <w:r>
        <w:rPr>
          <w:rFonts w:ascii="宋体" w:hAnsi="宋体" w:cs="宋体"/>
          <w:szCs w:val="21"/>
          <w:highlight w:val="none"/>
        </w:rPr>
        <w:t xml:space="preserve"> （姓名、职务）为我方代理人。代理人根据授权，以我方名义：(1)签署、澄清、补正、修改、撤回、提交_______________ （项目名称、政府采购编号、采购代理机构编号</w:t>
      </w:r>
      <w:r>
        <w:rPr>
          <w:rFonts w:hint="eastAsia" w:ascii="宋体" w:hAnsi="宋体" w:cs="宋体"/>
          <w:szCs w:val="21"/>
          <w:highlight w:val="none"/>
        </w:rPr>
        <w:t>、包号及包名称</w:t>
      </w:r>
      <w:r>
        <w:rPr>
          <w:rFonts w:ascii="宋体" w:hAnsi="宋体" w:cs="宋体"/>
          <w:szCs w:val="21"/>
          <w:highlight w:val="none"/>
        </w:rPr>
        <w:t>）响应文件；(2)签署并重新提交响应文件及最后报价；(3)退出谈判；(4)签订合同和处理有关事宜，其法律后果由我方承担。</w:t>
      </w:r>
      <w:r>
        <w:rPr>
          <w:szCs w:val="21"/>
          <w:highlight w:val="none"/>
        </w:rPr>
        <w:t xml:space="preserve"> </w:t>
      </w:r>
    </w:p>
    <w:p w14:paraId="75672AF6">
      <w:pPr>
        <w:spacing w:line="400" w:lineRule="exact"/>
        <w:ind w:firstLine="420"/>
        <w:rPr>
          <w:highlight w:val="none"/>
        </w:rPr>
      </w:pPr>
      <w:r>
        <w:rPr>
          <w:rFonts w:ascii="宋体" w:hAnsi="宋体" w:cs="宋体"/>
          <w:szCs w:val="21"/>
          <w:highlight w:val="none"/>
        </w:rPr>
        <w:t>委托期限：</w:t>
      </w:r>
      <w:r>
        <w:rPr>
          <w:rFonts w:ascii="宋体" w:hAnsi="宋体" w:cs="宋体"/>
          <w:szCs w:val="21"/>
          <w:highlight w:val="none"/>
          <w:u w:val="single"/>
        </w:rPr>
        <w:t>                      </w:t>
      </w:r>
      <w:r>
        <w:rPr>
          <w:rFonts w:ascii="宋体" w:hAnsi="宋体" w:cs="宋体"/>
          <w:szCs w:val="21"/>
          <w:highlight w:val="none"/>
        </w:rPr>
        <w:t xml:space="preserve">  。</w:t>
      </w:r>
      <w:r>
        <w:rPr>
          <w:szCs w:val="21"/>
          <w:highlight w:val="none"/>
        </w:rPr>
        <w:t xml:space="preserve"> </w:t>
      </w:r>
    </w:p>
    <w:p w14:paraId="58D99D7E">
      <w:pPr>
        <w:spacing w:line="400" w:lineRule="exact"/>
        <w:ind w:firstLine="435"/>
        <w:rPr>
          <w:highlight w:val="none"/>
        </w:rPr>
      </w:pPr>
      <w:r>
        <w:rPr>
          <w:rFonts w:ascii="宋体" w:hAnsi="宋体" w:cs="宋体"/>
          <w:szCs w:val="21"/>
          <w:highlight w:val="none"/>
        </w:rPr>
        <w:t>代理人无转委托权。</w:t>
      </w:r>
      <w:r>
        <w:rPr>
          <w:szCs w:val="21"/>
          <w:highlight w:val="none"/>
        </w:rPr>
        <w:t xml:space="preserve"> </w:t>
      </w:r>
    </w:p>
    <w:p w14:paraId="08B9A8FE">
      <w:pPr>
        <w:spacing w:line="400" w:lineRule="exact"/>
        <w:ind w:firstLine="435"/>
        <w:rPr>
          <w:highlight w:val="none"/>
        </w:rPr>
      </w:pPr>
      <w:r>
        <w:rPr>
          <w:rFonts w:ascii="宋体" w:hAnsi="宋体" w:cs="宋体"/>
          <w:szCs w:val="21"/>
          <w:highlight w:val="none"/>
        </w:rPr>
        <w:t>本授权书于</w:t>
      </w:r>
      <w:r>
        <w:rPr>
          <w:rFonts w:ascii="宋体" w:hAnsi="宋体" w:cs="宋体"/>
          <w:szCs w:val="21"/>
          <w:highlight w:val="none"/>
          <w:u w:val="single"/>
        </w:rPr>
        <w:t>     </w:t>
      </w:r>
      <w:r>
        <w:rPr>
          <w:rFonts w:ascii="宋体" w:hAnsi="宋体" w:cs="宋体"/>
          <w:szCs w:val="21"/>
          <w:highlight w:val="none"/>
        </w:rPr>
        <w:t xml:space="preserve"> 年</w:t>
      </w:r>
      <w:r>
        <w:rPr>
          <w:rFonts w:ascii="宋体" w:hAnsi="宋体" w:cs="宋体"/>
          <w:szCs w:val="21"/>
          <w:highlight w:val="none"/>
          <w:u w:val="single"/>
        </w:rPr>
        <w:t>   </w:t>
      </w:r>
      <w:r>
        <w:rPr>
          <w:rFonts w:ascii="宋体" w:hAnsi="宋体" w:cs="宋体"/>
          <w:szCs w:val="21"/>
          <w:highlight w:val="none"/>
        </w:rPr>
        <w:t xml:space="preserve"> 月</w:t>
      </w:r>
      <w:r>
        <w:rPr>
          <w:rFonts w:ascii="宋体" w:hAnsi="宋体" w:cs="宋体"/>
          <w:szCs w:val="21"/>
          <w:highlight w:val="none"/>
          <w:u w:val="single"/>
        </w:rPr>
        <w:t>   </w:t>
      </w:r>
      <w:r>
        <w:rPr>
          <w:rFonts w:ascii="宋体" w:hAnsi="宋体" w:cs="宋体"/>
          <w:szCs w:val="21"/>
          <w:highlight w:val="none"/>
        </w:rPr>
        <w:t xml:space="preserve"> 日签字生效，特此声明。</w:t>
      </w:r>
      <w:r>
        <w:rPr>
          <w:szCs w:val="21"/>
          <w:highlight w:val="none"/>
        </w:rPr>
        <w:t xml:space="preserve"> </w:t>
      </w:r>
    </w:p>
    <w:p w14:paraId="000F5890">
      <w:pPr>
        <w:spacing w:line="400" w:lineRule="exact"/>
        <w:ind w:firstLine="420"/>
        <w:rPr>
          <w:highlight w:val="none"/>
        </w:rPr>
      </w:pPr>
      <w:r>
        <w:rPr>
          <w:szCs w:val="21"/>
          <w:highlight w:val="none"/>
        </w:rPr>
        <w:t xml:space="preserve">  </w:t>
      </w:r>
    </w:p>
    <w:tbl>
      <w:tblPr>
        <w:tblStyle w:val="43"/>
        <w:tblW w:w="0" w:type="auto"/>
        <w:tblInd w:w="128" w:type="dxa"/>
        <w:tblLayout w:type="autofit"/>
        <w:tblCellMar>
          <w:top w:w="0" w:type="dxa"/>
          <w:left w:w="0" w:type="dxa"/>
          <w:bottom w:w="0" w:type="dxa"/>
          <w:right w:w="0" w:type="dxa"/>
        </w:tblCellMar>
      </w:tblPr>
      <w:tblGrid>
        <w:gridCol w:w="8528"/>
      </w:tblGrid>
      <w:tr w14:paraId="3A38A3FC">
        <w:tblPrEx>
          <w:tblCellMar>
            <w:top w:w="0" w:type="dxa"/>
            <w:left w:w="0" w:type="dxa"/>
            <w:bottom w:w="0" w:type="dxa"/>
            <w:right w:w="0" w:type="dxa"/>
          </w:tblCellMar>
        </w:tblPrEx>
        <w:trPr>
          <w:trHeight w:val="2526" w:hRule="atLeast"/>
        </w:trPr>
        <w:tc>
          <w:tcPr>
            <w:tcW w:w="8528"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EDB8CAD">
            <w:pPr>
              <w:spacing w:line="400" w:lineRule="exact"/>
              <w:jc w:val="center"/>
              <w:rPr>
                <w:highlight w:val="none"/>
              </w:rPr>
            </w:pPr>
            <w:r>
              <w:rPr>
                <w:rFonts w:ascii="宋体" w:hAnsi="宋体" w:cs="宋体"/>
                <w:szCs w:val="21"/>
                <w:highlight w:val="none"/>
              </w:rPr>
              <w:t>委托代理人身份证复印件</w:t>
            </w:r>
            <w:r>
              <w:rPr>
                <w:szCs w:val="21"/>
                <w:highlight w:val="none"/>
              </w:rPr>
              <w:t xml:space="preserve"> </w:t>
            </w:r>
          </w:p>
        </w:tc>
      </w:tr>
    </w:tbl>
    <w:p w14:paraId="3706E855">
      <w:pPr>
        <w:spacing w:line="400" w:lineRule="exact"/>
        <w:ind w:firstLine="420"/>
        <w:rPr>
          <w:highlight w:val="none"/>
        </w:rPr>
      </w:pPr>
      <w:r>
        <w:rPr>
          <w:rFonts w:ascii="宋体" w:hAnsi="宋体" w:cs="宋体"/>
          <w:szCs w:val="21"/>
          <w:highlight w:val="none"/>
        </w:rPr>
        <w:t>附：法定代表人身份证明</w:t>
      </w:r>
      <w:r>
        <w:rPr>
          <w:szCs w:val="21"/>
          <w:highlight w:val="none"/>
        </w:rPr>
        <w:t xml:space="preserve"> </w:t>
      </w:r>
      <w:r>
        <w:rPr>
          <w:rFonts w:hint="eastAsia"/>
          <w:szCs w:val="21"/>
          <w:highlight w:val="none"/>
        </w:rPr>
        <w:t>（见附件1-1）</w:t>
      </w:r>
    </w:p>
    <w:p w14:paraId="75BEA0E8">
      <w:pPr>
        <w:spacing w:line="400" w:lineRule="exact"/>
        <w:ind w:firstLine="420"/>
        <w:rPr>
          <w:highlight w:val="none"/>
        </w:rPr>
      </w:pPr>
      <w:r>
        <w:rPr>
          <w:szCs w:val="21"/>
          <w:highlight w:val="none"/>
        </w:rPr>
        <w:t xml:space="preserve">  </w:t>
      </w:r>
    </w:p>
    <w:p w14:paraId="1E8D6D38">
      <w:pPr>
        <w:spacing w:line="400" w:lineRule="exact"/>
        <w:ind w:firstLine="420"/>
        <w:rPr>
          <w:highlight w:val="none"/>
        </w:rPr>
      </w:pPr>
      <w:r>
        <w:rPr>
          <w:szCs w:val="21"/>
          <w:highlight w:val="none"/>
        </w:rPr>
        <w:t xml:space="preserve">  </w:t>
      </w:r>
    </w:p>
    <w:p w14:paraId="0F564847">
      <w:pPr>
        <w:spacing w:line="400" w:lineRule="exact"/>
        <w:rPr>
          <w:color w:val="FF0000"/>
          <w:highlight w:val="none"/>
        </w:rPr>
      </w:pPr>
      <w:r>
        <w:rPr>
          <w:rFonts w:ascii="宋体" w:hAnsi="宋体" w:cs="宋体"/>
          <w:color w:val="FF0000"/>
          <w:szCs w:val="21"/>
          <w:highlight w:val="none"/>
        </w:rPr>
        <w:t>投标人名称（</w:t>
      </w:r>
      <w:r>
        <w:rPr>
          <w:rFonts w:hint="eastAsia" w:ascii="宋体" w:hAnsi="宋体" w:cs="宋体"/>
          <w:color w:val="FF0000"/>
          <w:szCs w:val="21"/>
          <w:highlight w:val="none"/>
        </w:rPr>
        <w:t>电子签章</w:t>
      </w:r>
      <w:r>
        <w:rPr>
          <w:rFonts w:ascii="宋体" w:hAnsi="宋体" w:cs="宋体"/>
          <w:color w:val="FF0000"/>
          <w:szCs w:val="21"/>
          <w:highlight w:val="none"/>
        </w:rPr>
        <w:t>）：</w:t>
      </w:r>
      <w:r>
        <w:rPr>
          <w:color w:val="FF0000"/>
          <w:szCs w:val="21"/>
          <w:highlight w:val="none"/>
        </w:rPr>
        <w:t xml:space="preserve"> </w:t>
      </w:r>
    </w:p>
    <w:p w14:paraId="1BB738BC">
      <w:pPr>
        <w:spacing w:line="400" w:lineRule="exact"/>
        <w:ind w:right="420"/>
        <w:rPr>
          <w:color w:val="FF0000"/>
          <w:highlight w:val="none"/>
        </w:rPr>
      </w:pPr>
      <w:r>
        <w:rPr>
          <w:rFonts w:ascii="宋体" w:hAnsi="宋体" w:cs="宋体"/>
          <w:color w:val="FF0000"/>
          <w:szCs w:val="21"/>
          <w:highlight w:val="none"/>
        </w:rPr>
        <w:t>法定代表人（</w:t>
      </w:r>
      <w:r>
        <w:rPr>
          <w:rFonts w:hint="eastAsia" w:ascii="宋体" w:hAnsi="宋体"/>
          <w:szCs w:val="21"/>
          <w:highlight w:val="none"/>
        </w:rPr>
        <w:t>签字或印章</w:t>
      </w:r>
      <w:r>
        <w:rPr>
          <w:rFonts w:ascii="宋体" w:hAnsi="宋体" w:cs="宋体"/>
          <w:color w:val="FF0000"/>
          <w:szCs w:val="21"/>
          <w:highlight w:val="none"/>
        </w:rPr>
        <w:t>）：</w:t>
      </w:r>
      <w:r>
        <w:rPr>
          <w:rFonts w:ascii="宋体" w:hAnsi="宋体" w:cs="宋体"/>
          <w:color w:val="FF0000"/>
          <w:szCs w:val="21"/>
          <w:highlight w:val="none"/>
          <w:u w:val="single"/>
        </w:rPr>
        <w:t>                    </w:t>
      </w:r>
      <w:r>
        <w:rPr>
          <w:color w:val="FF0000"/>
          <w:szCs w:val="21"/>
          <w:highlight w:val="none"/>
        </w:rPr>
        <w:t xml:space="preserve"> </w:t>
      </w:r>
    </w:p>
    <w:p w14:paraId="34F0A0A8">
      <w:pPr>
        <w:spacing w:line="400" w:lineRule="exact"/>
        <w:ind w:right="420"/>
        <w:rPr>
          <w:color w:val="FF0000"/>
          <w:highlight w:val="none"/>
        </w:rPr>
      </w:pPr>
      <w:r>
        <w:rPr>
          <w:rFonts w:ascii="宋体" w:hAnsi="宋体" w:cs="宋体"/>
          <w:color w:val="FF0000"/>
          <w:szCs w:val="21"/>
          <w:highlight w:val="none"/>
        </w:rPr>
        <w:t>委托代理人（</w:t>
      </w:r>
      <w:r>
        <w:rPr>
          <w:rFonts w:hint="eastAsia" w:ascii="宋体" w:hAnsi="宋体"/>
          <w:szCs w:val="21"/>
          <w:highlight w:val="none"/>
        </w:rPr>
        <w:t>签字或印章</w:t>
      </w:r>
      <w:r>
        <w:rPr>
          <w:rFonts w:ascii="宋体" w:hAnsi="宋体" w:cs="宋体"/>
          <w:color w:val="FF0000"/>
          <w:szCs w:val="21"/>
          <w:highlight w:val="none"/>
        </w:rPr>
        <w:t>）：</w:t>
      </w:r>
      <w:r>
        <w:rPr>
          <w:rFonts w:ascii="宋体" w:hAnsi="宋体" w:cs="宋体"/>
          <w:color w:val="FF0000"/>
          <w:szCs w:val="21"/>
          <w:highlight w:val="none"/>
          <w:u w:val="single"/>
        </w:rPr>
        <w:t>                    </w:t>
      </w:r>
      <w:r>
        <w:rPr>
          <w:color w:val="FF0000"/>
          <w:szCs w:val="21"/>
          <w:highlight w:val="none"/>
        </w:rPr>
        <w:t xml:space="preserve"> </w:t>
      </w:r>
    </w:p>
    <w:p w14:paraId="2616C8F5">
      <w:pPr>
        <w:pStyle w:val="157"/>
        <w:spacing w:line="480" w:lineRule="auto"/>
        <w:jc w:val="center"/>
        <w:rPr>
          <w:rFonts w:ascii="黑体" w:hAnsi="宋体" w:eastAsia="黑体"/>
          <w:color w:val="FF0000"/>
          <w:sz w:val="28"/>
          <w:szCs w:val="28"/>
          <w:highlight w:val="none"/>
        </w:rPr>
      </w:pPr>
      <w:r>
        <w:rPr>
          <w:rFonts w:ascii="宋体" w:hAnsi="宋体" w:cs="宋体"/>
          <w:color w:val="FF0000"/>
          <w:szCs w:val="21"/>
          <w:highlight w:val="none"/>
          <w:u w:val="single"/>
        </w:rPr>
        <w:t>        </w:t>
      </w:r>
      <w:r>
        <w:rPr>
          <w:color w:val="FF0000"/>
          <w:szCs w:val="21"/>
          <w:highlight w:val="none"/>
        </w:rPr>
        <w:t xml:space="preserve"> </w:t>
      </w:r>
      <w:r>
        <w:rPr>
          <w:rFonts w:ascii="宋体" w:hAnsi="宋体" w:cs="宋体"/>
          <w:color w:val="FF0000"/>
          <w:szCs w:val="21"/>
          <w:highlight w:val="none"/>
        </w:rPr>
        <w:t>年</w:t>
      </w:r>
      <w:r>
        <w:rPr>
          <w:rFonts w:ascii="宋体" w:hAnsi="宋体" w:cs="宋体"/>
          <w:color w:val="FF0000"/>
          <w:szCs w:val="21"/>
          <w:highlight w:val="none"/>
          <w:u w:val="single"/>
        </w:rPr>
        <w:t>     </w:t>
      </w:r>
      <w:r>
        <w:rPr>
          <w:rFonts w:ascii="宋体" w:hAnsi="宋体" w:cs="宋体"/>
          <w:color w:val="FF0000"/>
          <w:szCs w:val="21"/>
          <w:highlight w:val="none"/>
        </w:rPr>
        <w:t xml:space="preserve"> 月</w:t>
      </w:r>
      <w:r>
        <w:rPr>
          <w:rFonts w:ascii="宋体" w:hAnsi="宋体" w:cs="宋体"/>
          <w:color w:val="FF0000"/>
          <w:szCs w:val="21"/>
          <w:highlight w:val="none"/>
          <w:u w:val="single"/>
        </w:rPr>
        <w:t>      </w:t>
      </w:r>
      <w:r>
        <w:rPr>
          <w:rFonts w:ascii="宋体" w:hAnsi="宋体" w:cs="宋体"/>
          <w:color w:val="FF0000"/>
          <w:szCs w:val="21"/>
          <w:highlight w:val="none"/>
        </w:rPr>
        <w:t xml:space="preserve"> 日</w:t>
      </w:r>
      <w:r>
        <w:rPr>
          <w:color w:val="FF0000"/>
          <w:szCs w:val="21"/>
          <w:highlight w:val="none"/>
        </w:rPr>
        <w:t xml:space="preserve"> </w:t>
      </w:r>
    </w:p>
    <w:p w14:paraId="5DCACE4A">
      <w:pPr>
        <w:pStyle w:val="157"/>
        <w:spacing w:line="480" w:lineRule="auto"/>
        <w:jc w:val="center"/>
        <w:rPr>
          <w:rFonts w:ascii="黑体" w:hAnsi="宋体" w:eastAsia="黑体"/>
          <w:sz w:val="28"/>
          <w:szCs w:val="28"/>
          <w:highlight w:val="none"/>
        </w:rPr>
      </w:pPr>
    </w:p>
    <w:p w14:paraId="5CFBF809">
      <w:pPr>
        <w:pStyle w:val="157"/>
        <w:spacing w:line="480" w:lineRule="auto"/>
        <w:jc w:val="center"/>
        <w:rPr>
          <w:rFonts w:ascii="黑体" w:hAnsi="宋体" w:eastAsia="黑体"/>
          <w:sz w:val="28"/>
          <w:szCs w:val="28"/>
          <w:highlight w:val="none"/>
        </w:rPr>
      </w:pPr>
    </w:p>
    <w:p w14:paraId="5470303C">
      <w:pPr>
        <w:rPr>
          <w:rFonts w:ascii="黑体" w:hAnsi="黑体" w:eastAsia="黑体" w:cs="黑体"/>
          <w:b/>
          <w:bCs/>
          <w:szCs w:val="21"/>
          <w:highlight w:val="none"/>
        </w:rPr>
      </w:pPr>
    </w:p>
    <w:p w14:paraId="2BB86772">
      <w:pPr>
        <w:rPr>
          <w:rFonts w:ascii="黑体" w:hAnsi="黑体" w:eastAsia="黑体" w:cs="黑体"/>
          <w:sz w:val="28"/>
          <w:szCs w:val="28"/>
          <w:highlight w:val="none"/>
        </w:rPr>
      </w:pPr>
      <w:r>
        <w:rPr>
          <w:rFonts w:ascii="黑体" w:hAnsi="黑体" w:eastAsia="黑体" w:cs="黑体"/>
          <w:b/>
          <w:bCs/>
          <w:szCs w:val="21"/>
          <w:highlight w:val="none"/>
        </w:rPr>
        <w:t>附件1-1</w:t>
      </w:r>
      <w:r>
        <w:rPr>
          <w:rFonts w:hint="eastAsia" w:ascii="宋体" w:hAnsi="宋体" w:cs="宋体"/>
          <w:sz w:val="28"/>
          <w:szCs w:val="28"/>
          <w:highlight w:val="none"/>
        </w:rPr>
        <w:t> </w:t>
      </w:r>
      <w:r>
        <w:rPr>
          <w:rFonts w:hint="eastAsia" w:ascii="黑体" w:hAnsi="黑体" w:eastAsia="黑体" w:cs="黑体"/>
          <w:sz w:val="28"/>
          <w:szCs w:val="28"/>
          <w:highlight w:val="none"/>
        </w:rPr>
        <w:t xml:space="preserve"> </w:t>
      </w:r>
    </w:p>
    <w:p w14:paraId="49C9AFD3">
      <w:pPr>
        <w:ind w:firstLine="3080" w:firstLineChars="1100"/>
        <w:rPr>
          <w:rFonts w:ascii="黑体" w:hAnsi="黑体" w:eastAsia="黑体" w:cs="黑体"/>
          <w:sz w:val="28"/>
          <w:szCs w:val="28"/>
          <w:highlight w:val="none"/>
        </w:rPr>
      </w:pPr>
    </w:p>
    <w:p w14:paraId="6F8D93B0">
      <w:pPr>
        <w:ind w:firstLine="3080" w:firstLineChars="1100"/>
        <w:rPr>
          <w:highlight w:val="none"/>
        </w:rPr>
      </w:pPr>
      <w:r>
        <w:rPr>
          <w:rFonts w:ascii="黑体" w:hAnsi="黑体" w:eastAsia="黑体" w:cs="黑体"/>
          <w:sz w:val="28"/>
          <w:szCs w:val="28"/>
          <w:highlight w:val="none"/>
        </w:rPr>
        <w:t>法定代表人身份证明</w:t>
      </w:r>
      <w:r>
        <w:rPr>
          <w:szCs w:val="21"/>
          <w:highlight w:val="none"/>
        </w:rPr>
        <w:t xml:space="preserve"> </w:t>
      </w:r>
    </w:p>
    <w:p w14:paraId="4B589762">
      <w:pPr>
        <w:spacing w:before="156" w:line="360" w:lineRule="auto"/>
        <w:rPr>
          <w:highlight w:val="none"/>
        </w:rPr>
      </w:pPr>
      <w:r>
        <w:rPr>
          <w:szCs w:val="21"/>
          <w:highlight w:val="none"/>
        </w:rPr>
        <w:t xml:space="preserve">  </w:t>
      </w:r>
    </w:p>
    <w:p w14:paraId="4CB2F74B">
      <w:pPr>
        <w:spacing w:line="400" w:lineRule="exact"/>
        <w:rPr>
          <w:highlight w:val="none"/>
        </w:rPr>
      </w:pPr>
      <w:r>
        <w:rPr>
          <w:rFonts w:ascii="宋体" w:hAnsi="宋体" w:cs="宋体"/>
          <w:szCs w:val="21"/>
          <w:highlight w:val="none"/>
        </w:rPr>
        <w:t>投标人名称：</w:t>
      </w:r>
      <w:r>
        <w:rPr>
          <w:rFonts w:ascii="宋体" w:hAnsi="宋体" w:cs="宋体"/>
          <w:szCs w:val="21"/>
          <w:highlight w:val="none"/>
          <w:u w:val="single"/>
        </w:rPr>
        <w:t>                 </w:t>
      </w:r>
      <w:r>
        <w:rPr>
          <w:rFonts w:ascii="宋体" w:hAnsi="宋体" w:cs="宋体"/>
          <w:szCs w:val="21"/>
          <w:highlight w:val="none"/>
        </w:rPr>
        <w:t xml:space="preserve">  </w:t>
      </w:r>
      <w:r>
        <w:rPr>
          <w:szCs w:val="21"/>
          <w:highlight w:val="none"/>
        </w:rPr>
        <w:t xml:space="preserve"> </w:t>
      </w:r>
    </w:p>
    <w:p w14:paraId="3C33C234">
      <w:pPr>
        <w:spacing w:line="400" w:lineRule="exact"/>
        <w:rPr>
          <w:highlight w:val="none"/>
        </w:rPr>
      </w:pPr>
      <w:r>
        <w:rPr>
          <w:rFonts w:ascii="宋体" w:hAnsi="宋体" w:cs="宋体"/>
          <w:szCs w:val="21"/>
          <w:highlight w:val="none"/>
        </w:rPr>
        <w:t>注册号：</w:t>
      </w:r>
      <w:r>
        <w:rPr>
          <w:rFonts w:ascii="宋体" w:hAnsi="宋体" w:cs="宋体"/>
          <w:szCs w:val="21"/>
          <w:highlight w:val="none"/>
          <w:u w:val="single"/>
        </w:rPr>
        <w:t>                  </w:t>
      </w:r>
      <w:r>
        <w:rPr>
          <w:szCs w:val="21"/>
          <w:highlight w:val="none"/>
        </w:rPr>
        <w:t xml:space="preserve"> </w:t>
      </w:r>
    </w:p>
    <w:p w14:paraId="046A4AE9">
      <w:pPr>
        <w:spacing w:line="400" w:lineRule="exact"/>
        <w:rPr>
          <w:highlight w:val="none"/>
        </w:rPr>
      </w:pPr>
      <w:r>
        <w:rPr>
          <w:rFonts w:ascii="宋体" w:hAnsi="宋体" w:cs="宋体"/>
          <w:szCs w:val="21"/>
          <w:highlight w:val="none"/>
        </w:rPr>
        <w:t>注册地址：</w:t>
      </w:r>
      <w:r>
        <w:rPr>
          <w:rFonts w:ascii="宋体" w:hAnsi="宋体" w:cs="宋体"/>
          <w:szCs w:val="21"/>
          <w:highlight w:val="none"/>
          <w:u w:val="single"/>
        </w:rPr>
        <w:t>                                   </w:t>
      </w:r>
      <w:r>
        <w:rPr>
          <w:szCs w:val="21"/>
          <w:highlight w:val="none"/>
        </w:rPr>
        <w:t xml:space="preserve"> </w:t>
      </w:r>
    </w:p>
    <w:p w14:paraId="384958AF">
      <w:pPr>
        <w:spacing w:line="400" w:lineRule="exact"/>
        <w:rPr>
          <w:highlight w:val="none"/>
        </w:rPr>
      </w:pPr>
      <w:r>
        <w:rPr>
          <w:rFonts w:ascii="宋体" w:hAnsi="宋体" w:cs="宋体"/>
          <w:szCs w:val="21"/>
          <w:highlight w:val="none"/>
        </w:rPr>
        <w:t xml:space="preserve">成立时间： </w:t>
      </w:r>
      <w:r>
        <w:rPr>
          <w:rFonts w:ascii="宋体" w:hAnsi="宋体" w:cs="宋体"/>
          <w:szCs w:val="21"/>
          <w:highlight w:val="none"/>
          <w:u w:val="single"/>
        </w:rPr>
        <w:t>       </w:t>
      </w:r>
      <w:r>
        <w:rPr>
          <w:rFonts w:ascii="宋体" w:hAnsi="宋体" w:cs="宋体"/>
          <w:szCs w:val="21"/>
          <w:highlight w:val="none"/>
        </w:rPr>
        <w:t xml:space="preserve">年 </w:t>
      </w:r>
      <w:r>
        <w:rPr>
          <w:rFonts w:ascii="宋体" w:hAnsi="宋体" w:cs="宋体"/>
          <w:szCs w:val="21"/>
          <w:highlight w:val="none"/>
          <w:u w:val="single"/>
        </w:rPr>
        <w:t>     </w:t>
      </w:r>
      <w:r>
        <w:rPr>
          <w:rFonts w:ascii="宋体" w:hAnsi="宋体" w:cs="宋体"/>
          <w:szCs w:val="21"/>
          <w:highlight w:val="none"/>
        </w:rPr>
        <w:t>月</w:t>
      </w:r>
      <w:r>
        <w:rPr>
          <w:rFonts w:ascii="宋体" w:hAnsi="宋体" w:cs="宋体"/>
          <w:szCs w:val="21"/>
          <w:highlight w:val="none"/>
          <w:u w:val="single"/>
        </w:rPr>
        <w:t>   </w:t>
      </w:r>
      <w:r>
        <w:rPr>
          <w:rFonts w:ascii="宋体" w:hAnsi="宋体" w:cs="宋体"/>
          <w:szCs w:val="21"/>
          <w:highlight w:val="none"/>
        </w:rPr>
        <w:t xml:space="preserve">  日</w:t>
      </w:r>
      <w:r>
        <w:rPr>
          <w:szCs w:val="21"/>
          <w:highlight w:val="none"/>
        </w:rPr>
        <w:t xml:space="preserve"> </w:t>
      </w:r>
    </w:p>
    <w:p w14:paraId="3596AC6D">
      <w:pPr>
        <w:spacing w:line="400" w:lineRule="exact"/>
        <w:rPr>
          <w:highlight w:val="none"/>
        </w:rPr>
      </w:pPr>
      <w:r>
        <w:rPr>
          <w:rFonts w:ascii="宋体" w:hAnsi="宋体" w:cs="宋体"/>
          <w:szCs w:val="21"/>
          <w:highlight w:val="none"/>
        </w:rPr>
        <w:t>经营期限：</w:t>
      </w:r>
      <w:r>
        <w:rPr>
          <w:rFonts w:ascii="宋体" w:hAnsi="宋体" w:cs="宋体"/>
          <w:szCs w:val="21"/>
          <w:highlight w:val="none"/>
          <w:u w:val="single"/>
        </w:rPr>
        <w:t>                 </w:t>
      </w:r>
      <w:r>
        <w:rPr>
          <w:szCs w:val="21"/>
          <w:highlight w:val="none"/>
        </w:rPr>
        <w:t xml:space="preserve"> </w:t>
      </w:r>
    </w:p>
    <w:p w14:paraId="1043CF2F">
      <w:pPr>
        <w:spacing w:line="400" w:lineRule="exact"/>
        <w:rPr>
          <w:highlight w:val="none"/>
        </w:rPr>
      </w:pPr>
      <w:r>
        <w:rPr>
          <w:rFonts w:ascii="宋体" w:hAnsi="宋体" w:cs="宋体"/>
          <w:szCs w:val="21"/>
          <w:highlight w:val="none"/>
        </w:rPr>
        <w:t>经营范围：主营：</w:t>
      </w:r>
      <w:r>
        <w:rPr>
          <w:rFonts w:ascii="宋体" w:hAnsi="宋体" w:cs="宋体"/>
          <w:szCs w:val="21"/>
          <w:highlight w:val="none"/>
          <w:u w:val="single"/>
        </w:rPr>
        <w:t>             </w:t>
      </w:r>
      <w:r>
        <w:rPr>
          <w:rFonts w:ascii="宋体" w:hAnsi="宋体" w:cs="宋体"/>
          <w:szCs w:val="21"/>
          <w:highlight w:val="none"/>
        </w:rPr>
        <w:t xml:space="preserve">  ；兼营：</w:t>
      </w:r>
      <w:r>
        <w:rPr>
          <w:rFonts w:ascii="宋体" w:hAnsi="宋体" w:cs="宋体"/>
          <w:szCs w:val="21"/>
          <w:highlight w:val="none"/>
          <w:u w:val="single"/>
        </w:rPr>
        <w:t>             </w:t>
      </w:r>
      <w:r>
        <w:rPr>
          <w:szCs w:val="21"/>
          <w:highlight w:val="none"/>
        </w:rPr>
        <w:t xml:space="preserve"> </w:t>
      </w:r>
    </w:p>
    <w:p w14:paraId="24B5528B">
      <w:pPr>
        <w:spacing w:line="400" w:lineRule="exact"/>
        <w:rPr>
          <w:highlight w:val="none"/>
        </w:rPr>
      </w:pPr>
      <w:r>
        <w:rPr>
          <w:rFonts w:ascii="宋体" w:hAnsi="宋体" w:cs="宋体"/>
          <w:szCs w:val="21"/>
          <w:highlight w:val="none"/>
        </w:rPr>
        <w:t>姓名：</w:t>
      </w:r>
      <w:r>
        <w:rPr>
          <w:rFonts w:ascii="宋体" w:hAnsi="宋体" w:cs="宋体"/>
          <w:szCs w:val="21"/>
          <w:highlight w:val="none"/>
          <w:u w:val="single"/>
        </w:rPr>
        <w:t>        </w:t>
      </w:r>
      <w:r>
        <w:rPr>
          <w:rFonts w:ascii="宋体" w:hAnsi="宋体" w:cs="宋体"/>
          <w:szCs w:val="21"/>
          <w:highlight w:val="none"/>
        </w:rPr>
        <w:t xml:space="preserve">  性别：</w:t>
      </w:r>
      <w:r>
        <w:rPr>
          <w:rFonts w:ascii="宋体" w:hAnsi="宋体" w:cs="宋体"/>
          <w:szCs w:val="21"/>
          <w:highlight w:val="none"/>
          <w:u w:val="single"/>
        </w:rPr>
        <w:t>     </w:t>
      </w:r>
      <w:r>
        <w:rPr>
          <w:rFonts w:ascii="宋体" w:hAnsi="宋体" w:cs="宋体"/>
          <w:szCs w:val="21"/>
          <w:highlight w:val="none"/>
        </w:rPr>
        <w:t xml:space="preserve">  年龄：</w:t>
      </w:r>
      <w:r>
        <w:rPr>
          <w:rFonts w:ascii="宋体" w:hAnsi="宋体" w:cs="宋体"/>
          <w:szCs w:val="21"/>
          <w:highlight w:val="none"/>
          <w:u w:val="single"/>
        </w:rPr>
        <w:t>    </w:t>
      </w:r>
      <w:r>
        <w:rPr>
          <w:rFonts w:ascii="宋体" w:hAnsi="宋体" w:cs="宋体"/>
          <w:szCs w:val="21"/>
          <w:highlight w:val="none"/>
        </w:rPr>
        <w:t xml:space="preserve">  职务：</w:t>
      </w:r>
      <w:r>
        <w:rPr>
          <w:rFonts w:ascii="宋体" w:hAnsi="宋体" w:cs="宋体"/>
          <w:szCs w:val="21"/>
          <w:highlight w:val="none"/>
          <w:u w:val="single"/>
        </w:rPr>
        <w:t>        </w:t>
      </w:r>
      <w:r>
        <w:rPr>
          <w:rFonts w:ascii="宋体" w:hAnsi="宋体" w:cs="宋体"/>
          <w:szCs w:val="21"/>
          <w:highlight w:val="none"/>
        </w:rPr>
        <w:t xml:space="preserve"> 系</w:t>
      </w:r>
      <w:r>
        <w:rPr>
          <w:rFonts w:ascii="宋体" w:hAnsi="宋体" w:cs="宋体"/>
          <w:szCs w:val="21"/>
          <w:highlight w:val="none"/>
          <w:u w:val="single"/>
        </w:rPr>
        <w:t>         </w:t>
      </w:r>
      <w:r>
        <w:rPr>
          <w:rFonts w:ascii="宋体" w:hAnsi="宋体" w:cs="宋体"/>
          <w:szCs w:val="21"/>
          <w:highlight w:val="none"/>
        </w:rPr>
        <w:t xml:space="preserve">  （投标人名称）的法定代表人。</w:t>
      </w:r>
      <w:r>
        <w:rPr>
          <w:szCs w:val="21"/>
          <w:highlight w:val="none"/>
        </w:rPr>
        <w:t xml:space="preserve"> </w:t>
      </w:r>
    </w:p>
    <w:p w14:paraId="6B88A772">
      <w:pPr>
        <w:spacing w:line="400" w:lineRule="exact"/>
        <w:rPr>
          <w:highlight w:val="none"/>
        </w:rPr>
      </w:pPr>
      <w:r>
        <w:rPr>
          <w:rFonts w:ascii="宋体" w:hAnsi="宋体" w:cs="宋体"/>
          <w:szCs w:val="21"/>
          <w:highlight w:val="none"/>
        </w:rPr>
        <w:t>特此证明。</w:t>
      </w:r>
      <w:r>
        <w:rPr>
          <w:szCs w:val="21"/>
          <w:highlight w:val="none"/>
        </w:rPr>
        <w:t xml:space="preserve"> </w:t>
      </w:r>
    </w:p>
    <w:p w14:paraId="62CBDD79">
      <w:pPr>
        <w:spacing w:line="400" w:lineRule="exact"/>
        <w:rPr>
          <w:highlight w:val="none"/>
        </w:rPr>
      </w:pPr>
      <w:r>
        <w:rPr>
          <w:szCs w:val="21"/>
          <w:highlight w:val="none"/>
        </w:rPr>
        <w:t xml:space="preserve">  </w:t>
      </w:r>
    </w:p>
    <w:tbl>
      <w:tblPr>
        <w:tblStyle w:val="43"/>
        <w:tblW w:w="0" w:type="auto"/>
        <w:tblInd w:w="128" w:type="dxa"/>
        <w:tblLayout w:type="autofit"/>
        <w:tblCellMar>
          <w:top w:w="0" w:type="dxa"/>
          <w:left w:w="0" w:type="dxa"/>
          <w:bottom w:w="0" w:type="dxa"/>
          <w:right w:w="0" w:type="dxa"/>
        </w:tblCellMar>
      </w:tblPr>
      <w:tblGrid>
        <w:gridCol w:w="8528"/>
      </w:tblGrid>
      <w:tr w14:paraId="41DDAA58">
        <w:tblPrEx>
          <w:tblCellMar>
            <w:top w:w="0" w:type="dxa"/>
            <w:left w:w="0" w:type="dxa"/>
            <w:bottom w:w="0" w:type="dxa"/>
            <w:right w:w="0" w:type="dxa"/>
          </w:tblCellMar>
        </w:tblPrEx>
        <w:trPr>
          <w:trHeight w:val="2526" w:hRule="atLeast"/>
        </w:trPr>
        <w:tc>
          <w:tcPr>
            <w:tcW w:w="8528"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67E2930">
            <w:pPr>
              <w:spacing w:line="400" w:lineRule="exact"/>
              <w:jc w:val="center"/>
              <w:rPr>
                <w:highlight w:val="none"/>
              </w:rPr>
            </w:pPr>
            <w:r>
              <w:rPr>
                <w:rFonts w:ascii="宋体" w:hAnsi="宋体" w:cs="宋体"/>
                <w:szCs w:val="21"/>
                <w:highlight w:val="none"/>
              </w:rPr>
              <w:t>法定代表人身份证复印件</w:t>
            </w:r>
            <w:r>
              <w:rPr>
                <w:szCs w:val="21"/>
                <w:highlight w:val="none"/>
              </w:rPr>
              <w:t xml:space="preserve"> </w:t>
            </w:r>
          </w:p>
        </w:tc>
      </w:tr>
    </w:tbl>
    <w:p w14:paraId="6ECF3B01">
      <w:pPr>
        <w:spacing w:line="400" w:lineRule="exact"/>
        <w:rPr>
          <w:highlight w:val="none"/>
        </w:rPr>
      </w:pPr>
      <w:r>
        <w:rPr>
          <w:szCs w:val="21"/>
          <w:highlight w:val="none"/>
        </w:rPr>
        <w:t xml:space="preserve">  </w:t>
      </w:r>
    </w:p>
    <w:p w14:paraId="69B3E7C7">
      <w:pPr>
        <w:spacing w:line="400" w:lineRule="exact"/>
        <w:rPr>
          <w:highlight w:val="none"/>
        </w:rPr>
      </w:pPr>
      <w:r>
        <w:rPr>
          <w:szCs w:val="21"/>
          <w:highlight w:val="none"/>
        </w:rPr>
        <w:t xml:space="preserve">  </w:t>
      </w:r>
    </w:p>
    <w:p w14:paraId="36C58C1B">
      <w:pPr>
        <w:spacing w:line="400" w:lineRule="exact"/>
        <w:rPr>
          <w:highlight w:val="none"/>
        </w:rPr>
      </w:pPr>
      <w:r>
        <w:rPr>
          <w:szCs w:val="21"/>
          <w:highlight w:val="none"/>
        </w:rPr>
        <w:t xml:space="preserve">  </w:t>
      </w:r>
    </w:p>
    <w:p w14:paraId="2E45E151">
      <w:pPr>
        <w:spacing w:line="400" w:lineRule="exact"/>
        <w:rPr>
          <w:highlight w:val="none"/>
        </w:rPr>
      </w:pPr>
      <w:r>
        <w:rPr>
          <w:szCs w:val="21"/>
          <w:highlight w:val="none"/>
        </w:rPr>
        <w:t xml:space="preserve">  </w:t>
      </w:r>
    </w:p>
    <w:p w14:paraId="67AB3FA9">
      <w:pPr>
        <w:spacing w:line="400" w:lineRule="exact"/>
        <w:ind w:right="420"/>
        <w:rPr>
          <w:color w:val="FF0000"/>
          <w:highlight w:val="none"/>
        </w:rPr>
      </w:pPr>
      <w:r>
        <w:rPr>
          <w:rFonts w:ascii="宋体" w:hAnsi="宋体" w:cs="宋体"/>
          <w:color w:val="FF0000"/>
          <w:szCs w:val="21"/>
          <w:highlight w:val="none"/>
        </w:rPr>
        <w:t>投标人名称（</w:t>
      </w:r>
      <w:r>
        <w:rPr>
          <w:rFonts w:hint="eastAsia" w:ascii="宋体" w:hAnsi="宋体" w:cs="宋体"/>
          <w:color w:val="FF0000"/>
          <w:szCs w:val="21"/>
          <w:highlight w:val="none"/>
        </w:rPr>
        <w:t>电子签章</w:t>
      </w:r>
      <w:r>
        <w:rPr>
          <w:rFonts w:ascii="宋体" w:hAnsi="宋体" w:cs="宋体"/>
          <w:color w:val="FF0000"/>
          <w:szCs w:val="21"/>
          <w:highlight w:val="none"/>
        </w:rPr>
        <w:t>）：</w:t>
      </w:r>
      <w:r>
        <w:rPr>
          <w:color w:val="FF0000"/>
          <w:szCs w:val="21"/>
          <w:highlight w:val="none"/>
        </w:rPr>
        <w:t xml:space="preserve"> </w:t>
      </w:r>
    </w:p>
    <w:p w14:paraId="2757A39C">
      <w:pPr>
        <w:rPr>
          <w:color w:val="FF0000"/>
          <w:highlight w:val="none"/>
        </w:rPr>
      </w:pPr>
      <w:r>
        <w:rPr>
          <w:rFonts w:ascii="宋体" w:hAnsi="宋体" w:cs="宋体"/>
          <w:color w:val="FF0000"/>
          <w:szCs w:val="21"/>
          <w:highlight w:val="none"/>
          <w:u w:val="single"/>
        </w:rPr>
        <w:t>       </w:t>
      </w:r>
      <w:r>
        <w:rPr>
          <w:color w:val="FF0000"/>
          <w:szCs w:val="21"/>
          <w:highlight w:val="none"/>
        </w:rPr>
        <w:t xml:space="preserve"> </w:t>
      </w:r>
      <w:r>
        <w:rPr>
          <w:rFonts w:ascii="宋体" w:hAnsi="宋体" w:cs="宋体"/>
          <w:color w:val="FF0000"/>
          <w:szCs w:val="21"/>
          <w:highlight w:val="none"/>
        </w:rPr>
        <w:t>年</w:t>
      </w:r>
      <w:r>
        <w:rPr>
          <w:rFonts w:ascii="宋体" w:hAnsi="宋体" w:cs="宋体"/>
          <w:color w:val="FF0000"/>
          <w:szCs w:val="21"/>
          <w:highlight w:val="none"/>
          <w:u w:val="single"/>
        </w:rPr>
        <w:t>       </w:t>
      </w:r>
      <w:r>
        <w:rPr>
          <w:rFonts w:ascii="宋体" w:hAnsi="宋体" w:cs="宋体"/>
          <w:color w:val="FF0000"/>
          <w:szCs w:val="21"/>
          <w:highlight w:val="none"/>
        </w:rPr>
        <w:t xml:space="preserve"> 月</w:t>
      </w:r>
      <w:r>
        <w:rPr>
          <w:rFonts w:ascii="宋体" w:hAnsi="宋体" w:cs="宋体"/>
          <w:color w:val="FF0000"/>
          <w:szCs w:val="21"/>
          <w:highlight w:val="none"/>
          <w:u w:val="single"/>
        </w:rPr>
        <w:t>       </w:t>
      </w:r>
      <w:r>
        <w:rPr>
          <w:rFonts w:ascii="宋体" w:hAnsi="宋体" w:cs="宋体"/>
          <w:color w:val="FF0000"/>
          <w:szCs w:val="21"/>
          <w:highlight w:val="none"/>
        </w:rPr>
        <w:t xml:space="preserve"> 日</w:t>
      </w:r>
    </w:p>
    <w:p w14:paraId="5A8A089B">
      <w:pPr>
        <w:rPr>
          <w:rFonts w:ascii="黑体" w:hAnsi="宋体" w:eastAsia="黑体"/>
          <w:sz w:val="28"/>
          <w:szCs w:val="28"/>
          <w:highlight w:val="none"/>
        </w:rPr>
      </w:pPr>
      <w:r>
        <w:rPr>
          <w:rFonts w:hint="eastAsia" w:ascii="黑体" w:hAnsi="宋体" w:eastAsia="黑体"/>
          <w:sz w:val="28"/>
          <w:szCs w:val="28"/>
          <w:highlight w:val="none"/>
        </w:rPr>
        <w:br w:type="page"/>
      </w:r>
    </w:p>
    <w:p w14:paraId="1D16EFB1">
      <w:pPr>
        <w:rPr>
          <w:rFonts w:ascii="黑体" w:hAnsi="黑体" w:eastAsia="黑体" w:cs="黑体"/>
          <w:b/>
          <w:bCs/>
          <w:szCs w:val="21"/>
          <w:highlight w:val="none"/>
        </w:rPr>
      </w:pPr>
      <w:r>
        <w:rPr>
          <w:rFonts w:ascii="黑体" w:hAnsi="黑体" w:eastAsia="黑体" w:cs="黑体"/>
          <w:b/>
          <w:bCs/>
          <w:szCs w:val="21"/>
          <w:highlight w:val="none"/>
        </w:rPr>
        <w:t>附件2</w:t>
      </w:r>
      <w:r>
        <w:rPr>
          <w:rFonts w:hint="eastAsia" w:ascii="黑体" w:hAnsi="黑体" w:eastAsia="黑体" w:cs="黑体"/>
          <w:b/>
          <w:bCs/>
          <w:szCs w:val="21"/>
          <w:highlight w:val="none"/>
        </w:rPr>
        <w:t xml:space="preserve">  </w:t>
      </w:r>
    </w:p>
    <w:p w14:paraId="371CD443">
      <w:pPr>
        <w:spacing w:line="400" w:lineRule="exact"/>
        <w:ind w:right="420" w:firstLine="3080" w:firstLineChars="1100"/>
        <w:rPr>
          <w:rFonts w:ascii="黑体" w:hAnsi="黑体" w:eastAsia="黑体" w:cs="黑体"/>
          <w:sz w:val="28"/>
          <w:szCs w:val="28"/>
          <w:highlight w:val="none"/>
        </w:rPr>
      </w:pPr>
    </w:p>
    <w:p w14:paraId="06F78BEB">
      <w:pPr>
        <w:spacing w:line="400" w:lineRule="exact"/>
        <w:ind w:right="420" w:firstLine="3080" w:firstLineChars="1100"/>
        <w:rPr>
          <w:highlight w:val="none"/>
        </w:rPr>
      </w:pPr>
      <w:r>
        <w:rPr>
          <w:rFonts w:ascii="黑体" w:hAnsi="黑体" w:eastAsia="黑体" w:cs="黑体"/>
          <w:sz w:val="28"/>
          <w:szCs w:val="28"/>
          <w:highlight w:val="none"/>
        </w:rPr>
        <w:t>投标人基本情况</w:t>
      </w:r>
      <w:r>
        <w:rPr>
          <w:szCs w:val="21"/>
          <w:highlight w:val="none"/>
        </w:rPr>
        <w:t xml:space="preserve"> </w:t>
      </w:r>
    </w:p>
    <w:p w14:paraId="2F0BC583">
      <w:pPr>
        <w:spacing w:line="360" w:lineRule="auto"/>
        <w:rPr>
          <w:highlight w:val="none"/>
        </w:rPr>
      </w:pPr>
      <w:r>
        <w:rPr>
          <w:szCs w:val="21"/>
          <w:highlight w:val="none"/>
        </w:rPr>
        <w:t xml:space="preserve">  </w:t>
      </w:r>
    </w:p>
    <w:p w14:paraId="5D2698F3">
      <w:pPr>
        <w:spacing w:line="400" w:lineRule="exact"/>
        <w:rPr>
          <w:highlight w:val="none"/>
        </w:rPr>
      </w:pPr>
      <w:r>
        <w:rPr>
          <w:rFonts w:ascii="宋体" w:hAnsi="宋体" w:cs="宋体"/>
          <w:szCs w:val="21"/>
          <w:highlight w:val="none"/>
        </w:rPr>
        <w:t>1.名称及概况：</w:t>
      </w:r>
      <w:r>
        <w:rPr>
          <w:szCs w:val="21"/>
          <w:highlight w:val="none"/>
        </w:rPr>
        <w:t xml:space="preserve"> </w:t>
      </w:r>
    </w:p>
    <w:p w14:paraId="773EAF99">
      <w:pPr>
        <w:spacing w:line="400" w:lineRule="exact"/>
        <w:ind w:firstLine="315"/>
        <w:rPr>
          <w:highlight w:val="none"/>
        </w:rPr>
      </w:pPr>
      <w:r>
        <w:rPr>
          <w:rFonts w:ascii="宋体" w:hAnsi="宋体" w:cs="宋体"/>
          <w:szCs w:val="21"/>
          <w:highlight w:val="none"/>
        </w:rPr>
        <w:t>(1)</w:t>
      </w:r>
      <w:r>
        <w:rPr>
          <w:szCs w:val="21"/>
          <w:highlight w:val="none"/>
        </w:rPr>
        <w:t xml:space="preserve"> </w:t>
      </w:r>
      <w:r>
        <w:rPr>
          <w:rFonts w:ascii="宋体" w:hAnsi="宋体" w:cs="宋体"/>
          <w:szCs w:val="21"/>
          <w:highlight w:val="none"/>
        </w:rPr>
        <w:t xml:space="preserve">投标人名称： </w:t>
      </w:r>
      <w:r>
        <w:rPr>
          <w:rFonts w:ascii="宋体" w:hAnsi="宋体" w:cs="宋体"/>
          <w:szCs w:val="21"/>
          <w:highlight w:val="none"/>
          <w:u w:val="single"/>
        </w:rPr>
        <w:t>                        </w:t>
      </w:r>
      <w:r>
        <w:rPr>
          <w:szCs w:val="21"/>
          <w:highlight w:val="none"/>
        </w:rPr>
        <w:t xml:space="preserve"> </w:t>
      </w:r>
    </w:p>
    <w:p w14:paraId="0C900C6D">
      <w:pPr>
        <w:spacing w:line="400" w:lineRule="exact"/>
        <w:ind w:firstLine="1365"/>
        <w:rPr>
          <w:highlight w:val="none"/>
        </w:rPr>
      </w:pPr>
      <w:r>
        <w:rPr>
          <w:rFonts w:ascii="宋体" w:hAnsi="宋体" w:cs="宋体"/>
          <w:szCs w:val="21"/>
          <w:highlight w:val="none"/>
        </w:rPr>
        <w:t xml:space="preserve">地址： </w:t>
      </w:r>
      <w:r>
        <w:rPr>
          <w:rFonts w:ascii="宋体" w:hAnsi="宋体" w:cs="宋体"/>
          <w:szCs w:val="21"/>
          <w:highlight w:val="none"/>
          <w:u w:val="single"/>
        </w:rPr>
        <w:t>                        </w:t>
      </w:r>
      <w:r>
        <w:rPr>
          <w:szCs w:val="21"/>
          <w:highlight w:val="none"/>
        </w:rPr>
        <w:t xml:space="preserve"> </w:t>
      </w:r>
    </w:p>
    <w:p w14:paraId="5A50DB21">
      <w:pPr>
        <w:spacing w:line="400" w:lineRule="exact"/>
        <w:ind w:firstLine="1365"/>
        <w:rPr>
          <w:highlight w:val="none"/>
        </w:rPr>
      </w:pPr>
      <w:r>
        <w:rPr>
          <w:rFonts w:ascii="宋体" w:hAnsi="宋体" w:cs="宋体"/>
          <w:szCs w:val="21"/>
          <w:highlight w:val="none"/>
        </w:rPr>
        <w:t xml:space="preserve">传真/电话号码： </w:t>
      </w:r>
      <w:r>
        <w:rPr>
          <w:rFonts w:ascii="宋体" w:hAnsi="宋体" w:cs="宋体"/>
          <w:szCs w:val="21"/>
          <w:highlight w:val="none"/>
          <w:u w:val="single"/>
        </w:rPr>
        <w:t>        </w:t>
      </w:r>
      <w:r>
        <w:rPr>
          <w:rFonts w:ascii="宋体" w:hAnsi="宋体" w:cs="宋体"/>
          <w:szCs w:val="21"/>
          <w:highlight w:val="none"/>
        </w:rPr>
        <w:t xml:space="preserve"> 邮政编码： </w:t>
      </w:r>
      <w:r>
        <w:rPr>
          <w:rFonts w:ascii="宋体" w:hAnsi="宋体" w:cs="宋体"/>
          <w:szCs w:val="21"/>
          <w:highlight w:val="none"/>
          <w:u w:val="single"/>
        </w:rPr>
        <w:t>        </w:t>
      </w:r>
      <w:r>
        <w:rPr>
          <w:szCs w:val="21"/>
          <w:highlight w:val="none"/>
        </w:rPr>
        <w:t xml:space="preserve"> </w:t>
      </w:r>
    </w:p>
    <w:p w14:paraId="577E4388">
      <w:pPr>
        <w:spacing w:line="400" w:lineRule="exact"/>
        <w:ind w:firstLine="420"/>
        <w:rPr>
          <w:highlight w:val="none"/>
        </w:rPr>
      </w:pPr>
      <w:r>
        <w:rPr>
          <w:rFonts w:ascii="宋体" w:hAnsi="宋体" w:cs="宋体"/>
          <w:szCs w:val="21"/>
          <w:highlight w:val="none"/>
        </w:rPr>
        <w:t>(2)</w:t>
      </w:r>
      <w:r>
        <w:rPr>
          <w:szCs w:val="21"/>
          <w:highlight w:val="none"/>
        </w:rPr>
        <w:t xml:space="preserve"> </w:t>
      </w:r>
      <w:r>
        <w:rPr>
          <w:rFonts w:ascii="宋体" w:hAnsi="宋体" w:cs="宋体"/>
          <w:szCs w:val="21"/>
          <w:highlight w:val="none"/>
        </w:rPr>
        <w:t xml:space="preserve">成立或注册日期： </w:t>
      </w:r>
      <w:r>
        <w:rPr>
          <w:rFonts w:ascii="宋体" w:hAnsi="宋体" w:cs="宋体"/>
          <w:szCs w:val="21"/>
          <w:highlight w:val="none"/>
          <w:u w:val="single"/>
        </w:rPr>
        <w:t>                  ;</w:t>
      </w:r>
      <w:r>
        <w:rPr>
          <w:szCs w:val="21"/>
          <w:highlight w:val="none"/>
        </w:rPr>
        <w:t xml:space="preserve"> </w:t>
      </w:r>
    </w:p>
    <w:p w14:paraId="3882A707">
      <w:pPr>
        <w:spacing w:line="400" w:lineRule="exact"/>
        <w:ind w:firstLine="420"/>
        <w:rPr>
          <w:highlight w:val="none"/>
        </w:rPr>
      </w:pPr>
      <w:r>
        <w:rPr>
          <w:rFonts w:ascii="宋体" w:hAnsi="宋体" w:cs="宋体"/>
          <w:szCs w:val="21"/>
          <w:highlight w:val="none"/>
        </w:rPr>
        <w:t>(3)</w:t>
      </w:r>
      <w:r>
        <w:rPr>
          <w:szCs w:val="21"/>
          <w:highlight w:val="none"/>
        </w:rPr>
        <w:t xml:space="preserve"> </w:t>
      </w:r>
      <w:r>
        <w:rPr>
          <w:rFonts w:ascii="宋体" w:hAnsi="宋体" w:cs="宋体"/>
          <w:szCs w:val="21"/>
          <w:highlight w:val="none"/>
        </w:rPr>
        <w:t xml:space="preserve">注册号码： </w:t>
      </w:r>
      <w:r>
        <w:rPr>
          <w:rFonts w:ascii="宋体" w:hAnsi="宋体" w:cs="宋体"/>
          <w:szCs w:val="21"/>
          <w:highlight w:val="none"/>
          <w:u w:val="single"/>
        </w:rPr>
        <w:t>                </w:t>
      </w:r>
      <w:r>
        <w:rPr>
          <w:szCs w:val="21"/>
          <w:highlight w:val="none"/>
        </w:rPr>
        <w:t xml:space="preserve"> </w:t>
      </w:r>
    </w:p>
    <w:p w14:paraId="3F724A03">
      <w:pPr>
        <w:spacing w:line="400" w:lineRule="exact"/>
        <w:ind w:firstLine="420"/>
        <w:rPr>
          <w:highlight w:val="none"/>
        </w:rPr>
      </w:pPr>
      <w:r>
        <w:rPr>
          <w:rFonts w:ascii="宋体" w:hAnsi="宋体" w:cs="宋体"/>
          <w:szCs w:val="21"/>
          <w:highlight w:val="none"/>
        </w:rPr>
        <w:t>(4)</w:t>
      </w:r>
      <w:r>
        <w:rPr>
          <w:szCs w:val="21"/>
          <w:highlight w:val="none"/>
        </w:rPr>
        <w:t xml:space="preserve"> </w:t>
      </w:r>
      <w:r>
        <w:rPr>
          <w:rFonts w:ascii="宋体" w:hAnsi="宋体" w:cs="宋体"/>
          <w:szCs w:val="21"/>
          <w:highlight w:val="none"/>
        </w:rPr>
        <w:t xml:space="preserve">实收资本： </w:t>
      </w:r>
      <w:r>
        <w:rPr>
          <w:rFonts w:ascii="宋体" w:hAnsi="宋体" w:cs="宋体"/>
          <w:szCs w:val="21"/>
          <w:highlight w:val="none"/>
          <w:u w:val="single"/>
        </w:rPr>
        <w:t>                </w:t>
      </w:r>
      <w:r>
        <w:rPr>
          <w:szCs w:val="21"/>
          <w:highlight w:val="none"/>
        </w:rPr>
        <w:t xml:space="preserve"> </w:t>
      </w:r>
    </w:p>
    <w:p w14:paraId="50321C46">
      <w:pPr>
        <w:spacing w:line="400" w:lineRule="exact"/>
        <w:ind w:firstLine="420"/>
        <w:rPr>
          <w:highlight w:val="none"/>
        </w:rPr>
      </w:pPr>
      <w:r>
        <w:rPr>
          <w:rFonts w:ascii="宋体" w:hAnsi="宋体" w:cs="宋体"/>
          <w:szCs w:val="21"/>
          <w:highlight w:val="none"/>
        </w:rPr>
        <w:t>(5)</w:t>
      </w:r>
      <w:r>
        <w:rPr>
          <w:szCs w:val="21"/>
          <w:highlight w:val="none"/>
        </w:rPr>
        <w:t xml:space="preserve"> </w:t>
      </w:r>
      <w:r>
        <w:rPr>
          <w:rFonts w:ascii="宋体" w:hAnsi="宋体" w:cs="宋体"/>
          <w:szCs w:val="21"/>
          <w:highlight w:val="none"/>
        </w:rPr>
        <w:t xml:space="preserve">近期资产负债表（到 </w:t>
      </w:r>
      <w:r>
        <w:rPr>
          <w:rFonts w:ascii="宋体" w:hAnsi="宋体" w:cs="宋体"/>
          <w:szCs w:val="21"/>
          <w:highlight w:val="none"/>
          <w:u w:val="single"/>
        </w:rPr>
        <w:t>    </w:t>
      </w:r>
      <w:r>
        <w:rPr>
          <w:rFonts w:ascii="宋体" w:hAnsi="宋体" w:cs="宋体"/>
          <w:szCs w:val="21"/>
          <w:highlight w:val="none"/>
        </w:rPr>
        <w:t xml:space="preserve"> 年</w:t>
      </w:r>
      <w:r>
        <w:rPr>
          <w:rFonts w:ascii="宋体" w:hAnsi="宋体" w:cs="宋体"/>
          <w:szCs w:val="21"/>
          <w:highlight w:val="none"/>
          <w:u w:val="single"/>
        </w:rPr>
        <w:t>    </w:t>
      </w:r>
      <w:r>
        <w:rPr>
          <w:rFonts w:ascii="宋体" w:hAnsi="宋体" w:cs="宋体"/>
          <w:szCs w:val="21"/>
          <w:highlight w:val="none"/>
        </w:rPr>
        <w:t xml:space="preserve"> 月</w:t>
      </w:r>
      <w:r>
        <w:rPr>
          <w:rFonts w:ascii="宋体" w:hAnsi="宋体" w:cs="宋体"/>
          <w:szCs w:val="21"/>
          <w:highlight w:val="none"/>
          <w:u w:val="single"/>
        </w:rPr>
        <w:t>    </w:t>
      </w:r>
      <w:r>
        <w:rPr>
          <w:rFonts w:ascii="宋体" w:hAnsi="宋体" w:cs="宋体"/>
          <w:szCs w:val="21"/>
          <w:highlight w:val="none"/>
        </w:rPr>
        <w:t xml:space="preserve"> 日止）</w:t>
      </w:r>
      <w:r>
        <w:rPr>
          <w:szCs w:val="21"/>
          <w:highlight w:val="none"/>
        </w:rPr>
        <w:t xml:space="preserve"> </w:t>
      </w:r>
    </w:p>
    <w:p w14:paraId="5F71030D">
      <w:pPr>
        <w:spacing w:line="400" w:lineRule="exact"/>
        <w:ind w:firstLine="630"/>
        <w:rPr>
          <w:highlight w:val="none"/>
        </w:rPr>
      </w:pPr>
      <w:r>
        <w:rPr>
          <w:rFonts w:ascii="宋体" w:hAnsi="宋体" w:cs="宋体"/>
          <w:szCs w:val="21"/>
          <w:highlight w:val="none"/>
        </w:rPr>
        <w:t xml:space="preserve">①固定资产： </w:t>
      </w:r>
      <w:r>
        <w:rPr>
          <w:rFonts w:ascii="宋体" w:hAnsi="宋体" w:cs="宋体"/>
          <w:szCs w:val="21"/>
          <w:highlight w:val="none"/>
          <w:u w:val="single"/>
        </w:rPr>
        <w:t>                        </w:t>
      </w:r>
      <w:r>
        <w:rPr>
          <w:szCs w:val="21"/>
          <w:highlight w:val="none"/>
        </w:rPr>
        <w:t xml:space="preserve"> </w:t>
      </w:r>
    </w:p>
    <w:p w14:paraId="78B6CC08">
      <w:pPr>
        <w:spacing w:line="400" w:lineRule="exact"/>
        <w:ind w:firstLine="630"/>
        <w:rPr>
          <w:highlight w:val="none"/>
        </w:rPr>
      </w:pPr>
      <w:r>
        <w:rPr>
          <w:rFonts w:ascii="宋体" w:hAnsi="宋体" w:cs="宋体"/>
          <w:szCs w:val="21"/>
          <w:highlight w:val="none"/>
        </w:rPr>
        <w:t xml:space="preserve">②流动资产： </w:t>
      </w:r>
      <w:r>
        <w:rPr>
          <w:rFonts w:ascii="宋体" w:hAnsi="宋体" w:cs="宋体"/>
          <w:szCs w:val="21"/>
          <w:highlight w:val="none"/>
          <w:u w:val="single"/>
        </w:rPr>
        <w:t>                        </w:t>
      </w:r>
      <w:r>
        <w:rPr>
          <w:szCs w:val="21"/>
          <w:highlight w:val="none"/>
        </w:rPr>
        <w:t xml:space="preserve"> </w:t>
      </w:r>
    </w:p>
    <w:p w14:paraId="7AAD6FFE">
      <w:pPr>
        <w:spacing w:line="400" w:lineRule="exact"/>
        <w:ind w:firstLine="630"/>
        <w:rPr>
          <w:highlight w:val="none"/>
        </w:rPr>
      </w:pPr>
      <w:r>
        <w:rPr>
          <w:rFonts w:ascii="宋体" w:hAnsi="宋体" w:cs="宋体"/>
          <w:szCs w:val="21"/>
          <w:highlight w:val="none"/>
        </w:rPr>
        <w:t xml:space="preserve">③长期负债： </w:t>
      </w:r>
      <w:r>
        <w:rPr>
          <w:rFonts w:ascii="宋体" w:hAnsi="宋体" w:cs="宋体"/>
          <w:szCs w:val="21"/>
          <w:highlight w:val="none"/>
          <w:u w:val="single"/>
        </w:rPr>
        <w:t>                        </w:t>
      </w:r>
      <w:r>
        <w:rPr>
          <w:szCs w:val="21"/>
          <w:highlight w:val="none"/>
        </w:rPr>
        <w:t xml:space="preserve"> </w:t>
      </w:r>
    </w:p>
    <w:p w14:paraId="32C69425">
      <w:pPr>
        <w:spacing w:line="400" w:lineRule="exact"/>
        <w:ind w:firstLine="630"/>
        <w:rPr>
          <w:highlight w:val="none"/>
        </w:rPr>
      </w:pPr>
      <w:r>
        <w:rPr>
          <w:rFonts w:ascii="宋体" w:hAnsi="宋体" w:cs="宋体"/>
          <w:szCs w:val="21"/>
          <w:highlight w:val="none"/>
        </w:rPr>
        <w:t xml:space="preserve">④流动负债： </w:t>
      </w:r>
      <w:r>
        <w:rPr>
          <w:rFonts w:ascii="宋体" w:hAnsi="宋体" w:cs="宋体"/>
          <w:szCs w:val="21"/>
          <w:highlight w:val="none"/>
          <w:u w:val="single"/>
        </w:rPr>
        <w:t>                        </w:t>
      </w:r>
      <w:r>
        <w:rPr>
          <w:szCs w:val="21"/>
          <w:highlight w:val="none"/>
        </w:rPr>
        <w:t xml:space="preserve"> </w:t>
      </w:r>
    </w:p>
    <w:p w14:paraId="69B45B37">
      <w:pPr>
        <w:spacing w:line="400" w:lineRule="exact"/>
        <w:ind w:firstLine="630"/>
        <w:rPr>
          <w:highlight w:val="none"/>
        </w:rPr>
      </w:pPr>
      <w:r>
        <w:rPr>
          <w:rFonts w:ascii="宋体" w:hAnsi="宋体" w:cs="宋体"/>
          <w:szCs w:val="21"/>
          <w:highlight w:val="none"/>
        </w:rPr>
        <w:t xml:space="preserve">⑤净值： </w:t>
      </w:r>
      <w:r>
        <w:rPr>
          <w:rFonts w:ascii="宋体" w:hAnsi="宋体" w:cs="宋体"/>
          <w:szCs w:val="21"/>
          <w:highlight w:val="none"/>
          <w:u w:val="single"/>
        </w:rPr>
        <w:t>                        </w:t>
      </w:r>
      <w:r>
        <w:rPr>
          <w:szCs w:val="21"/>
          <w:highlight w:val="none"/>
        </w:rPr>
        <w:t xml:space="preserve"> </w:t>
      </w:r>
    </w:p>
    <w:p w14:paraId="6CD26B43">
      <w:pPr>
        <w:spacing w:line="400" w:lineRule="exact"/>
        <w:ind w:firstLine="420"/>
        <w:rPr>
          <w:highlight w:val="none"/>
        </w:rPr>
      </w:pPr>
      <w:r>
        <w:rPr>
          <w:rFonts w:ascii="宋体" w:hAnsi="宋体" w:cs="宋体"/>
          <w:szCs w:val="21"/>
          <w:highlight w:val="none"/>
        </w:rPr>
        <w:t>(6)</w:t>
      </w:r>
      <w:r>
        <w:rPr>
          <w:szCs w:val="21"/>
          <w:highlight w:val="none"/>
        </w:rPr>
        <w:t xml:space="preserve"> </w:t>
      </w:r>
      <w:r>
        <w:rPr>
          <w:rFonts w:ascii="宋体" w:hAnsi="宋体" w:cs="宋体"/>
          <w:szCs w:val="21"/>
          <w:highlight w:val="none"/>
        </w:rPr>
        <w:t xml:space="preserve">法定代表人姓名： </w:t>
      </w:r>
      <w:r>
        <w:rPr>
          <w:rFonts w:ascii="宋体" w:hAnsi="宋体" w:cs="宋体"/>
          <w:szCs w:val="21"/>
          <w:highlight w:val="none"/>
          <w:u w:val="single"/>
        </w:rPr>
        <w:t>                        </w:t>
      </w:r>
      <w:r>
        <w:rPr>
          <w:szCs w:val="21"/>
          <w:highlight w:val="none"/>
        </w:rPr>
        <w:t xml:space="preserve"> </w:t>
      </w:r>
    </w:p>
    <w:p w14:paraId="11B71E15">
      <w:pPr>
        <w:spacing w:line="400" w:lineRule="exact"/>
        <w:rPr>
          <w:highlight w:val="none"/>
        </w:rPr>
      </w:pPr>
      <w:r>
        <w:rPr>
          <w:rFonts w:ascii="宋体" w:hAnsi="宋体" w:cs="宋体"/>
          <w:szCs w:val="21"/>
          <w:highlight w:val="none"/>
        </w:rPr>
        <w:t>2.</w:t>
      </w:r>
      <w:r>
        <w:rPr>
          <w:rFonts w:ascii="Times New &#10;&#10;Roman" w:hAnsi="Times New &#10;&#10;Roman" w:eastAsia="Times New &#10;&#10;Roman" w:cs="Times New &#10;&#10;Roman"/>
          <w:szCs w:val="21"/>
          <w:highlight w:val="none"/>
        </w:rPr>
        <w:t xml:space="preserve"> </w:t>
      </w:r>
      <w:r>
        <w:rPr>
          <w:rFonts w:ascii="宋体" w:hAnsi="宋体" w:cs="宋体"/>
          <w:szCs w:val="21"/>
          <w:highlight w:val="none"/>
        </w:rPr>
        <w:t xml:space="preserve">经营范围： </w:t>
      </w:r>
      <w:r>
        <w:rPr>
          <w:rFonts w:ascii="宋体" w:hAnsi="宋体" w:cs="宋体"/>
          <w:szCs w:val="21"/>
          <w:highlight w:val="none"/>
          <w:u w:val="single"/>
        </w:rPr>
        <w:t>                        </w:t>
      </w:r>
      <w:r>
        <w:rPr>
          <w:rFonts w:ascii="Times New &#10;&#10;Roman" w:hAnsi="Times New &#10;&#10;Roman" w:eastAsia="Times New &#10;&#10;Roman" w:cs="Times New &#10;&#10;Roman"/>
          <w:szCs w:val="21"/>
          <w:highlight w:val="none"/>
        </w:rPr>
        <w:t xml:space="preserve"> </w:t>
      </w:r>
    </w:p>
    <w:p w14:paraId="6D054173">
      <w:pPr>
        <w:spacing w:line="400" w:lineRule="exact"/>
        <w:rPr>
          <w:highlight w:val="none"/>
        </w:rPr>
      </w:pPr>
      <w:r>
        <w:rPr>
          <w:rFonts w:ascii="宋体" w:hAnsi="宋体" w:cs="宋体"/>
          <w:szCs w:val="21"/>
          <w:highlight w:val="none"/>
        </w:rPr>
        <w:t>3.近年营业额：</w:t>
      </w:r>
      <w:r>
        <w:rPr>
          <w:szCs w:val="21"/>
          <w:highlight w:val="none"/>
        </w:rPr>
        <w:t xml:space="preserve"> </w:t>
      </w:r>
    </w:p>
    <w:tbl>
      <w:tblPr>
        <w:tblStyle w:val="43"/>
        <w:tblW w:w="7574" w:type="dxa"/>
        <w:tblInd w:w="1136" w:type="dxa"/>
        <w:tblLayout w:type="autofit"/>
        <w:tblCellMar>
          <w:top w:w="0" w:type="dxa"/>
          <w:left w:w="0" w:type="dxa"/>
          <w:bottom w:w="0" w:type="dxa"/>
          <w:right w:w="0" w:type="dxa"/>
        </w:tblCellMar>
      </w:tblPr>
      <w:tblGrid>
        <w:gridCol w:w="2700"/>
        <w:gridCol w:w="4874"/>
      </w:tblGrid>
      <w:tr w14:paraId="5768CFA6">
        <w:tblPrEx>
          <w:tblCellMar>
            <w:top w:w="0" w:type="dxa"/>
            <w:left w:w="0" w:type="dxa"/>
            <w:bottom w:w="0" w:type="dxa"/>
            <w:right w:w="0" w:type="dxa"/>
          </w:tblCellMar>
        </w:tblPrEx>
        <w:trPr>
          <w:trHeight w:val="483" w:hRule="atLeast"/>
        </w:trPr>
        <w:tc>
          <w:tcPr>
            <w:tcW w:w="2700"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tcPr>
          <w:p w14:paraId="066BC6A1">
            <w:pPr>
              <w:spacing w:line="400" w:lineRule="exact"/>
              <w:jc w:val="center"/>
              <w:rPr>
                <w:highlight w:val="none"/>
              </w:rPr>
            </w:pPr>
            <w:r>
              <w:rPr>
                <w:rFonts w:ascii="宋体" w:hAnsi="宋体" w:cs="宋体"/>
                <w:szCs w:val="21"/>
                <w:highlight w:val="none"/>
              </w:rPr>
              <w:t>年度</w:t>
            </w:r>
            <w:r>
              <w:rPr>
                <w:szCs w:val="21"/>
                <w:highlight w:val="none"/>
              </w:rPr>
              <w:t xml:space="preserve"> </w:t>
            </w:r>
          </w:p>
        </w:tc>
        <w:tc>
          <w:tcPr>
            <w:tcW w:w="4874" w:type="dxa"/>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5F305D4B">
            <w:pPr>
              <w:spacing w:line="400" w:lineRule="exact"/>
              <w:jc w:val="center"/>
              <w:rPr>
                <w:highlight w:val="none"/>
              </w:rPr>
            </w:pPr>
            <w:r>
              <w:rPr>
                <w:rFonts w:ascii="宋体" w:hAnsi="宋体" w:cs="宋体"/>
                <w:szCs w:val="21"/>
                <w:highlight w:val="none"/>
              </w:rPr>
              <w:t>总额</w:t>
            </w:r>
            <w:r>
              <w:rPr>
                <w:szCs w:val="21"/>
                <w:highlight w:val="none"/>
              </w:rPr>
              <w:t xml:space="preserve"> </w:t>
            </w:r>
          </w:p>
        </w:tc>
      </w:tr>
      <w:tr w14:paraId="4166B3C8">
        <w:tblPrEx>
          <w:tblCellMar>
            <w:top w:w="0" w:type="dxa"/>
            <w:left w:w="0" w:type="dxa"/>
            <w:bottom w:w="0" w:type="dxa"/>
            <w:right w:w="0" w:type="dxa"/>
          </w:tblCellMar>
        </w:tblPrEx>
        <w:trPr>
          <w:trHeight w:val="483" w:hRule="atLeast"/>
        </w:trPr>
        <w:tc>
          <w:tcPr>
            <w:tcW w:w="2700" w:type="dxa"/>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5B5FDA9C">
            <w:pPr>
              <w:spacing w:line="400" w:lineRule="exact"/>
              <w:rPr>
                <w:highlight w:val="none"/>
              </w:rPr>
            </w:pPr>
            <w:r>
              <w:rPr>
                <w:szCs w:val="21"/>
                <w:highlight w:val="none"/>
              </w:rPr>
              <w:t xml:space="preserve">  </w:t>
            </w:r>
          </w:p>
        </w:tc>
        <w:tc>
          <w:tcPr>
            <w:tcW w:w="4874" w:type="dxa"/>
            <w:tcBorders>
              <w:top w:val="nil"/>
              <w:left w:val="nil"/>
              <w:bottom w:val="single" w:color="000000" w:sz="8" w:space="0"/>
              <w:right w:val="single" w:color="000000" w:sz="8" w:space="0"/>
            </w:tcBorders>
            <w:tcMar>
              <w:top w:w="0" w:type="dxa"/>
              <w:left w:w="108" w:type="dxa"/>
              <w:bottom w:w="0" w:type="dxa"/>
              <w:right w:w="108" w:type="dxa"/>
            </w:tcMar>
          </w:tcPr>
          <w:p w14:paraId="08EFA923">
            <w:pPr>
              <w:spacing w:line="400" w:lineRule="exact"/>
              <w:rPr>
                <w:highlight w:val="none"/>
              </w:rPr>
            </w:pPr>
            <w:r>
              <w:rPr>
                <w:szCs w:val="21"/>
                <w:highlight w:val="none"/>
              </w:rPr>
              <w:t xml:space="preserve">  </w:t>
            </w:r>
          </w:p>
        </w:tc>
      </w:tr>
      <w:tr w14:paraId="0F6D0F15">
        <w:tblPrEx>
          <w:tblCellMar>
            <w:top w:w="0" w:type="dxa"/>
            <w:left w:w="0" w:type="dxa"/>
            <w:bottom w:w="0" w:type="dxa"/>
            <w:right w:w="0" w:type="dxa"/>
          </w:tblCellMar>
        </w:tblPrEx>
        <w:trPr>
          <w:trHeight w:val="483" w:hRule="atLeast"/>
        </w:trPr>
        <w:tc>
          <w:tcPr>
            <w:tcW w:w="2700" w:type="dxa"/>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7847E358">
            <w:pPr>
              <w:spacing w:line="400" w:lineRule="exact"/>
              <w:rPr>
                <w:highlight w:val="none"/>
              </w:rPr>
            </w:pPr>
            <w:r>
              <w:rPr>
                <w:szCs w:val="21"/>
                <w:highlight w:val="none"/>
              </w:rPr>
              <w:t xml:space="preserve">  </w:t>
            </w:r>
          </w:p>
        </w:tc>
        <w:tc>
          <w:tcPr>
            <w:tcW w:w="4874" w:type="dxa"/>
            <w:tcBorders>
              <w:top w:val="nil"/>
              <w:left w:val="nil"/>
              <w:bottom w:val="single" w:color="000000" w:sz="8" w:space="0"/>
              <w:right w:val="single" w:color="000000" w:sz="8" w:space="0"/>
            </w:tcBorders>
            <w:tcMar>
              <w:top w:w="0" w:type="dxa"/>
              <w:left w:w="108" w:type="dxa"/>
              <w:bottom w:w="0" w:type="dxa"/>
              <w:right w:w="108" w:type="dxa"/>
            </w:tcMar>
          </w:tcPr>
          <w:p w14:paraId="5516C4C2">
            <w:pPr>
              <w:spacing w:line="400" w:lineRule="exact"/>
              <w:rPr>
                <w:highlight w:val="none"/>
              </w:rPr>
            </w:pPr>
            <w:r>
              <w:rPr>
                <w:szCs w:val="21"/>
                <w:highlight w:val="none"/>
              </w:rPr>
              <w:t xml:space="preserve">  </w:t>
            </w:r>
          </w:p>
        </w:tc>
      </w:tr>
      <w:tr w14:paraId="0BAF70CB">
        <w:tblPrEx>
          <w:tblCellMar>
            <w:top w:w="0" w:type="dxa"/>
            <w:left w:w="0" w:type="dxa"/>
            <w:bottom w:w="0" w:type="dxa"/>
            <w:right w:w="0" w:type="dxa"/>
          </w:tblCellMar>
        </w:tblPrEx>
        <w:trPr>
          <w:trHeight w:val="483" w:hRule="atLeast"/>
        </w:trPr>
        <w:tc>
          <w:tcPr>
            <w:tcW w:w="2700" w:type="dxa"/>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11165089">
            <w:pPr>
              <w:spacing w:line="400" w:lineRule="exact"/>
              <w:rPr>
                <w:highlight w:val="none"/>
              </w:rPr>
            </w:pPr>
            <w:r>
              <w:rPr>
                <w:szCs w:val="21"/>
                <w:highlight w:val="none"/>
              </w:rPr>
              <w:t xml:space="preserve">  </w:t>
            </w:r>
          </w:p>
        </w:tc>
        <w:tc>
          <w:tcPr>
            <w:tcW w:w="4874" w:type="dxa"/>
            <w:tcBorders>
              <w:top w:val="nil"/>
              <w:left w:val="nil"/>
              <w:bottom w:val="single" w:color="000000" w:sz="8" w:space="0"/>
              <w:right w:val="single" w:color="000000" w:sz="8" w:space="0"/>
            </w:tcBorders>
            <w:tcMar>
              <w:top w:w="0" w:type="dxa"/>
              <w:left w:w="108" w:type="dxa"/>
              <w:bottom w:w="0" w:type="dxa"/>
              <w:right w:w="108" w:type="dxa"/>
            </w:tcMar>
          </w:tcPr>
          <w:p w14:paraId="4D99AFEA">
            <w:pPr>
              <w:spacing w:line="400" w:lineRule="exact"/>
              <w:rPr>
                <w:highlight w:val="none"/>
              </w:rPr>
            </w:pPr>
            <w:r>
              <w:rPr>
                <w:szCs w:val="21"/>
                <w:highlight w:val="none"/>
              </w:rPr>
              <w:t xml:space="preserve">  </w:t>
            </w:r>
          </w:p>
        </w:tc>
      </w:tr>
    </w:tbl>
    <w:p w14:paraId="3346909F">
      <w:pPr>
        <w:spacing w:line="400" w:lineRule="exact"/>
        <w:rPr>
          <w:highlight w:val="none"/>
        </w:rPr>
      </w:pPr>
      <w:r>
        <w:rPr>
          <w:rFonts w:ascii="宋体" w:hAnsi="宋体" w:cs="宋体"/>
          <w:szCs w:val="21"/>
          <w:highlight w:val="none"/>
        </w:rPr>
        <w:t>4.近年该货物主要销售客户的名称地址(可另附页)：</w:t>
      </w:r>
      <w:r>
        <w:rPr>
          <w:szCs w:val="21"/>
          <w:highlight w:val="none"/>
        </w:rPr>
        <w:t xml:space="preserve"> </w:t>
      </w:r>
    </w:p>
    <w:p w14:paraId="69252564">
      <w:pPr>
        <w:spacing w:line="400" w:lineRule="exact"/>
        <w:ind w:firstLine="420"/>
        <w:rPr>
          <w:highlight w:val="none"/>
        </w:rPr>
      </w:pPr>
      <w:r>
        <w:rPr>
          <w:rFonts w:ascii="宋体" w:hAnsi="宋体" w:cs="宋体"/>
          <w:szCs w:val="21"/>
          <w:highlight w:val="none"/>
        </w:rPr>
        <w:t>(1)</w:t>
      </w:r>
      <w:r>
        <w:rPr>
          <w:rFonts w:ascii="宋体" w:hAnsi="宋体" w:cs="宋体"/>
          <w:szCs w:val="21"/>
          <w:highlight w:val="none"/>
          <w:u w:val="single"/>
        </w:rPr>
        <w:t>          </w:t>
      </w:r>
      <w:r>
        <w:rPr>
          <w:szCs w:val="21"/>
          <w:highlight w:val="none"/>
        </w:rPr>
        <w:t xml:space="preserve"> </w:t>
      </w:r>
      <w:r>
        <w:rPr>
          <w:rFonts w:ascii="宋体" w:hAnsi="宋体" w:cs="宋体"/>
          <w:szCs w:val="21"/>
          <w:highlight w:val="none"/>
        </w:rPr>
        <w:t xml:space="preserve">（用户名称和地址） </w:t>
      </w:r>
      <w:r>
        <w:rPr>
          <w:rFonts w:ascii="宋体" w:hAnsi="宋体" w:cs="宋体"/>
          <w:szCs w:val="21"/>
          <w:highlight w:val="none"/>
          <w:u w:val="single"/>
        </w:rPr>
        <w:t>         </w:t>
      </w:r>
      <w:r>
        <w:rPr>
          <w:rFonts w:ascii="宋体" w:hAnsi="宋体" w:cs="宋体"/>
          <w:szCs w:val="21"/>
          <w:highlight w:val="none"/>
        </w:rPr>
        <w:t>（销售项目名称）</w:t>
      </w:r>
      <w:r>
        <w:rPr>
          <w:szCs w:val="21"/>
          <w:highlight w:val="none"/>
        </w:rPr>
        <w:t xml:space="preserve"> </w:t>
      </w:r>
    </w:p>
    <w:p w14:paraId="4D306D0C">
      <w:pPr>
        <w:spacing w:line="400" w:lineRule="exact"/>
        <w:ind w:firstLine="420"/>
        <w:rPr>
          <w:highlight w:val="none"/>
        </w:rPr>
      </w:pPr>
      <w:r>
        <w:rPr>
          <w:rFonts w:ascii="宋体" w:hAnsi="宋体" w:cs="宋体"/>
          <w:szCs w:val="21"/>
          <w:highlight w:val="none"/>
        </w:rPr>
        <w:t>(2)</w:t>
      </w:r>
      <w:r>
        <w:rPr>
          <w:rFonts w:ascii="宋体" w:hAnsi="宋体" w:cs="宋体"/>
          <w:szCs w:val="21"/>
          <w:highlight w:val="none"/>
          <w:u w:val="single"/>
        </w:rPr>
        <w:t>          </w:t>
      </w:r>
      <w:r>
        <w:rPr>
          <w:szCs w:val="21"/>
          <w:highlight w:val="none"/>
        </w:rPr>
        <w:t xml:space="preserve"> </w:t>
      </w:r>
      <w:r>
        <w:rPr>
          <w:rFonts w:ascii="宋体" w:hAnsi="宋体" w:cs="宋体"/>
          <w:szCs w:val="21"/>
          <w:highlight w:val="none"/>
        </w:rPr>
        <w:t xml:space="preserve">（用户名称和地址） </w:t>
      </w:r>
      <w:r>
        <w:rPr>
          <w:rFonts w:ascii="宋体" w:hAnsi="宋体" w:cs="宋体"/>
          <w:szCs w:val="21"/>
          <w:highlight w:val="none"/>
          <w:u w:val="single"/>
        </w:rPr>
        <w:t>         </w:t>
      </w:r>
      <w:r>
        <w:rPr>
          <w:rFonts w:ascii="宋体" w:hAnsi="宋体" w:cs="宋体"/>
          <w:szCs w:val="21"/>
          <w:highlight w:val="none"/>
        </w:rPr>
        <w:t>（销售项目名称）</w:t>
      </w:r>
      <w:r>
        <w:rPr>
          <w:szCs w:val="21"/>
          <w:highlight w:val="none"/>
        </w:rPr>
        <w:t xml:space="preserve"> </w:t>
      </w:r>
    </w:p>
    <w:p w14:paraId="07D410A2">
      <w:pPr>
        <w:spacing w:line="400" w:lineRule="exact"/>
        <w:rPr>
          <w:highlight w:val="none"/>
        </w:rPr>
      </w:pPr>
      <w:r>
        <w:rPr>
          <w:rFonts w:ascii="宋体" w:hAnsi="宋体" w:cs="宋体"/>
          <w:szCs w:val="21"/>
          <w:highlight w:val="none"/>
        </w:rPr>
        <w:t>5.同意为投标人制造货物的制造商名称、地址(</w:t>
      </w:r>
      <w:r>
        <w:rPr>
          <w:rFonts w:ascii="宋体" w:hAnsi="宋体" w:cs="宋体"/>
          <w:szCs w:val="21"/>
          <w:highlight w:val="none"/>
          <w:u w:val="single"/>
        </w:rPr>
        <w:t>非制造商填写</w:t>
      </w:r>
      <w:r>
        <w:rPr>
          <w:rFonts w:ascii="宋体" w:hAnsi="宋体" w:cs="宋体"/>
          <w:szCs w:val="21"/>
          <w:highlight w:val="none"/>
        </w:rPr>
        <w:t>)</w:t>
      </w:r>
      <w:r>
        <w:rPr>
          <w:szCs w:val="21"/>
          <w:highlight w:val="none"/>
        </w:rPr>
        <w:t xml:space="preserve"> </w:t>
      </w:r>
    </w:p>
    <w:p w14:paraId="28AACD93">
      <w:pPr>
        <w:spacing w:line="400" w:lineRule="exact"/>
        <w:ind w:left="420"/>
        <w:rPr>
          <w:highlight w:val="none"/>
        </w:rPr>
      </w:pPr>
      <w:r>
        <w:rPr>
          <w:rFonts w:ascii="宋体" w:hAnsi="宋体" w:cs="宋体"/>
          <w:szCs w:val="21"/>
          <w:highlight w:val="none"/>
        </w:rPr>
        <w:t xml:space="preserve">   </w:t>
      </w:r>
      <w:r>
        <w:rPr>
          <w:rFonts w:ascii="宋体" w:hAnsi="宋体" w:cs="宋体"/>
          <w:szCs w:val="21"/>
          <w:highlight w:val="none"/>
          <w:u w:val="single"/>
        </w:rPr>
        <w:t>                                                                        </w:t>
      </w:r>
      <w:r>
        <w:rPr>
          <w:szCs w:val="21"/>
          <w:highlight w:val="none"/>
        </w:rPr>
        <w:t xml:space="preserve"> </w:t>
      </w:r>
    </w:p>
    <w:p w14:paraId="4F89FF9C">
      <w:pPr>
        <w:spacing w:line="400" w:lineRule="exact"/>
        <w:rPr>
          <w:highlight w:val="none"/>
        </w:rPr>
      </w:pPr>
      <w:r>
        <w:rPr>
          <w:rFonts w:ascii="宋体" w:hAnsi="宋体" w:cs="宋体"/>
          <w:szCs w:val="21"/>
          <w:highlight w:val="none"/>
        </w:rPr>
        <w:t>6,近年类似项目业绩(可另附页)：</w:t>
      </w:r>
      <w:r>
        <w:rPr>
          <w:szCs w:val="21"/>
          <w:highlight w:val="none"/>
        </w:rPr>
        <w:t xml:space="preserve"> </w:t>
      </w:r>
    </w:p>
    <w:p w14:paraId="380E1764">
      <w:pPr>
        <w:spacing w:line="400" w:lineRule="exact"/>
        <w:ind w:left="420"/>
        <w:rPr>
          <w:highlight w:val="none"/>
        </w:rPr>
      </w:pPr>
      <w:r>
        <w:rPr>
          <w:rFonts w:ascii="宋体" w:hAnsi="宋体" w:cs="宋体"/>
          <w:szCs w:val="21"/>
          <w:highlight w:val="none"/>
        </w:rPr>
        <w:t>采   购   人：________________________________________</w:t>
      </w:r>
      <w:r>
        <w:rPr>
          <w:szCs w:val="21"/>
          <w:highlight w:val="none"/>
        </w:rPr>
        <w:t xml:space="preserve"> </w:t>
      </w:r>
    </w:p>
    <w:p w14:paraId="18A5E652">
      <w:pPr>
        <w:spacing w:line="400" w:lineRule="exact"/>
        <w:ind w:left="420"/>
        <w:rPr>
          <w:highlight w:val="none"/>
        </w:rPr>
      </w:pPr>
      <w:r>
        <w:rPr>
          <w:rFonts w:ascii="宋体" w:hAnsi="宋体" w:cs="宋体"/>
          <w:szCs w:val="21"/>
          <w:highlight w:val="none"/>
        </w:rPr>
        <w:t>合同签订时间：________________________________________</w:t>
      </w:r>
      <w:r>
        <w:rPr>
          <w:szCs w:val="21"/>
          <w:highlight w:val="none"/>
        </w:rPr>
        <w:t xml:space="preserve"> </w:t>
      </w:r>
    </w:p>
    <w:p w14:paraId="59535C34">
      <w:pPr>
        <w:spacing w:line="400" w:lineRule="exact"/>
        <w:ind w:left="420"/>
        <w:rPr>
          <w:highlight w:val="none"/>
        </w:rPr>
      </w:pPr>
      <w:r>
        <w:rPr>
          <w:rFonts w:ascii="宋体" w:hAnsi="宋体" w:cs="宋体"/>
          <w:szCs w:val="21"/>
          <w:highlight w:val="none"/>
        </w:rPr>
        <w:t>数        量：________________________________________</w:t>
      </w:r>
      <w:r>
        <w:rPr>
          <w:szCs w:val="21"/>
          <w:highlight w:val="none"/>
        </w:rPr>
        <w:t xml:space="preserve"> </w:t>
      </w:r>
    </w:p>
    <w:p w14:paraId="6DDAE1B7">
      <w:pPr>
        <w:spacing w:line="400" w:lineRule="exact"/>
        <w:ind w:left="420"/>
        <w:rPr>
          <w:highlight w:val="none"/>
        </w:rPr>
      </w:pPr>
      <w:r>
        <w:rPr>
          <w:rFonts w:ascii="宋体" w:hAnsi="宋体" w:cs="宋体"/>
          <w:szCs w:val="21"/>
          <w:highlight w:val="none"/>
        </w:rPr>
        <w:t>合  同 金 额：________________________________________</w:t>
      </w:r>
      <w:r>
        <w:rPr>
          <w:szCs w:val="21"/>
          <w:highlight w:val="none"/>
        </w:rPr>
        <w:t xml:space="preserve"> </w:t>
      </w:r>
    </w:p>
    <w:p w14:paraId="2838E418">
      <w:pPr>
        <w:spacing w:line="400" w:lineRule="exact"/>
        <w:rPr>
          <w:highlight w:val="none"/>
        </w:rPr>
      </w:pPr>
      <w:r>
        <w:rPr>
          <w:rFonts w:ascii="宋体" w:hAnsi="宋体" w:cs="宋体"/>
          <w:szCs w:val="21"/>
          <w:highlight w:val="none"/>
        </w:rPr>
        <w:t xml:space="preserve">7.开立基本帐户银行的名称和地址：________________________________________ </w:t>
      </w:r>
      <w:r>
        <w:rPr>
          <w:szCs w:val="21"/>
          <w:highlight w:val="none"/>
        </w:rPr>
        <w:t xml:space="preserve"> </w:t>
      </w:r>
    </w:p>
    <w:p w14:paraId="3A6041F9">
      <w:pPr>
        <w:spacing w:line="400" w:lineRule="exact"/>
        <w:rPr>
          <w:highlight w:val="none"/>
        </w:rPr>
      </w:pPr>
      <w:r>
        <w:rPr>
          <w:rFonts w:ascii="宋体" w:hAnsi="宋体" w:cs="宋体"/>
          <w:szCs w:val="21"/>
          <w:highlight w:val="none"/>
        </w:rPr>
        <w:t>8.其他情况：</w:t>
      </w:r>
      <w:r>
        <w:rPr>
          <w:rFonts w:ascii="宋体" w:hAnsi="宋体" w:cs="宋体"/>
          <w:szCs w:val="21"/>
          <w:highlight w:val="none"/>
          <w:u w:val="single"/>
        </w:rPr>
        <w:t>组织机构、技术力量、制造商体系认证情况等</w:t>
      </w:r>
      <w:r>
        <w:rPr>
          <w:szCs w:val="21"/>
          <w:highlight w:val="none"/>
        </w:rPr>
        <w:t xml:space="preserve"> </w:t>
      </w:r>
    </w:p>
    <w:p w14:paraId="0D0DB83C">
      <w:pPr>
        <w:spacing w:line="400" w:lineRule="exact"/>
        <w:rPr>
          <w:highlight w:val="none"/>
        </w:rPr>
      </w:pPr>
      <w:r>
        <w:rPr>
          <w:rFonts w:ascii="宋体" w:hAnsi="宋体" w:cs="宋体"/>
          <w:szCs w:val="21"/>
          <w:highlight w:val="none"/>
        </w:rPr>
        <w:t>9.提供营业执照副本及其年检合格(自然人为投标人时，提供自然人身份证明)等证明材料的复印件。</w:t>
      </w:r>
      <w:r>
        <w:rPr>
          <w:szCs w:val="21"/>
          <w:highlight w:val="none"/>
        </w:rPr>
        <w:t xml:space="preserve"> </w:t>
      </w:r>
    </w:p>
    <w:p w14:paraId="48B46F79">
      <w:pPr>
        <w:spacing w:line="400" w:lineRule="exact"/>
        <w:ind w:firstLine="420"/>
        <w:rPr>
          <w:highlight w:val="none"/>
        </w:rPr>
      </w:pPr>
      <w:r>
        <w:rPr>
          <w:rFonts w:ascii="宋体" w:hAnsi="宋体" w:cs="宋体"/>
          <w:szCs w:val="21"/>
          <w:highlight w:val="none"/>
        </w:rPr>
        <w:t>兹声明上述数据和资料是真实、正确的，我们同意遵照贵方要求出示有关证明文件。</w:t>
      </w:r>
      <w:r>
        <w:rPr>
          <w:szCs w:val="21"/>
          <w:highlight w:val="none"/>
        </w:rPr>
        <w:t xml:space="preserve"> </w:t>
      </w:r>
    </w:p>
    <w:p w14:paraId="0A366FBE">
      <w:pPr>
        <w:spacing w:line="400" w:lineRule="exact"/>
        <w:rPr>
          <w:highlight w:val="none"/>
        </w:rPr>
      </w:pPr>
      <w:r>
        <w:rPr>
          <w:rFonts w:ascii="宋体" w:hAnsi="宋体" w:cs="宋体"/>
          <w:szCs w:val="21"/>
          <w:highlight w:val="none"/>
        </w:rPr>
        <w:t>投标人名称（</w:t>
      </w:r>
      <w:r>
        <w:rPr>
          <w:rFonts w:hint="eastAsia" w:ascii="宋体" w:hAnsi="宋体" w:cs="宋体"/>
          <w:color w:val="FF0000"/>
          <w:szCs w:val="21"/>
          <w:highlight w:val="none"/>
        </w:rPr>
        <w:t>电子签章</w:t>
      </w:r>
      <w:r>
        <w:rPr>
          <w:rFonts w:ascii="宋体" w:hAnsi="宋体" w:cs="宋体"/>
          <w:szCs w:val="21"/>
          <w:highlight w:val="none"/>
        </w:rPr>
        <w:t>）：</w:t>
      </w:r>
      <w:r>
        <w:rPr>
          <w:szCs w:val="21"/>
          <w:highlight w:val="none"/>
        </w:rPr>
        <w:t xml:space="preserve"> </w:t>
      </w:r>
    </w:p>
    <w:p w14:paraId="6671F18D">
      <w:pPr>
        <w:spacing w:line="400" w:lineRule="exact"/>
        <w:rPr>
          <w:highlight w:val="none"/>
        </w:rPr>
      </w:pPr>
      <w:r>
        <w:rPr>
          <w:rFonts w:ascii="宋体" w:hAnsi="宋体" w:cs="宋体"/>
          <w:szCs w:val="21"/>
          <w:highlight w:val="none"/>
        </w:rPr>
        <w:t>法定代表人或其授权的代理人(</w:t>
      </w:r>
      <w:r>
        <w:rPr>
          <w:rFonts w:hint="eastAsia" w:ascii="宋体" w:hAnsi="宋体"/>
          <w:szCs w:val="21"/>
          <w:highlight w:val="none"/>
        </w:rPr>
        <w:t>签字或印章</w:t>
      </w:r>
      <w:r>
        <w:rPr>
          <w:rFonts w:ascii="宋体" w:hAnsi="宋体" w:cs="宋体"/>
          <w:szCs w:val="21"/>
          <w:highlight w:val="none"/>
        </w:rPr>
        <w:t>)：</w:t>
      </w:r>
      <w:r>
        <w:rPr>
          <w:rFonts w:ascii="宋体" w:hAnsi="宋体" w:cs="宋体"/>
          <w:szCs w:val="21"/>
          <w:highlight w:val="none"/>
          <w:u w:val="single"/>
        </w:rPr>
        <w:t>               </w:t>
      </w:r>
      <w:r>
        <w:rPr>
          <w:szCs w:val="21"/>
          <w:highlight w:val="none"/>
        </w:rPr>
        <w:t xml:space="preserve"> </w:t>
      </w:r>
    </w:p>
    <w:p w14:paraId="5F3C3C8A">
      <w:pPr>
        <w:rPr>
          <w:highlight w:val="none"/>
        </w:rPr>
      </w:pPr>
      <w:r>
        <w:rPr>
          <w:rFonts w:ascii="宋体" w:hAnsi="宋体" w:cs="宋体"/>
          <w:szCs w:val="21"/>
          <w:highlight w:val="none"/>
        </w:rPr>
        <w:t>日期：</w:t>
      </w:r>
      <w:r>
        <w:rPr>
          <w:rFonts w:ascii="宋体" w:hAnsi="宋体" w:cs="宋体"/>
          <w:szCs w:val="21"/>
          <w:highlight w:val="none"/>
          <w:u w:val="single"/>
        </w:rPr>
        <w:t>        </w:t>
      </w:r>
      <w:r>
        <w:rPr>
          <w:rFonts w:ascii="宋体" w:hAnsi="宋体" w:cs="宋体"/>
          <w:szCs w:val="21"/>
          <w:highlight w:val="none"/>
        </w:rPr>
        <w:t xml:space="preserve"> 年</w:t>
      </w:r>
      <w:r>
        <w:rPr>
          <w:rFonts w:ascii="宋体" w:hAnsi="宋体" w:cs="宋体"/>
          <w:szCs w:val="21"/>
          <w:highlight w:val="none"/>
          <w:u w:val="single"/>
        </w:rPr>
        <w:t>     </w:t>
      </w:r>
      <w:r>
        <w:rPr>
          <w:rFonts w:ascii="宋体" w:hAnsi="宋体" w:cs="宋体"/>
          <w:szCs w:val="21"/>
          <w:highlight w:val="none"/>
        </w:rPr>
        <w:t xml:space="preserve"> 月</w:t>
      </w:r>
      <w:r>
        <w:rPr>
          <w:rFonts w:ascii="宋体" w:hAnsi="宋体" w:cs="宋体"/>
          <w:szCs w:val="21"/>
          <w:highlight w:val="none"/>
          <w:u w:val="single"/>
        </w:rPr>
        <w:t>    </w:t>
      </w:r>
      <w:r>
        <w:rPr>
          <w:rFonts w:ascii="宋体" w:hAnsi="宋体" w:cs="宋体"/>
          <w:szCs w:val="21"/>
          <w:highlight w:val="none"/>
        </w:rPr>
        <w:t xml:space="preserve"> 日</w:t>
      </w:r>
      <w:r>
        <w:rPr>
          <w:szCs w:val="21"/>
          <w:highlight w:val="none"/>
        </w:rPr>
        <w:t xml:space="preserve"> </w:t>
      </w:r>
    </w:p>
    <w:p w14:paraId="61ED15A4">
      <w:pPr>
        <w:rPr>
          <w:rFonts w:ascii="黑体" w:hAnsi="宋体" w:eastAsia="黑体"/>
          <w:sz w:val="28"/>
          <w:szCs w:val="28"/>
          <w:highlight w:val="none"/>
        </w:rPr>
      </w:pPr>
    </w:p>
    <w:p w14:paraId="2F5E510A">
      <w:pPr>
        <w:rPr>
          <w:rFonts w:ascii="黑体" w:hAnsi="黑体" w:eastAsia="黑体" w:cs="黑体"/>
          <w:b/>
          <w:bCs/>
          <w:szCs w:val="21"/>
          <w:highlight w:val="none"/>
        </w:rPr>
      </w:pPr>
    </w:p>
    <w:p w14:paraId="7941AAB0">
      <w:pPr>
        <w:rPr>
          <w:rFonts w:ascii="黑体" w:hAnsi="黑体" w:eastAsia="黑体" w:cs="黑体"/>
          <w:b/>
          <w:bCs/>
          <w:szCs w:val="21"/>
          <w:highlight w:val="none"/>
        </w:rPr>
      </w:pPr>
    </w:p>
    <w:p w14:paraId="37556EE3">
      <w:pPr>
        <w:rPr>
          <w:rFonts w:ascii="黑体" w:hAnsi="黑体" w:eastAsia="黑体" w:cs="黑体"/>
          <w:b/>
          <w:bCs/>
          <w:szCs w:val="21"/>
          <w:highlight w:val="none"/>
        </w:rPr>
      </w:pPr>
    </w:p>
    <w:p w14:paraId="3E62B5B1">
      <w:pPr>
        <w:rPr>
          <w:rFonts w:ascii="黑体" w:hAnsi="黑体" w:eastAsia="黑体" w:cs="黑体"/>
          <w:b/>
          <w:bCs/>
          <w:szCs w:val="21"/>
          <w:highlight w:val="none"/>
        </w:rPr>
      </w:pPr>
    </w:p>
    <w:p w14:paraId="7450D8BA">
      <w:pPr>
        <w:rPr>
          <w:rFonts w:ascii="黑体" w:hAnsi="黑体" w:eastAsia="黑体" w:cs="黑体"/>
          <w:b/>
          <w:bCs/>
          <w:szCs w:val="21"/>
          <w:highlight w:val="none"/>
        </w:rPr>
      </w:pPr>
    </w:p>
    <w:p w14:paraId="57AC96B6">
      <w:pPr>
        <w:rPr>
          <w:rFonts w:ascii="黑体" w:hAnsi="黑体" w:eastAsia="黑体" w:cs="黑体"/>
          <w:b/>
          <w:bCs/>
          <w:szCs w:val="21"/>
          <w:highlight w:val="none"/>
        </w:rPr>
      </w:pPr>
    </w:p>
    <w:p w14:paraId="7B2F7299">
      <w:pPr>
        <w:rPr>
          <w:rFonts w:ascii="黑体" w:hAnsi="黑体" w:eastAsia="黑体" w:cs="黑体"/>
          <w:b/>
          <w:bCs/>
          <w:szCs w:val="21"/>
          <w:highlight w:val="none"/>
        </w:rPr>
      </w:pPr>
    </w:p>
    <w:p w14:paraId="3793BE13">
      <w:pPr>
        <w:rPr>
          <w:rFonts w:ascii="黑体" w:hAnsi="黑体" w:eastAsia="黑体" w:cs="黑体"/>
          <w:b/>
          <w:bCs/>
          <w:szCs w:val="21"/>
          <w:highlight w:val="none"/>
        </w:rPr>
      </w:pPr>
    </w:p>
    <w:p w14:paraId="5AD5E387">
      <w:pPr>
        <w:rPr>
          <w:rFonts w:ascii="黑体" w:hAnsi="黑体" w:eastAsia="黑体" w:cs="黑体"/>
          <w:b/>
          <w:bCs/>
          <w:szCs w:val="21"/>
          <w:highlight w:val="none"/>
        </w:rPr>
      </w:pPr>
    </w:p>
    <w:p w14:paraId="64D89839">
      <w:pPr>
        <w:rPr>
          <w:rFonts w:ascii="黑体" w:hAnsi="黑体" w:eastAsia="黑体" w:cs="黑体"/>
          <w:b/>
          <w:bCs/>
          <w:szCs w:val="21"/>
          <w:highlight w:val="none"/>
        </w:rPr>
      </w:pPr>
    </w:p>
    <w:p w14:paraId="373522EE">
      <w:pPr>
        <w:rPr>
          <w:rFonts w:ascii="黑体" w:hAnsi="黑体" w:eastAsia="黑体" w:cs="黑体"/>
          <w:b/>
          <w:bCs/>
          <w:szCs w:val="21"/>
          <w:highlight w:val="none"/>
        </w:rPr>
      </w:pPr>
    </w:p>
    <w:p w14:paraId="3CD909C7">
      <w:pPr>
        <w:rPr>
          <w:rFonts w:ascii="黑体" w:hAnsi="黑体" w:eastAsia="黑体" w:cs="黑体"/>
          <w:b/>
          <w:bCs/>
          <w:szCs w:val="21"/>
          <w:highlight w:val="none"/>
        </w:rPr>
      </w:pPr>
    </w:p>
    <w:p w14:paraId="58381739">
      <w:pPr>
        <w:rPr>
          <w:rFonts w:ascii="黑体" w:hAnsi="黑体" w:eastAsia="黑体" w:cs="黑体"/>
          <w:b/>
          <w:bCs/>
          <w:szCs w:val="21"/>
          <w:highlight w:val="none"/>
        </w:rPr>
      </w:pPr>
    </w:p>
    <w:p w14:paraId="099232FA">
      <w:pPr>
        <w:rPr>
          <w:rFonts w:ascii="黑体" w:hAnsi="黑体" w:eastAsia="黑体" w:cs="黑体"/>
          <w:b/>
          <w:bCs/>
          <w:szCs w:val="21"/>
          <w:highlight w:val="none"/>
        </w:rPr>
      </w:pPr>
    </w:p>
    <w:p w14:paraId="15D2D5E0">
      <w:pPr>
        <w:rPr>
          <w:rFonts w:ascii="黑体" w:hAnsi="黑体" w:eastAsia="黑体" w:cs="黑体"/>
          <w:b/>
          <w:bCs/>
          <w:szCs w:val="21"/>
          <w:highlight w:val="none"/>
        </w:rPr>
      </w:pPr>
    </w:p>
    <w:p w14:paraId="2C6C0603">
      <w:pPr>
        <w:rPr>
          <w:rFonts w:ascii="黑体" w:hAnsi="黑体" w:eastAsia="黑体" w:cs="黑体"/>
          <w:b/>
          <w:bCs/>
          <w:szCs w:val="21"/>
          <w:highlight w:val="none"/>
        </w:rPr>
      </w:pPr>
    </w:p>
    <w:p w14:paraId="07B21032">
      <w:pPr>
        <w:rPr>
          <w:rFonts w:ascii="黑体" w:hAnsi="黑体" w:eastAsia="黑体" w:cs="黑体"/>
          <w:b/>
          <w:bCs/>
          <w:szCs w:val="21"/>
          <w:highlight w:val="none"/>
        </w:rPr>
      </w:pPr>
    </w:p>
    <w:p w14:paraId="0E1AAE6C">
      <w:pPr>
        <w:rPr>
          <w:rFonts w:ascii="黑体" w:hAnsi="黑体" w:eastAsia="黑体" w:cs="黑体"/>
          <w:b/>
          <w:bCs/>
          <w:szCs w:val="21"/>
          <w:highlight w:val="none"/>
        </w:rPr>
      </w:pPr>
    </w:p>
    <w:p w14:paraId="4923080E">
      <w:pPr>
        <w:rPr>
          <w:rFonts w:ascii="黑体" w:hAnsi="黑体" w:eastAsia="黑体" w:cs="黑体"/>
          <w:b/>
          <w:bCs/>
          <w:szCs w:val="21"/>
          <w:highlight w:val="none"/>
        </w:rPr>
      </w:pPr>
    </w:p>
    <w:p w14:paraId="0585898B">
      <w:pPr>
        <w:rPr>
          <w:rFonts w:ascii="黑体" w:hAnsi="黑体" w:eastAsia="黑体" w:cs="黑体"/>
          <w:b/>
          <w:bCs/>
          <w:szCs w:val="21"/>
          <w:highlight w:val="none"/>
        </w:rPr>
      </w:pPr>
    </w:p>
    <w:p w14:paraId="0F057746">
      <w:pPr>
        <w:rPr>
          <w:rFonts w:ascii="黑体" w:hAnsi="黑体" w:eastAsia="黑体" w:cs="黑体"/>
          <w:b/>
          <w:bCs/>
          <w:szCs w:val="21"/>
          <w:highlight w:val="none"/>
        </w:rPr>
      </w:pPr>
    </w:p>
    <w:p w14:paraId="24F160B7">
      <w:pPr>
        <w:rPr>
          <w:rFonts w:ascii="黑体" w:hAnsi="黑体" w:eastAsia="黑体" w:cs="黑体"/>
          <w:b/>
          <w:bCs/>
          <w:szCs w:val="21"/>
          <w:highlight w:val="none"/>
        </w:rPr>
      </w:pPr>
    </w:p>
    <w:p w14:paraId="357CADF5">
      <w:pPr>
        <w:rPr>
          <w:rFonts w:ascii="黑体" w:hAnsi="黑体" w:eastAsia="黑体" w:cs="黑体"/>
          <w:b/>
          <w:bCs/>
          <w:szCs w:val="21"/>
          <w:highlight w:val="none"/>
        </w:rPr>
      </w:pPr>
    </w:p>
    <w:p w14:paraId="6E5CF74F">
      <w:pPr>
        <w:rPr>
          <w:rFonts w:ascii="黑体" w:hAnsi="黑体" w:eastAsia="黑体" w:cs="黑体"/>
          <w:b/>
          <w:bCs/>
          <w:szCs w:val="21"/>
          <w:highlight w:val="none"/>
        </w:rPr>
      </w:pPr>
    </w:p>
    <w:p w14:paraId="17FEFD2B">
      <w:pPr>
        <w:rPr>
          <w:rFonts w:ascii="黑体" w:hAnsi="黑体" w:eastAsia="黑体" w:cs="黑体"/>
          <w:b/>
          <w:bCs/>
          <w:szCs w:val="21"/>
          <w:highlight w:val="none"/>
        </w:rPr>
      </w:pPr>
    </w:p>
    <w:p w14:paraId="2A385F5C">
      <w:pPr>
        <w:rPr>
          <w:rFonts w:ascii="黑体" w:hAnsi="黑体" w:eastAsia="黑体" w:cs="黑体"/>
          <w:b/>
          <w:bCs/>
          <w:szCs w:val="21"/>
          <w:highlight w:val="none"/>
        </w:rPr>
      </w:pPr>
    </w:p>
    <w:p w14:paraId="09B6F344">
      <w:pPr>
        <w:rPr>
          <w:rFonts w:ascii="黑体" w:hAnsi="黑体" w:eastAsia="黑体" w:cs="黑体"/>
          <w:b/>
          <w:bCs/>
          <w:szCs w:val="21"/>
          <w:highlight w:val="none"/>
        </w:rPr>
      </w:pPr>
    </w:p>
    <w:p w14:paraId="1B1D460D">
      <w:pPr>
        <w:rPr>
          <w:rFonts w:ascii="黑体" w:hAnsi="黑体" w:eastAsia="黑体" w:cs="黑体"/>
          <w:b/>
          <w:bCs/>
          <w:szCs w:val="21"/>
          <w:highlight w:val="none"/>
        </w:rPr>
      </w:pPr>
    </w:p>
    <w:p w14:paraId="4FA20D51">
      <w:pPr>
        <w:rPr>
          <w:rFonts w:ascii="黑体" w:hAnsi="黑体" w:eastAsia="黑体" w:cs="黑体"/>
          <w:b/>
          <w:bCs/>
          <w:szCs w:val="21"/>
          <w:highlight w:val="none"/>
        </w:rPr>
        <w:sectPr>
          <w:footerReference r:id="rId11" w:type="default"/>
          <w:pgSz w:w="11905" w:h="16839"/>
          <w:pgMar w:top="1387" w:right="1028" w:bottom="1362" w:left="1584" w:header="0" w:footer="1200" w:gutter="0"/>
          <w:pgBorders>
            <w:top w:val="none" w:sz="0" w:space="0"/>
            <w:left w:val="none" w:sz="0" w:space="0"/>
            <w:bottom w:val="none" w:sz="0" w:space="0"/>
            <w:right w:val="none" w:sz="0" w:space="0"/>
          </w:pgBorders>
          <w:cols w:space="720" w:num="1"/>
        </w:sectPr>
      </w:pPr>
    </w:p>
    <w:p w14:paraId="5BA0090D">
      <w:pPr>
        <w:rPr>
          <w:rFonts w:ascii="黑体" w:hAnsi="黑体" w:eastAsia="黑体" w:cs="黑体"/>
          <w:b/>
          <w:bCs/>
          <w:szCs w:val="21"/>
          <w:highlight w:val="none"/>
        </w:rPr>
      </w:pPr>
      <w:r>
        <w:rPr>
          <w:rFonts w:hint="eastAsia" w:ascii="黑体" w:hAnsi="黑体" w:eastAsia="黑体" w:cs="黑体"/>
          <w:b/>
          <w:bCs/>
          <w:szCs w:val="21"/>
          <w:highlight w:val="none"/>
        </w:rPr>
        <w:t>附件3湖南省政府采购供应商资格承诺函</w:t>
      </w:r>
    </w:p>
    <w:p w14:paraId="5544C6CB">
      <w:pPr>
        <w:widowControl/>
        <w:jc w:val="center"/>
        <w:rPr>
          <w:rFonts w:ascii="方正小标宋_GBK" w:hAnsi="方正小标宋_GBK" w:eastAsia="方正小标宋_GBK" w:cs="方正小标宋_GBK"/>
          <w:kern w:val="0"/>
          <w:sz w:val="36"/>
          <w:szCs w:val="36"/>
          <w:highlight w:val="none"/>
        </w:rPr>
      </w:pPr>
    </w:p>
    <w:p w14:paraId="5B9B2199">
      <w:pPr>
        <w:spacing w:line="400" w:lineRule="exact"/>
        <w:ind w:right="420"/>
        <w:jc w:val="center"/>
        <w:rPr>
          <w:rFonts w:ascii="黑体" w:hAnsi="黑体" w:eastAsia="黑体" w:cs="黑体"/>
          <w:sz w:val="28"/>
          <w:szCs w:val="28"/>
          <w:highlight w:val="none"/>
        </w:rPr>
      </w:pPr>
      <w:r>
        <w:rPr>
          <w:rFonts w:hint="eastAsia" w:ascii="黑体" w:hAnsi="黑体" w:eastAsia="黑体" w:cs="黑体"/>
          <w:sz w:val="28"/>
          <w:szCs w:val="28"/>
          <w:highlight w:val="none"/>
        </w:rPr>
        <w:t>湖南省政府采购供应商资格承诺函</w:t>
      </w:r>
    </w:p>
    <w:p w14:paraId="67153D98">
      <w:pPr>
        <w:adjustRightInd w:val="0"/>
        <w:snapToGrid w:val="0"/>
        <w:spacing w:line="360" w:lineRule="auto"/>
        <w:jc w:val="center"/>
        <w:rPr>
          <w:rFonts w:ascii="黑体" w:hAnsi="黑体" w:eastAsia="黑体"/>
          <w:b/>
          <w:sz w:val="28"/>
          <w:szCs w:val="28"/>
          <w:highlight w:val="none"/>
        </w:rPr>
      </w:pPr>
    </w:p>
    <w:p w14:paraId="1FA126F2">
      <w:pPr>
        <w:spacing w:line="360" w:lineRule="auto"/>
        <w:ind w:firstLine="420"/>
        <w:rPr>
          <w:rFonts w:ascii="宋体" w:hAnsi="宋体" w:cs="宋体"/>
          <w:szCs w:val="21"/>
          <w:highlight w:val="none"/>
        </w:rPr>
      </w:pPr>
      <w:r>
        <w:rPr>
          <w:rFonts w:ascii="宋体" w:hAnsi="宋体" w:cs="宋体"/>
          <w:szCs w:val="21"/>
          <w:highlight w:val="none"/>
        </w:rPr>
        <w:t xml:space="preserve">本公司独立承担民事责任、具有良好的商业信誉和健全的财务会计制度、依法缴纳税收和社会保障资金，在前三年的经营活动中无重大违法记录，未列入严重失信行为名单，符合政府采购 </w:t>
      </w:r>
    </w:p>
    <w:p w14:paraId="5F87C912">
      <w:pPr>
        <w:spacing w:line="360" w:lineRule="auto"/>
        <w:ind w:firstLine="420"/>
        <w:rPr>
          <w:rFonts w:ascii="宋体" w:hAnsi="宋体" w:cs="宋体"/>
          <w:szCs w:val="21"/>
          <w:highlight w:val="none"/>
        </w:rPr>
      </w:pPr>
      <w:r>
        <w:rPr>
          <w:rFonts w:ascii="宋体" w:hAnsi="宋体" w:cs="宋体"/>
          <w:szCs w:val="21"/>
          <w:highlight w:val="none"/>
        </w:rPr>
        <w:t>供应商的基本资格要求。 按 照 《 政 府 采 购 促 进 中 小 企 业 发 展 管 理 办 法 》（ 财 库〔2020〕46 号），本公司企业规模为：大型</w:t>
      </w:r>
      <w:r>
        <w:rPr>
          <w:rFonts w:ascii="宋体" w:hAnsi="宋体" w:cs="宋体"/>
          <w:szCs w:val="21"/>
          <w:highlight w:val="none"/>
        </w:rPr>
        <w:sym w:font="Wingdings" w:char="00A8"/>
      </w:r>
      <w:r>
        <w:rPr>
          <w:rFonts w:ascii="宋体" w:hAnsi="宋体" w:cs="宋体"/>
          <w:szCs w:val="21"/>
          <w:highlight w:val="none"/>
        </w:rPr>
        <w:t>中型</w:t>
      </w:r>
      <w:r>
        <w:rPr>
          <w:rFonts w:ascii="宋体" w:hAnsi="宋体" w:cs="宋体"/>
          <w:szCs w:val="21"/>
          <w:highlight w:val="none"/>
        </w:rPr>
        <w:sym w:font="Wingdings" w:char="00A8"/>
      </w:r>
      <w:r>
        <w:rPr>
          <w:rFonts w:ascii="宋体" w:hAnsi="宋体" w:cs="宋体"/>
          <w:szCs w:val="21"/>
          <w:highlight w:val="none"/>
        </w:rPr>
        <w:t>小型</w:t>
      </w:r>
      <w:r>
        <w:rPr>
          <w:rFonts w:ascii="宋体" w:hAnsi="宋体" w:cs="宋体"/>
          <w:szCs w:val="21"/>
          <w:highlight w:val="none"/>
        </w:rPr>
        <w:sym w:font="Wingdings" w:char="00A8"/>
      </w:r>
      <w:r>
        <w:rPr>
          <w:rFonts w:ascii="宋体" w:hAnsi="宋体" w:cs="宋体"/>
          <w:szCs w:val="21"/>
          <w:highlight w:val="none"/>
        </w:rPr>
        <w:t>微 型</w:t>
      </w:r>
      <w:r>
        <w:rPr>
          <w:rFonts w:ascii="宋体" w:hAnsi="宋体" w:cs="宋体"/>
          <w:szCs w:val="21"/>
          <w:highlight w:val="none"/>
        </w:rPr>
        <w:sym w:font="Wingdings" w:char="00A8"/>
      </w:r>
      <w:r>
        <w:rPr>
          <w:rFonts w:hint="eastAsia" w:ascii="宋体" w:hAnsi="宋体" w:cs="宋体"/>
          <w:szCs w:val="21"/>
          <w:highlight w:val="none"/>
        </w:rPr>
        <w:t>。</w:t>
      </w:r>
    </w:p>
    <w:p w14:paraId="2820320F">
      <w:pPr>
        <w:spacing w:line="360" w:lineRule="auto"/>
        <w:ind w:firstLine="420"/>
        <w:rPr>
          <w:rFonts w:ascii="宋体" w:hAnsi="宋体" w:cs="宋体"/>
          <w:szCs w:val="21"/>
          <w:highlight w:val="none"/>
        </w:rPr>
      </w:pPr>
    </w:p>
    <w:p w14:paraId="0D44F263">
      <w:pPr>
        <w:spacing w:line="360" w:lineRule="auto"/>
        <w:ind w:firstLine="420"/>
        <w:rPr>
          <w:rFonts w:ascii="宋体" w:hAnsi="宋体" w:cs="宋体"/>
          <w:szCs w:val="21"/>
          <w:highlight w:val="none"/>
        </w:rPr>
      </w:pPr>
    </w:p>
    <w:p w14:paraId="57BE277C">
      <w:pPr>
        <w:spacing w:line="400" w:lineRule="exact"/>
        <w:ind w:firstLine="420"/>
        <w:rPr>
          <w:rFonts w:ascii="宋体" w:hAnsi="宋体" w:cs="宋体"/>
          <w:szCs w:val="21"/>
          <w:highlight w:val="none"/>
        </w:rPr>
      </w:pPr>
    </w:p>
    <w:p w14:paraId="1A611786">
      <w:pPr>
        <w:spacing w:line="400" w:lineRule="exact"/>
        <w:ind w:firstLine="420"/>
        <w:rPr>
          <w:rFonts w:ascii="宋体" w:hAnsi="宋体" w:cs="宋体"/>
          <w:szCs w:val="21"/>
          <w:highlight w:val="none"/>
        </w:rPr>
      </w:pPr>
    </w:p>
    <w:p w14:paraId="6BDBBF00">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35E3738E">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58790EDC">
      <w:pPr>
        <w:spacing w:line="400" w:lineRule="exact"/>
        <w:jc w:val="left"/>
        <w:rPr>
          <w:rFonts w:ascii="宋体" w:hAnsi="宋体" w:cs="宋体"/>
          <w:szCs w:val="21"/>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p>
    <w:p w14:paraId="70CBE617">
      <w:pPr>
        <w:rPr>
          <w:rFonts w:ascii="黑体" w:hAnsi="宋体" w:eastAsia="黑体"/>
          <w:sz w:val="28"/>
          <w:szCs w:val="28"/>
          <w:highlight w:val="none"/>
        </w:rPr>
      </w:pPr>
      <w:r>
        <w:rPr>
          <w:rFonts w:hint="eastAsia" w:ascii="黑体" w:hAnsi="宋体" w:eastAsia="黑体"/>
          <w:sz w:val="28"/>
          <w:szCs w:val="28"/>
          <w:highlight w:val="none"/>
        </w:rPr>
        <w:br w:type="page"/>
      </w:r>
    </w:p>
    <w:p w14:paraId="18B97F0E">
      <w:pPr>
        <w:jc w:val="left"/>
        <w:rPr>
          <w:rFonts w:ascii="黑体" w:hAnsi="黑体" w:eastAsia="黑体" w:cs="黑体"/>
          <w:b/>
          <w:bCs/>
          <w:szCs w:val="21"/>
          <w:highlight w:val="none"/>
        </w:rPr>
      </w:pPr>
      <w:r>
        <w:rPr>
          <w:rFonts w:hint="eastAsia" w:ascii="黑体" w:hAnsi="黑体" w:eastAsia="黑体" w:cs="黑体"/>
          <w:b/>
          <w:bCs/>
          <w:szCs w:val="21"/>
          <w:highlight w:val="none"/>
        </w:rPr>
        <w:t>附件4 项目免交投标保证金承诺书</w:t>
      </w:r>
    </w:p>
    <w:p w14:paraId="680487F3">
      <w:pPr>
        <w:pStyle w:val="157"/>
        <w:spacing w:line="480" w:lineRule="auto"/>
        <w:jc w:val="center"/>
        <w:rPr>
          <w:rFonts w:ascii="黑体" w:hAnsi="黑体" w:eastAsia="黑体" w:cs="黑体"/>
          <w:kern w:val="2"/>
          <w:sz w:val="28"/>
          <w:szCs w:val="28"/>
          <w:highlight w:val="none"/>
        </w:rPr>
      </w:pPr>
    </w:p>
    <w:p w14:paraId="7E048724">
      <w:pPr>
        <w:pStyle w:val="157"/>
        <w:spacing w:line="480" w:lineRule="auto"/>
        <w:jc w:val="center"/>
        <w:rPr>
          <w:rFonts w:ascii="黑体" w:hAnsi="黑体" w:eastAsia="黑体" w:cs="黑体"/>
          <w:kern w:val="2"/>
          <w:sz w:val="28"/>
          <w:szCs w:val="28"/>
          <w:highlight w:val="none"/>
        </w:rPr>
      </w:pPr>
      <w:r>
        <w:rPr>
          <w:rFonts w:hint="eastAsia" w:ascii="黑体" w:hAnsi="黑体" w:eastAsia="黑体" w:cs="黑体"/>
          <w:kern w:val="2"/>
          <w:sz w:val="28"/>
          <w:szCs w:val="28"/>
          <w:highlight w:val="none"/>
        </w:rPr>
        <w:t>项目免交投标保证金承诺书</w:t>
      </w:r>
    </w:p>
    <w:p w14:paraId="4230EDC8">
      <w:pPr>
        <w:pStyle w:val="157"/>
        <w:spacing w:line="480" w:lineRule="auto"/>
        <w:rPr>
          <w:rFonts w:ascii="宋体" w:hAnsi="宋体" w:cs="宋体"/>
          <w:sz w:val="21"/>
          <w:szCs w:val="21"/>
          <w:highlight w:val="none"/>
        </w:rPr>
      </w:pPr>
      <w:r>
        <w:rPr>
          <w:rFonts w:hint="eastAsia" w:ascii="宋体" w:hAnsi="宋体" w:cs="宋体"/>
          <w:sz w:val="21"/>
          <w:szCs w:val="21"/>
          <w:highlight w:val="none"/>
        </w:rPr>
        <w:t>致</w:t>
      </w:r>
      <w:r>
        <w:rPr>
          <w:rFonts w:hint="eastAsia" w:ascii="宋体" w:hAnsi="宋体" w:cs="宋体"/>
          <w:sz w:val="21"/>
          <w:szCs w:val="21"/>
          <w:highlight w:val="none"/>
          <w:u w:val="single"/>
        </w:rPr>
        <w:t xml:space="preserve">                  </w:t>
      </w:r>
      <w:r>
        <w:rPr>
          <w:rFonts w:hint="eastAsia" w:ascii="宋体" w:hAnsi="宋体" w:cs="宋体"/>
          <w:sz w:val="21"/>
          <w:szCs w:val="21"/>
          <w:highlight w:val="none"/>
        </w:rPr>
        <w:t>（采购代理机构和采购人）：</w:t>
      </w:r>
    </w:p>
    <w:p w14:paraId="02F3D4F6">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因本项目不收取保证金，我公司承诺，如有下列情形之一的，愿意承担相关的法律责任，并接受财政部门的相关处罚。</w:t>
      </w:r>
    </w:p>
    <w:p w14:paraId="76DD6F42">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(一)中标、成交后无正当理由不与采购人签订合同的；</w:t>
      </w:r>
    </w:p>
    <w:p w14:paraId="0B114824">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(二)未经采购人同意，将中标、成交项目分包方式履行合同的；</w:t>
      </w:r>
    </w:p>
    <w:p w14:paraId="4C2C4EB7">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(三)在提交投标（响应）文件截止时间后撤回投标（响应）文件的；</w:t>
      </w:r>
    </w:p>
    <w:p w14:paraId="5F4DFBB3">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（四）在投标（响应）文件中提供虚假材料的；</w:t>
      </w:r>
    </w:p>
    <w:p w14:paraId="3E14105A">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（五）与采购人、其他供应商或者采购代理机构恶意串通的；</w:t>
      </w:r>
    </w:p>
    <w:p w14:paraId="247697D3">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（六）法律法规或者采购文件规定的其他情形。</w:t>
      </w:r>
    </w:p>
    <w:p w14:paraId="7B14A809">
      <w:pPr>
        <w:pStyle w:val="157"/>
        <w:spacing w:line="480" w:lineRule="auto"/>
        <w:ind w:firstLine="420" w:firstLineChars="200"/>
        <w:rPr>
          <w:rFonts w:ascii="宋体" w:hAnsi="宋体" w:cs="宋体"/>
          <w:sz w:val="21"/>
          <w:szCs w:val="21"/>
          <w:highlight w:val="none"/>
        </w:rPr>
      </w:pPr>
      <w:r>
        <w:rPr>
          <w:rFonts w:hint="eastAsia" w:ascii="宋体" w:hAnsi="宋体" w:cs="宋体"/>
          <w:sz w:val="21"/>
          <w:szCs w:val="21"/>
          <w:highlight w:val="none"/>
        </w:rPr>
        <w:t>特此承诺！</w:t>
      </w:r>
    </w:p>
    <w:p w14:paraId="334689F1">
      <w:pPr>
        <w:pStyle w:val="157"/>
        <w:spacing w:line="480" w:lineRule="auto"/>
        <w:ind w:firstLine="420" w:firstLineChars="200"/>
        <w:rPr>
          <w:rFonts w:ascii="宋体" w:hAnsi="宋体" w:cs="宋体"/>
          <w:sz w:val="21"/>
          <w:szCs w:val="21"/>
          <w:highlight w:val="none"/>
        </w:rPr>
      </w:pPr>
    </w:p>
    <w:p w14:paraId="1951DE93">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412A14F5">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6AB91D86">
      <w:pPr>
        <w:adjustRightInd w:val="0"/>
        <w:snapToGrid w:val="0"/>
        <w:spacing w:line="360" w:lineRule="auto"/>
        <w:jc w:val="left"/>
        <w:rPr>
          <w:rFonts w:ascii="宋体" w:hAnsi="宋体" w:cs="宋体"/>
          <w:b/>
          <w:szCs w:val="21"/>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p>
    <w:p w14:paraId="5C820CFF">
      <w:pPr>
        <w:rPr>
          <w:rFonts w:ascii="黑体" w:hAnsi="宋体" w:eastAsia="黑体"/>
          <w:sz w:val="28"/>
          <w:szCs w:val="28"/>
          <w:highlight w:val="none"/>
        </w:rPr>
      </w:pPr>
      <w:r>
        <w:rPr>
          <w:rFonts w:hint="eastAsia" w:ascii="黑体" w:hAnsi="宋体" w:eastAsia="黑体"/>
          <w:sz w:val="28"/>
          <w:szCs w:val="28"/>
          <w:highlight w:val="none"/>
        </w:rPr>
        <w:br w:type="page"/>
      </w:r>
    </w:p>
    <w:p w14:paraId="03C1CF0F">
      <w:pPr>
        <w:jc w:val="left"/>
        <w:rPr>
          <w:rFonts w:ascii="黑体" w:hAnsi="黑体" w:eastAsia="黑体" w:cs="黑体"/>
          <w:b/>
          <w:bCs/>
          <w:szCs w:val="21"/>
          <w:highlight w:val="none"/>
        </w:rPr>
      </w:pPr>
      <w:r>
        <w:rPr>
          <w:rFonts w:hint="eastAsia" w:ascii="黑体" w:hAnsi="黑体" w:eastAsia="黑体" w:cs="黑体"/>
          <w:b/>
          <w:bCs/>
          <w:szCs w:val="21"/>
          <w:highlight w:val="none"/>
        </w:rPr>
        <w:t>附件5 信用信息查询结果</w:t>
      </w:r>
    </w:p>
    <w:p w14:paraId="5568B8AB">
      <w:pPr>
        <w:rPr>
          <w:rFonts w:ascii="黑体" w:hAnsi="宋体" w:eastAsia="黑体"/>
          <w:sz w:val="28"/>
          <w:szCs w:val="28"/>
          <w:highlight w:val="none"/>
        </w:rPr>
      </w:pPr>
      <w:r>
        <w:rPr>
          <w:rFonts w:hint="eastAsia" w:ascii="黑体" w:hAnsi="宋体" w:eastAsia="黑体"/>
          <w:sz w:val="28"/>
          <w:szCs w:val="28"/>
          <w:highlight w:val="none"/>
        </w:rPr>
        <w:br w:type="page"/>
      </w:r>
    </w:p>
    <w:p w14:paraId="1EA31C7D">
      <w:pPr>
        <w:rPr>
          <w:rFonts w:ascii="黑体" w:eastAsia="黑体"/>
          <w:sz w:val="32"/>
          <w:szCs w:val="32"/>
          <w:highlight w:val="none"/>
        </w:rPr>
      </w:pPr>
      <w:r>
        <w:rPr>
          <w:rFonts w:hint="eastAsia" w:ascii="黑体" w:hAnsi="黑体" w:eastAsia="黑体" w:cs="黑体"/>
          <w:b/>
          <w:bCs/>
          <w:szCs w:val="21"/>
          <w:highlight w:val="none"/>
        </w:rPr>
        <w:t>附件6 特定资格条件和其他资格条件证明材料</w:t>
      </w:r>
      <w:r>
        <w:rPr>
          <w:rFonts w:ascii="宋体" w:hAnsi="宋体"/>
          <w:szCs w:val="21"/>
          <w:highlight w:val="none"/>
        </w:rPr>
        <w:br w:type="page"/>
      </w:r>
    </w:p>
    <w:p w14:paraId="4B57D8CE">
      <w:pPr>
        <w:adjustRightInd w:val="0"/>
        <w:snapToGrid w:val="0"/>
        <w:spacing w:line="360" w:lineRule="auto"/>
        <w:jc w:val="center"/>
        <w:rPr>
          <w:rFonts w:ascii="黑体" w:eastAsia="黑体"/>
          <w:sz w:val="32"/>
          <w:szCs w:val="32"/>
          <w:highlight w:val="none"/>
        </w:rPr>
      </w:pPr>
    </w:p>
    <w:p w14:paraId="77BA557A">
      <w:pPr>
        <w:pStyle w:val="23"/>
        <w:adjustRightInd w:val="0"/>
        <w:snapToGrid w:val="0"/>
        <w:spacing w:line="360" w:lineRule="auto"/>
        <w:jc w:val="center"/>
        <w:rPr>
          <w:rFonts w:cs="Times New Roman" w:asciiTheme="minorEastAsia" w:hAnsiTheme="minorEastAsia" w:eastAsiaTheme="minorEastAsia"/>
          <w:b/>
          <w:bCs/>
          <w:sz w:val="84"/>
          <w:szCs w:val="84"/>
          <w:highlight w:val="none"/>
        </w:rPr>
      </w:pPr>
      <w:r>
        <w:rPr>
          <w:rFonts w:hint="eastAsia" w:cs="Times New Roman" w:asciiTheme="minorEastAsia" w:hAnsiTheme="minorEastAsia" w:eastAsiaTheme="minorEastAsia"/>
          <w:b/>
          <w:bCs/>
          <w:sz w:val="84"/>
          <w:szCs w:val="84"/>
          <w:highlight w:val="none"/>
        </w:rPr>
        <w:t>政府采购</w:t>
      </w:r>
    </w:p>
    <w:p w14:paraId="20C9239D">
      <w:pPr>
        <w:adjustRightInd w:val="0"/>
        <w:snapToGrid w:val="0"/>
        <w:spacing w:line="360" w:lineRule="auto"/>
        <w:jc w:val="center"/>
        <w:rPr>
          <w:rFonts w:asciiTheme="minorEastAsia" w:hAnsiTheme="minorEastAsia" w:eastAsiaTheme="minorEastAsia"/>
          <w:b/>
          <w:bCs/>
          <w:sz w:val="84"/>
          <w:szCs w:val="84"/>
          <w:highlight w:val="none"/>
        </w:rPr>
      </w:pPr>
      <w:r>
        <w:rPr>
          <w:rFonts w:hint="eastAsia" w:asciiTheme="minorEastAsia" w:hAnsiTheme="minorEastAsia" w:eastAsiaTheme="minorEastAsia"/>
          <w:b/>
          <w:bCs/>
          <w:sz w:val="84"/>
          <w:szCs w:val="84"/>
          <w:highlight w:val="none"/>
        </w:rPr>
        <w:t>投 标 文 件</w:t>
      </w:r>
    </w:p>
    <w:p w14:paraId="2207CEA3">
      <w:pPr>
        <w:adjustRightInd w:val="0"/>
        <w:snapToGrid w:val="0"/>
        <w:jc w:val="center"/>
        <w:rPr>
          <w:rFonts w:ascii="黑体" w:hAnsi="黑体" w:eastAsia="黑体"/>
          <w:sz w:val="44"/>
          <w:szCs w:val="44"/>
          <w:highlight w:val="none"/>
        </w:rPr>
      </w:pPr>
      <w:r>
        <w:rPr>
          <w:rFonts w:hint="eastAsia" w:ascii="黑体" w:hAnsi="黑体" w:eastAsia="黑体"/>
          <w:sz w:val="44"/>
          <w:szCs w:val="44"/>
          <w:highlight w:val="none"/>
        </w:rPr>
        <w:t>第二部分 商务文件</w:t>
      </w:r>
    </w:p>
    <w:p w14:paraId="6783ADB5">
      <w:pPr>
        <w:pStyle w:val="23"/>
        <w:adjustRightInd w:val="0"/>
        <w:snapToGrid w:val="0"/>
        <w:spacing w:line="360" w:lineRule="auto"/>
        <w:ind w:firstLine="1988" w:firstLineChars="660"/>
        <w:rPr>
          <w:rFonts w:asciiTheme="minorEastAsia" w:hAnsiTheme="minorEastAsia" w:eastAsiaTheme="minorEastAsia"/>
          <w:b/>
          <w:bCs/>
          <w:sz w:val="30"/>
          <w:szCs w:val="30"/>
          <w:highlight w:val="none"/>
        </w:rPr>
      </w:pPr>
    </w:p>
    <w:p w14:paraId="160840D5">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采购项目名称：</w:t>
      </w:r>
    </w:p>
    <w:p w14:paraId="58D72328">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政府采购编号：</w:t>
      </w:r>
    </w:p>
    <w:p w14:paraId="42F7FCF8">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项 目  编 号：</w:t>
      </w:r>
    </w:p>
    <w:p w14:paraId="2EAEF63C">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采购代理编号：</w:t>
      </w:r>
    </w:p>
    <w:p w14:paraId="5199EAFC">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   购   人：</w:t>
      </w:r>
    </w:p>
    <w:p w14:paraId="4A19E5B2">
      <w:pPr>
        <w:adjustRightInd w:val="0"/>
        <w:snapToGrid w:val="0"/>
        <w:spacing w:line="360" w:lineRule="auto"/>
        <w:ind w:firstLine="1124" w:firstLineChars="350"/>
        <w:rPr>
          <w:rFonts w:asciiTheme="minorEastAsia" w:hAnsiTheme="minorEastAsia" w:eastAsiaTheme="minorEastAsia"/>
          <w:b/>
          <w:bCs/>
          <w:sz w:val="30"/>
          <w:szCs w:val="30"/>
          <w:highlight w:val="none"/>
          <w:u w:val="single"/>
        </w:rPr>
      </w:pPr>
      <w:r>
        <w:rPr>
          <w:rFonts w:hint="eastAsia" w:ascii="宋体"/>
          <w:b/>
          <w:sz w:val="32"/>
          <w:szCs w:val="21"/>
          <w:highlight w:val="none"/>
        </w:rPr>
        <w:t>采购代理机构：</w:t>
      </w:r>
    </w:p>
    <w:p w14:paraId="60E6B546">
      <w:pPr>
        <w:adjustRightInd w:val="0"/>
        <w:snapToGrid w:val="0"/>
        <w:spacing w:line="360" w:lineRule="auto"/>
        <w:rPr>
          <w:rFonts w:ascii="黑体" w:hAnsi="黑体" w:eastAsia="黑体"/>
          <w:sz w:val="30"/>
          <w:szCs w:val="30"/>
          <w:highlight w:val="none"/>
        </w:rPr>
      </w:pPr>
    </w:p>
    <w:p w14:paraId="1C66FD52">
      <w:pPr>
        <w:adjustRightInd w:val="0"/>
        <w:snapToGrid w:val="0"/>
        <w:spacing w:line="360" w:lineRule="auto"/>
        <w:rPr>
          <w:rFonts w:ascii="黑体" w:hAnsi="宋体" w:eastAsia="黑体"/>
          <w:sz w:val="30"/>
          <w:szCs w:val="30"/>
          <w:highlight w:val="none"/>
        </w:rPr>
      </w:pPr>
    </w:p>
    <w:p w14:paraId="3E381D34">
      <w:pPr>
        <w:adjustRightInd w:val="0"/>
        <w:snapToGrid w:val="0"/>
        <w:spacing w:line="360" w:lineRule="auto"/>
        <w:rPr>
          <w:rFonts w:ascii="黑体" w:hAnsi="宋体" w:eastAsia="黑体"/>
          <w:sz w:val="30"/>
          <w:szCs w:val="30"/>
          <w:highlight w:val="none"/>
        </w:rPr>
      </w:pPr>
    </w:p>
    <w:p w14:paraId="7909D547">
      <w:pPr>
        <w:adjustRightInd w:val="0"/>
        <w:snapToGrid w:val="0"/>
        <w:spacing w:line="360" w:lineRule="auto"/>
        <w:ind w:firstLine="1984" w:firstLineChars="620"/>
        <w:rPr>
          <w:rFonts w:ascii="黑体" w:hAnsi="宋体" w:eastAsia="黑体"/>
          <w:sz w:val="32"/>
          <w:szCs w:val="32"/>
          <w:highlight w:val="none"/>
          <w:u w:val="single"/>
        </w:rPr>
      </w:pPr>
      <w:r>
        <w:rPr>
          <w:rFonts w:hint="eastAsia" w:ascii="黑体" w:hAnsi="宋体" w:eastAsia="黑体"/>
          <w:sz w:val="32"/>
          <w:szCs w:val="32"/>
          <w:highlight w:val="none"/>
        </w:rPr>
        <w:t>投标人：</w:t>
      </w:r>
    </w:p>
    <w:p w14:paraId="466CEE74">
      <w:pPr>
        <w:adjustRightInd w:val="0"/>
        <w:snapToGrid w:val="0"/>
        <w:spacing w:line="360" w:lineRule="auto"/>
        <w:ind w:firstLine="1120" w:firstLineChars="350"/>
        <w:jc w:val="center"/>
        <w:rPr>
          <w:rFonts w:asciiTheme="minorEastAsia" w:hAnsiTheme="minorEastAsia" w:eastAsiaTheme="minorEastAsia"/>
          <w:b/>
          <w:bCs/>
          <w:sz w:val="30"/>
          <w:szCs w:val="30"/>
          <w:highlight w:val="none"/>
          <w:u w:val="single"/>
        </w:rPr>
      </w:pPr>
      <w:r>
        <w:rPr>
          <w:rFonts w:hint="eastAsia" w:ascii="黑体" w:hAnsi="宋体" w:eastAsia="黑体"/>
          <w:sz w:val="32"/>
          <w:szCs w:val="32"/>
          <w:highlight w:val="none"/>
        </w:rPr>
        <w:t>年  月  日</w:t>
      </w:r>
    </w:p>
    <w:p w14:paraId="638913B9">
      <w:pPr>
        <w:adjustRightInd w:val="0"/>
        <w:snapToGrid w:val="0"/>
        <w:spacing w:line="360" w:lineRule="auto"/>
        <w:rPr>
          <w:rFonts w:asciiTheme="minorEastAsia" w:hAnsiTheme="minorEastAsia" w:eastAsiaTheme="minorEastAsia"/>
          <w:sz w:val="30"/>
          <w:szCs w:val="30"/>
          <w:highlight w:val="none"/>
        </w:rPr>
      </w:pPr>
    </w:p>
    <w:p w14:paraId="31FB38CB">
      <w:pPr>
        <w:adjustRightInd w:val="0"/>
        <w:snapToGrid w:val="0"/>
        <w:spacing w:line="360" w:lineRule="auto"/>
        <w:rPr>
          <w:rFonts w:asciiTheme="minorEastAsia" w:hAnsiTheme="minorEastAsia" w:eastAsiaTheme="minorEastAsia"/>
          <w:sz w:val="30"/>
          <w:szCs w:val="30"/>
          <w:highlight w:val="none"/>
        </w:rPr>
      </w:pPr>
    </w:p>
    <w:p w14:paraId="27F34333">
      <w:pPr>
        <w:widowControl/>
        <w:jc w:val="left"/>
        <w:rPr>
          <w:rFonts w:ascii="黑体" w:hAnsi="宋体" w:eastAsia="黑体"/>
          <w:b/>
          <w:bCs/>
          <w:sz w:val="28"/>
          <w:szCs w:val="28"/>
          <w:highlight w:val="none"/>
        </w:rPr>
      </w:pPr>
      <w:r>
        <w:rPr>
          <w:rFonts w:asciiTheme="minorEastAsia" w:hAnsiTheme="minorEastAsia" w:eastAsiaTheme="minorEastAsia"/>
          <w:highlight w:val="none"/>
          <w:u w:val="single"/>
        </w:rPr>
        <w:br w:type="page"/>
      </w:r>
    </w:p>
    <w:p w14:paraId="13C5374E">
      <w:pPr>
        <w:adjustRightInd w:val="0"/>
        <w:snapToGrid w:val="0"/>
        <w:spacing w:line="360" w:lineRule="auto"/>
        <w:jc w:val="center"/>
        <w:rPr>
          <w:rFonts w:ascii="黑体" w:hAnsi="宋体" w:eastAsia="黑体"/>
          <w:sz w:val="28"/>
          <w:szCs w:val="28"/>
          <w:highlight w:val="none"/>
        </w:rPr>
      </w:pPr>
      <w:r>
        <w:rPr>
          <w:rFonts w:hint="eastAsia" w:ascii="黑体" w:hAnsi="宋体" w:eastAsia="黑体"/>
          <w:sz w:val="28"/>
          <w:szCs w:val="28"/>
          <w:highlight w:val="none"/>
        </w:rPr>
        <w:t>二</w:t>
      </w:r>
      <w:r>
        <w:rPr>
          <w:rFonts w:ascii="黑体" w:hAnsi="宋体" w:eastAsia="黑体"/>
          <w:sz w:val="28"/>
          <w:szCs w:val="28"/>
          <w:highlight w:val="none"/>
        </w:rPr>
        <w:t>、</w:t>
      </w:r>
      <w:r>
        <w:rPr>
          <w:rFonts w:hint="eastAsia" w:ascii="黑体" w:hAnsi="宋体" w:eastAsia="黑体"/>
          <w:sz w:val="28"/>
          <w:szCs w:val="28"/>
          <w:highlight w:val="none"/>
        </w:rPr>
        <w:t>投标函</w:t>
      </w:r>
    </w:p>
    <w:p w14:paraId="50333ABE">
      <w:pPr>
        <w:adjustRightInd w:val="0"/>
        <w:snapToGrid w:val="0"/>
        <w:spacing w:before="120" w:beforeLines="50" w:line="360" w:lineRule="auto"/>
        <w:rPr>
          <w:rFonts w:ascii="宋体" w:hAnsi="宋体"/>
          <w:szCs w:val="21"/>
          <w:highlight w:val="none"/>
        </w:rPr>
      </w:pPr>
      <w:r>
        <w:rPr>
          <w:rFonts w:hint="eastAsia" w:ascii="宋体" w:hAnsi="宋体"/>
          <w:szCs w:val="21"/>
          <w:highlight w:val="none"/>
        </w:rPr>
        <w:t>致：</w:t>
      </w:r>
      <w:r>
        <w:rPr>
          <w:rFonts w:hint="eastAsia" w:ascii="宋体" w:hAnsi="宋体"/>
          <w:szCs w:val="21"/>
          <w:highlight w:val="none"/>
          <w:u w:val="single"/>
        </w:rPr>
        <w:t xml:space="preserve">           </w:t>
      </w:r>
      <w:r>
        <w:rPr>
          <w:rFonts w:hint="eastAsia" w:ascii="宋体" w:hAnsi="宋体"/>
          <w:szCs w:val="21"/>
          <w:highlight w:val="none"/>
        </w:rPr>
        <w:t>（采购人、采购代理机构）：</w:t>
      </w:r>
    </w:p>
    <w:p w14:paraId="3C115B01">
      <w:pPr>
        <w:adjustRightInd w:val="0"/>
        <w:snapToGrid w:val="0"/>
        <w:spacing w:before="120" w:beforeLines="50" w:line="360" w:lineRule="auto"/>
        <w:ind w:firstLine="435"/>
        <w:rPr>
          <w:rFonts w:ascii="宋体" w:hAnsi="宋体"/>
          <w:szCs w:val="21"/>
          <w:highlight w:val="none"/>
        </w:rPr>
      </w:pPr>
      <w:r>
        <w:rPr>
          <w:rFonts w:hint="eastAsia" w:ascii="宋体" w:hAnsi="宋体"/>
          <w:szCs w:val="21"/>
          <w:highlight w:val="none"/>
        </w:rPr>
        <w:t>根据贵方为</w:t>
      </w:r>
      <w:r>
        <w:rPr>
          <w:rFonts w:hint="eastAsia" w:ascii="宋体" w:hAnsi="宋体"/>
          <w:szCs w:val="21"/>
          <w:highlight w:val="none"/>
          <w:u w:val="single"/>
        </w:rPr>
        <w:t xml:space="preserve">           </w:t>
      </w:r>
      <w:r>
        <w:rPr>
          <w:rFonts w:hint="eastAsia" w:ascii="宋体" w:hAnsi="宋体"/>
          <w:szCs w:val="21"/>
          <w:highlight w:val="none"/>
        </w:rPr>
        <w:t>（项目名称）的投标邀请（</w:t>
      </w:r>
      <w:r>
        <w:rPr>
          <w:rFonts w:hint="eastAsia" w:ascii="宋体" w:hAnsi="宋体"/>
          <w:highlight w:val="none"/>
        </w:rPr>
        <w:t>政府</w:t>
      </w:r>
      <w:r>
        <w:rPr>
          <w:rFonts w:hint="eastAsia" w:ascii="宋体" w:hAnsi="宋体"/>
          <w:iCs/>
          <w:highlight w:val="none"/>
        </w:rPr>
        <w:t>采购编号：</w:t>
      </w:r>
      <w:r>
        <w:rPr>
          <w:rFonts w:hint="eastAsia" w:ascii="宋体" w:hAnsi="宋体"/>
          <w:iCs/>
          <w:highlight w:val="none"/>
          <w:u w:val="single"/>
        </w:rPr>
        <w:t xml:space="preserve">      </w:t>
      </w:r>
      <w:r>
        <w:rPr>
          <w:rFonts w:hint="eastAsia" w:ascii="宋体" w:hAnsi="宋体"/>
          <w:iCs/>
          <w:highlight w:val="none"/>
        </w:rPr>
        <w:t xml:space="preserve"> ，</w:t>
      </w:r>
      <w:r>
        <w:rPr>
          <w:rFonts w:hint="eastAsia" w:ascii="宋体" w:hAnsi="宋体"/>
          <w:szCs w:val="21"/>
          <w:highlight w:val="none"/>
        </w:rPr>
        <w:t>采购代理编号：</w:t>
      </w:r>
      <w:r>
        <w:rPr>
          <w:rFonts w:hint="eastAsia" w:ascii="宋体" w:hAnsi="宋体"/>
          <w:szCs w:val="21"/>
          <w:highlight w:val="none"/>
          <w:u w:val="single"/>
        </w:rPr>
        <w:t xml:space="preserve">         </w:t>
      </w:r>
      <w:r>
        <w:rPr>
          <w:rFonts w:hint="eastAsia" w:ascii="宋体" w:hAnsi="宋体"/>
          <w:szCs w:val="21"/>
          <w:highlight w:val="none"/>
        </w:rPr>
        <w:t xml:space="preserve">），签字代表 </w:t>
      </w:r>
      <w:r>
        <w:rPr>
          <w:rFonts w:hint="eastAsia" w:ascii="宋体" w:hAnsi="宋体"/>
          <w:szCs w:val="21"/>
          <w:highlight w:val="none"/>
          <w:u w:val="single"/>
        </w:rPr>
        <w:t xml:space="preserve">      </w:t>
      </w:r>
      <w:r>
        <w:rPr>
          <w:rFonts w:hint="eastAsia" w:ascii="宋体" w:hAnsi="宋体"/>
          <w:szCs w:val="21"/>
          <w:highlight w:val="none"/>
        </w:rPr>
        <w:t>（姓名、职务）经正式授权并代表投标人</w:t>
      </w:r>
      <w:r>
        <w:rPr>
          <w:rFonts w:hint="eastAsia" w:ascii="宋体" w:hAnsi="宋体"/>
          <w:szCs w:val="21"/>
          <w:highlight w:val="none"/>
          <w:u w:val="single"/>
        </w:rPr>
        <w:t xml:space="preserve">       </w:t>
      </w:r>
      <w:r>
        <w:rPr>
          <w:rFonts w:hint="eastAsia" w:ascii="宋体" w:hAnsi="宋体"/>
          <w:szCs w:val="21"/>
          <w:highlight w:val="none"/>
        </w:rPr>
        <w:t xml:space="preserve"> （投标人名称）提交投标文件，参加采购项目第</w:t>
      </w:r>
      <w:r>
        <w:rPr>
          <w:rFonts w:hint="eastAsia" w:ascii="宋体" w:hAnsi="宋体"/>
          <w:szCs w:val="21"/>
          <w:highlight w:val="none"/>
          <w:u w:val="single"/>
        </w:rPr>
        <w:t xml:space="preserve">   </w:t>
      </w:r>
      <w:r>
        <w:rPr>
          <w:rFonts w:hint="eastAsia" w:ascii="宋体" w:hAnsi="宋体"/>
          <w:szCs w:val="21"/>
          <w:highlight w:val="none"/>
        </w:rPr>
        <w:t>包投标，并在此声明，所递交的投标文件内容完整、真实。</w:t>
      </w:r>
    </w:p>
    <w:p w14:paraId="2F2206F6">
      <w:pPr>
        <w:adjustRightInd w:val="0"/>
        <w:snapToGrid w:val="0"/>
        <w:spacing w:before="120" w:beforeLines="50" w:line="360" w:lineRule="auto"/>
        <w:ind w:firstLine="420" w:firstLineChars="200"/>
        <w:rPr>
          <w:rFonts w:ascii="宋体" w:hAnsi="宋体"/>
          <w:szCs w:val="21"/>
          <w:highlight w:val="none"/>
        </w:rPr>
      </w:pPr>
      <w:r>
        <w:rPr>
          <w:rFonts w:hint="eastAsia" w:ascii="宋体" w:hAnsi="宋体"/>
          <w:szCs w:val="21"/>
          <w:highlight w:val="none"/>
        </w:rPr>
        <w:t>在此，签字代表宣布同意如下：</w:t>
      </w:r>
    </w:p>
    <w:p w14:paraId="51208DDB">
      <w:pPr>
        <w:adjustRightInd w:val="0"/>
        <w:snapToGrid w:val="0"/>
        <w:spacing w:before="120" w:beforeLines="50" w:line="360" w:lineRule="auto"/>
        <w:ind w:firstLine="420" w:firstLineChars="200"/>
        <w:rPr>
          <w:rFonts w:ascii="宋体" w:hAnsi="宋体"/>
          <w:szCs w:val="21"/>
          <w:highlight w:val="none"/>
        </w:rPr>
      </w:pPr>
      <w:r>
        <w:rPr>
          <w:rFonts w:hint="eastAsia" w:ascii="宋体" w:hAnsi="宋体"/>
          <w:szCs w:val="21"/>
          <w:highlight w:val="none"/>
        </w:rPr>
        <w:t>1、投标人严格按照招标文件的规定报价，见《开标一览表》。</w:t>
      </w:r>
    </w:p>
    <w:p w14:paraId="5E58C7A8">
      <w:pPr>
        <w:adjustRightInd w:val="0"/>
        <w:snapToGrid w:val="0"/>
        <w:spacing w:before="120" w:beforeLines="50" w:line="360" w:lineRule="auto"/>
        <w:ind w:firstLine="420" w:firstLineChars="200"/>
        <w:rPr>
          <w:rFonts w:ascii="宋体" w:hAnsi="宋体"/>
          <w:szCs w:val="21"/>
          <w:highlight w:val="none"/>
        </w:rPr>
      </w:pPr>
      <w:r>
        <w:rPr>
          <w:rFonts w:hint="eastAsia" w:ascii="宋体" w:hAnsi="宋体"/>
          <w:szCs w:val="21"/>
          <w:highlight w:val="none"/>
        </w:rPr>
        <w:t>2、投标人将按招标文件的规定履行合同责任和义务。</w:t>
      </w:r>
    </w:p>
    <w:p w14:paraId="106D3DB3">
      <w:pPr>
        <w:adjustRightInd w:val="0"/>
        <w:snapToGrid w:val="0"/>
        <w:spacing w:before="120" w:beforeLines="50" w:line="360" w:lineRule="auto"/>
        <w:ind w:firstLine="420" w:firstLineChars="200"/>
        <w:rPr>
          <w:rFonts w:ascii="宋体" w:hAnsi="宋体"/>
          <w:szCs w:val="21"/>
          <w:highlight w:val="none"/>
        </w:rPr>
      </w:pPr>
      <w:r>
        <w:rPr>
          <w:rFonts w:hint="eastAsia" w:ascii="宋体" w:hAnsi="宋体"/>
          <w:szCs w:val="21"/>
          <w:highlight w:val="none"/>
        </w:rPr>
        <w:t>3、投标人已详细审查招标文件。我们完全理解并同意放弃对这方面有不明及误解的权力。</w:t>
      </w:r>
    </w:p>
    <w:p w14:paraId="4236136D">
      <w:pPr>
        <w:adjustRightInd w:val="0"/>
        <w:snapToGrid w:val="0"/>
        <w:spacing w:before="120" w:beforeLines="50" w:line="360" w:lineRule="auto"/>
        <w:ind w:firstLine="420" w:firstLineChars="200"/>
        <w:rPr>
          <w:rFonts w:ascii="宋体" w:hAnsi="宋体"/>
          <w:highlight w:val="none"/>
        </w:rPr>
      </w:pPr>
      <w:r>
        <w:rPr>
          <w:rFonts w:hint="eastAsia" w:ascii="宋体" w:hAnsi="宋体"/>
          <w:szCs w:val="21"/>
          <w:highlight w:val="none"/>
        </w:rPr>
        <w:t>4、本投标有效期为自招标文件规定的提交投标文件截止之日起</w:t>
      </w:r>
      <w:r>
        <w:rPr>
          <w:rFonts w:hint="eastAsia" w:ascii="宋体" w:hAnsi="宋体"/>
          <w:szCs w:val="21"/>
          <w:highlight w:val="none"/>
          <w:u w:val="single"/>
        </w:rPr>
        <w:t xml:space="preserve">    </w:t>
      </w:r>
      <w:r>
        <w:rPr>
          <w:rFonts w:hint="eastAsia" w:ascii="宋体" w:hAnsi="宋体"/>
          <w:szCs w:val="21"/>
          <w:highlight w:val="none"/>
        </w:rPr>
        <w:t>个日历日。在投标有效期内，</w:t>
      </w:r>
      <w:r>
        <w:rPr>
          <w:rFonts w:hint="eastAsia" w:ascii="宋体" w:hAnsi="宋体"/>
          <w:highlight w:val="none"/>
        </w:rPr>
        <w:t>投标人同意遵守本</w:t>
      </w:r>
      <w:r>
        <w:rPr>
          <w:rFonts w:hint="eastAsia" w:ascii="宋体" w:hAnsi="宋体"/>
          <w:szCs w:val="21"/>
          <w:highlight w:val="none"/>
        </w:rPr>
        <w:t>投标</w:t>
      </w:r>
      <w:r>
        <w:rPr>
          <w:rFonts w:hint="eastAsia" w:ascii="宋体" w:hAnsi="宋体"/>
          <w:highlight w:val="none"/>
        </w:rPr>
        <w:t>文件中的承诺且在此期限期满之前</w:t>
      </w:r>
      <w:r>
        <w:rPr>
          <w:rFonts w:hint="eastAsia" w:ascii="宋体" w:hAnsi="宋体"/>
          <w:szCs w:val="21"/>
          <w:highlight w:val="none"/>
        </w:rPr>
        <w:t>投标</w:t>
      </w:r>
      <w:r>
        <w:rPr>
          <w:rFonts w:hint="eastAsia" w:ascii="宋体" w:hAnsi="宋体"/>
          <w:highlight w:val="none"/>
        </w:rPr>
        <w:t>文件</w:t>
      </w:r>
      <w:r>
        <w:rPr>
          <w:rFonts w:hint="eastAsia" w:ascii="宋体" w:hAnsi="宋体"/>
          <w:szCs w:val="21"/>
          <w:highlight w:val="none"/>
        </w:rPr>
        <w:t>对我方具有法律约束力</w:t>
      </w:r>
      <w:r>
        <w:rPr>
          <w:rFonts w:hint="eastAsia" w:ascii="宋体" w:hAnsi="宋体"/>
          <w:highlight w:val="none"/>
        </w:rPr>
        <w:t>。</w:t>
      </w:r>
    </w:p>
    <w:p w14:paraId="3D78D861">
      <w:pPr>
        <w:adjustRightInd w:val="0"/>
        <w:snapToGrid w:val="0"/>
        <w:spacing w:before="120" w:beforeLines="50" w:line="360" w:lineRule="auto"/>
        <w:ind w:firstLine="420" w:firstLineChars="200"/>
        <w:rPr>
          <w:rFonts w:ascii="宋体" w:hAnsi="宋体"/>
          <w:highlight w:val="none"/>
        </w:rPr>
      </w:pPr>
      <w:r>
        <w:rPr>
          <w:rFonts w:hint="eastAsia" w:ascii="宋体" w:hAnsi="宋体"/>
          <w:highlight w:val="none"/>
        </w:rPr>
        <w:t>5、</w:t>
      </w:r>
      <w:r>
        <w:rPr>
          <w:rFonts w:hint="eastAsia" w:ascii="宋体" w:hAnsi="宋体"/>
          <w:szCs w:val="21"/>
          <w:highlight w:val="none"/>
        </w:rPr>
        <w:t>同意提供贵方可能要求的与其投标有关的一切数据或资料。</w:t>
      </w:r>
    </w:p>
    <w:p w14:paraId="6936D49F">
      <w:pPr>
        <w:adjustRightInd w:val="0"/>
        <w:snapToGrid w:val="0"/>
        <w:spacing w:before="120" w:beforeLines="50" w:line="360" w:lineRule="auto"/>
        <w:ind w:firstLine="420" w:firstLineChars="200"/>
        <w:rPr>
          <w:rFonts w:ascii="宋体" w:hAnsi="宋体"/>
          <w:szCs w:val="21"/>
          <w:highlight w:val="none"/>
        </w:rPr>
      </w:pPr>
      <w:r>
        <w:rPr>
          <w:rFonts w:hint="eastAsia" w:ascii="宋体" w:hAnsi="宋体"/>
          <w:szCs w:val="21"/>
          <w:highlight w:val="none"/>
        </w:rPr>
        <w:t>6、与本投标有关的一切正式往来信函请寄：</w:t>
      </w:r>
    </w:p>
    <w:p w14:paraId="5D6B92E5">
      <w:pPr>
        <w:adjustRightInd w:val="0"/>
        <w:snapToGrid w:val="0"/>
        <w:spacing w:before="120" w:beforeLines="50" w:line="360" w:lineRule="auto"/>
        <w:ind w:firstLine="420" w:firstLineChars="200"/>
        <w:rPr>
          <w:rFonts w:ascii="宋体" w:hAnsi="宋体"/>
          <w:szCs w:val="21"/>
          <w:highlight w:val="none"/>
        </w:rPr>
      </w:pPr>
      <w:r>
        <w:rPr>
          <w:rFonts w:hint="eastAsia" w:ascii="宋体" w:hAnsi="宋体"/>
          <w:szCs w:val="21"/>
          <w:highlight w:val="none"/>
        </w:rPr>
        <w:t>地址：</w:t>
      </w:r>
      <w:r>
        <w:rPr>
          <w:rFonts w:hint="eastAsia" w:ascii="宋体" w:hAnsi="宋体"/>
          <w:szCs w:val="21"/>
          <w:highlight w:val="none"/>
          <w:u w:val="single"/>
        </w:rPr>
        <w:t xml:space="preserve">    </w:t>
      </w:r>
      <w:r>
        <w:rPr>
          <w:rFonts w:hint="eastAsia" w:ascii="宋体" w:hAnsi="宋体"/>
          <w:szCs w:val="21"/>
          <w:highlight w:val="none"/>
        </w:rPr>
        <w:t>；邮编：</w:t>
      </w:r>
      <w:r>
        <w:rPr>
          <w:rFonts w:hint="eastAsia" w:ascii="宋体" w:hAnsi="宋体"/>
          <w:szCs w:val="21"/>
          <w:highlight w:val="none"/>
          <w:u w:val="single"/>
        </w:rPr>
        <w:t xml:space="preserve">     </w:t>
      </w:r>
      <w:r>
        <w:rPr>
          <w:rFonts w:hint="eastAsia" w:ascii="宋体" w:hAnsi="宋体"/>
          <w:szCs w:val="21"/>
          <w:highlight w:val="none"/>
        </w:rPr>
        <w:t xml:space="preserve"> ；电话：</w:t>
      </w:r>
      <w:r>
        <w:rPr>
          <w:rFonts w:hint="eastAsia" w:ascii="宋体" w:hAnsi="宋体"/>
          <w:szCs w:val="21"/>
          <w:highlight w:val="none"/>
          <w:u w:val="single"/>
        </w:rPr>
        <w:t xml:space="preserve">      </w:t>
      </w:r>
      <w:r>
        <w:rPr>
          <w:rFonts w:hint="eastAsia" w:ascii="宋体" w:hAnsi="宋体"/>
          <w:szCs w:val="21"/>
          <w:highlight w:val="none"/>
        </w:rPr>
        <w:t>；电子邮箱：</w:t>
      </w:r>
      <w:r>
        <w:rPr>
          <w:rFonts w:hint="eastAsia" w:ascii="宋体" w:hAnsi="宋体"/>
          <w:szCs w:val="21"/>
          <w:highlight w:val="none"/>
          <w:u w:val="single"/>
        </w:rPr>
        <w:t xml:space="preserve">        </w:t>
      </w:r>
      <w:r>
        <w:rPr>
          <w:rFonts w:hint="eastAsia" w:ascii="宋体" w:hAnsi="宋体"/>
          <w:szCs w:val="21"/>
          <w:highlight w:val="none"/>
        </w:rPr>
        <w:t xml:space="preserve"> 。</w:t>
      </w:r>
    </w:p>
    <w:p w14:paraId="334A8551">
      <w:pPr>
        <w:adjustRightInd w:val="0"/>
        <w:snapToGrid w:val="0"/>
        <w:spacing w:before="120" w:beforeLines="50" w:line="360" w:lineRule="auto"/>
        <w:ind w:firstLine="420" w:firstLineChars="200"/>
        <w:rPr>
          <w:rFonts w:ascii="宋体" w:hAnsi="宋体"/>
          <w:szCs w:val="21"/>
          <w:highlight w:val="none"/>
        </w:rPr>
      </w:pPr>
    </w:p>
    <w:p w14:paraId="24FA34E7">
      <w:pPr>
        <w:pStyle w:val="23"/>
        <w:adjustRightInd w:val="0"/>
        <w:snapToGrid w:val="0"/>
        <w:spacing w:before="120" w:beforeLines="50" w:line="360" w:lineRule="auto"/>
        <w:rPr>
          <w:rFonts w:hAnsi="宋体"/>
          <w:highlight w:val="none"/>
        </w:rPr>
      </w:pPr>
    </w:p>
    <w:p w14:paraId="12CB7130">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694D517A">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554B5456">
      <w:pPr>
        <w:keepNext/>
        <w:keepLines/>
        <w:adjustRightInd w:val="0"/>
        <w:snapToGrid w:val="0"/>
        <w:jc w:val="left"/>
        <w:rPr>
          <w:rFonts w:ascii="宋体" w:hAnsi="宋体"/>
          <w:color w:val="FF0000"/>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p>
    <w:p w14:paraId="537DAC5A">
      <w:pPr>
        <w:adjustRightInd w:val="0"/>
        <w:snapToGrid w:val="0"/>
        <w:spacing w:line="360" w:lineRule="auto"/>
        <w:jc w:val="center"/>
        <w:rPr>
          <w:rFonts w:ascii="黑体" w:hAnsi="宋体" w:eastAsia="黑体"/>
          <w:sz w:val="28"/>
          <w:szCs w:val="28"/>
          <w:highlight w:val="none"/>
        </w:rPr>
      </w:pPr>
      <w:r>
        <w:rPr>
          <w:rFonts w:hint="eastAsia" w:ascii="宋体" w:hAnsi="宋体"/>
          <w:highlight w:val="none"/>
        </w:rPr>
        <w:br w:type="page"/>
      </w:r>
      <w:r>
        <w:rPr>
          <w:rFonts w:hint="eastAsia" w:ascii="宋体" w:hAnsi="宋体"/>
          <w:highlight w:val="none"/>
        </w:rPr>
        <w:t>三</w:t>
      </w:r>
      <w:r>
        <w:rPr>
          <w:rFonts w:hint="eastAsia" w:ascii="黑体" w:hAnsi="宋体" w:eastAsia="黑体"/>
          <w:sz w:val="28"/>
          <w:szCs w:val="28"/>
          <w:highlight w:val="none"/>
        </w:rPr>
        <w:t>、开标一览表</w:t>
      </w:r>
    </w:p>
    <w:p w14:paraId="066629C9">
      <w:pPr>
        <w:adjustRightInd w:val="0"/>
        <w:snapToGrid w:val="0"/>
        <w:spacing w:line="360" w:lineRule="auto"/>
        <w:jc w:val="center"/>
        <w:rPr>
          <w:rFonts w:ascii="黑体" w:hAnsi="宋体" w:eastAsia="黑体"/>
          <w:sz w:val="28"/>
          <w:szCs w:val="28"/>
          <w:highlight w:val="none"/>
        </w:rPr>
      </w:pPr>
      <w:r>
        <w:rPr>
          <w:rFonts w:hint="eastAsia" w:ascii="黑体" w:hAnsi="宋体" w:eastAsia="黑体"/>
          <w:sz w:val="28"/>
          <w:szCs w:val="28"/>
          <w:highlight w:val="none"/>
        </w:rPr>
        <w:t>（按交易系统中格式填写）</w:t>
      </w:r>
    </w:p>
    <w:p w14:paraId="7D263C81">
      <w:pPr>
        <w:adjustRightInd w:val="0"/>
        <w:snapToGrid w:val="0"/>
        <w:spacing w:line="360" w:lineRule="auto"/>
        <w:ind w:left="-88" w:leftChars="-42"/>
        <w:jc w:val="center"/>
        <w:rPr>
          <w:rFonts w:ascii="仿宋_GB2312" w:hAnsi="宋体" w:eastAsia="仿宋_GB2312"/>
          <w:sz w:val="24"/>
          <w:highlight w:val="none"/>
        </w:rPr>
      </w:pPr>
    </w:p>
    <w:p w14:paraId="4D8BB222">
      <w:pPr>
        <w:adjustRightInd w:val="0"/>
        <w:snapToGrid w:val="0"/>
        <w:spacing w:line="360" w:lineRule="auto"/>
        <w:rPr>
          <w:rFonts w:ascii="宋体" w:hAnsi="宋体"/>
          <w:szCs w:val="21"/>
          <w:highlight w:val="none"/>
        </w:rPr>
      </w:pPr>
      <w:r>
        <w:rPr>
          <w:rFonts w:hint="eastAsia" w:ascii="宋体" w:hAnsi="宋体"/>
          <w:szCs w:val="21"/>
          <w:highlight w:val="none"/>
        </w:rPr>
        <w:t>政府采购计划编号：</w:t>
      </w:r>
      <w:r>
        <w:rPr>
          <w:rFonts w:hint="eastAsia" w:ascii="宋体" w:hAnsi="宋体"/>
          <w:szCs w:val="21"/>
          <w:highlight w:val="none"/>
          <w:u w:val="single"/>
        </w:rPr>
        <w:t xml:space="preserve">               </w:t>
      </w:r>
      <w:r>
        <w:rPr>
          <w:rFonts w:hint="eastAsia" w:ascii="宋体" w:hAnsi="宋体"/>
          <w:szCs w:val="21"/>
          <w:highlight w:val="none"/>
        </w:rPr>
        <w:t xml:space="preserve">                   项目名称：</w:t>
      </w:r>
      <w:r>
        <w:rPr>
          <w:rFonts w:hint="eastAsia" w:ascii="宋体" w:hAnsi="宋体"/>
          <w:szCs w:val="21"/>
          <w:highlight w:val="none"/>
          <w:u w:val="single"/>
        </w:rPr>
        <w:t xml:space="preserve">                </w:t>
      </w:r>
      <w:r>
        <w:rPr>
          <w:rFonts w:hint="eastAsia" w:ascii="宋体" w:hAnsi="宋体"/>
          <w:szCs w:val="21"/>
          <w:highlight w:val="none"/>
        </w:rPr>
        <w:t xml:space="preserve"> </w:t>
      </w:r>
    </w:p>
    <w:p w14:paraId="47F6F9DD">
      <w:pPr>
        <w:adjustRightInd w:val="0"/>
        <w:snapToGrid w:val="0"/>
        <w:spacing w:line="360" w:lineRule="auto"/>
        <w:rPr>
          <w:rFonts w:ascii="宋体" w:hAnsi="宋体"/>
          <w:b/>
          <w:szCs w:val="21"/>
          <w:highlight w:val="none"/>
        </w:rPr>
      </w:pPr>
      <w:r>
        <w:rPr>
          <w:rFonts w:hint="eastAsia" w:ascii="宋体" w:hAnsi="宋体"/>
          <w:szCs w:val="21"/>
          <w:highlight w:val="none"/>
        </w:rPr>
        <w:t>包号：</w:t>
      </w:r>
      <w:r>
        <w:rPr>
          <w:rFonts w:hint="eastAsia" w:ascii="宋体" w:hAnsi="宋体"/>
          <w:szCs w:val="21"/>
          <w:highlight w:val="none"/>
          <w:u w:val="single"/>
        </w:rPr>
        <w:t xml:space="preserve">               </w:t>
      </w:r>
      <w:r>
        <w:rPr>
          <w:rFonts w:hint="eastAsia" w:ascii="宋体" w:hAnsi="宋体"/>
          <w:szCs w:val="21"/>
          <w:highlight w:val="none"/>
        </w:rPr>
        <w:t xml:space="preserve">                               包名称：</w:t>
      </w:r>
      <w:r>
        <w:rPr>
          <w:rFonts w:hint="eastAsia" w:ascii="宋体" w:hAnsi="宋体"/>
          <w:szCs w:val="21"/>
          <w:highlight w:val="none"/>
          <w:u w:val="single"/>
        </w:rPr>
        <w:t xml:space="preserve">                  </w:t>
      </w:r>
    </w:p>
    <w:tbl>
      <w:tblPr>
        <w:tblStyle w:val="43"/>
        <w:tblW w:w="0" w:type="auto"/>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670"/>
        <w:gridCol w:w="3119"/>
      </w:tblGrid>
      <w:tr w14:paraId="529C48C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4262A50D">
            <w:pPr>
              <w:adjustRightInd w:val="0"/>
              <w:snapToGrid w:val="0"/>
              <w:spacing w:line="360" w:lineRule="auto"/>
              <w:jc w:val="center"/>
              <w:rPr>
                <w:rFonts w:ascii="宋体" w:hAnsi="宋体"/>
                <w:b/>
                <w:kern w:val="0"/>
                <w:sz w:val="20"/>
                <w:szCs w:val="21"/>
                <w:highlight w:val="none"/>
              </w:rPr>
            </w:pPr>
            <w:r>
              <w:rPr>
                <w:rFonts w:hint="eastAsia" w:ascii="宋体" w:hAnsi="宋体"/>
                <w:b/>
                <w:kern w:val="0"/>
                <w:szCs w:val="21"/>
                <w:highlight w:val="none"/>
              </w:rPr>
              <w:t>投标报价</w:t>
            </w:r>
          </w:p>
        </w:tc>
        <w:tc>
          <w:tcPr>
            <w:tcW w:w="3119" w:type="dxa"/>
            <w:vAlign w:val="center"/>
          </w:tcPr>
          <w:p w14:paraId="593E22BC">
            <w:pPr>
              <w:adjustRightInd w:val="0"/>
              <w:snapToGrid w:val="0"/>
              <w:spacing w:line="360" w:lineRule="auto"/>
              <w:jc w:val="center"/>
              <w:rPr>
                <w:rFonts w:ascii="宋体" w:hAnsi="宋体"/>
                <w:b/>
                <w:kern w:val="0"/>
                <w:szCs w:val="21"/>
                <w:highlight w:val="none"/>
              </w:rPr>
            </w:pPr>
            <w:r>
              <w:rPr>
                <w:rFonts w:hint="eastAsia" w:ascii="宋体" w:hAnsi="宋体"/>
                <w:b/>
                <w:kern w:val="0"/>
                <w:szCs w:val="21"/>
                <w:highlight w:val="none"/>
              </w:rPr>
              <w:t>其他内容</w:t>
            </w:r>
          </w:p>
        </w:tc>
      </w:tr>
      <w:tr w14:paraId="7235D3A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02F9A615">
            <w:pPr>
              <w:adjustRightInd w:val="0"/>
              <w:snapToGrid w:val="0"/>
              <w:spacing w:line="360" w:lineRule="auto"/>
              <w:jc w:val="center"/>
              <w:rPr>
                <w:rFonts w:ascii="宋体" w:hAnsi="宋体"/>
                <w:kern w:val="0"/>
                <w:szCs w:val="21"/>
                <w:highlight w:val="none"/>
              </w:rPr>
            </w:pPr>
            <w:r>
              <w:rPr>
                <w:rFonts w:hint="eastAsia" w:ascii="宋体" w:hAnsi="宋体"/>
                <w:kern w:val="0"/>
                <w:szCs w:val="21"/>
                <w:highlight w:val="none"/>
              </w:rPr>
              <w:t>小写金额：</w:t>
            </w:r>
            <w:r>
              <w:rPr>
                <w:rFonts w:hint="eastAsia" w:ascii="宋体" w:hAnsi="宋体"/>
                <w:kern w:val="0"/>
                <w:szCs w:val="21"/>
                <w:highlight w:val="none"/>
                <w:u w:val="single"/>
              </w:rPr>
              <w:t xml:space="preserve">               </w:t>
            </w:r>
            <w:r>
              <w:rPr>
                <w:rFonts w:hint="eastAsia" w:ascii="宋体" w:hAnsi="宋体"/>
                <w:kern w:val="0"/>
                <w:szCs w:val="21"/>
                <w:highlight w:val="none"/>
              </w:rPr>
              <w:t>（</w:t>
            </w:r>
            <w:r>
              <w:rPr>
                <w:rFonts w:hint="eastAsia" w:ascii="宋体" w:hAnsi="宋体"/>
                <w:kern w:val="0"/>
                <w:sz w:val="20"/>
                <w:szCs w:val="21"/>
                <w:highlight w:val="none"/>
              </w:rPr>
              <w:t>人民币元</w:t>
            </w:r>
            <w:r>
              <w:rPr>
                <w:rFonts w:hint="eastAsia" w:ascii="宋体" w:hAnsi="宋体"/>
                <w:kern w:val="0"/>
                <w:szCs w:val="21"/>
                <w:highlight w:val="none"/>
              </w:rPr>
              <w:t>）</w:t>
            </w:r>
          </w:p>
          <w:p w14:paraId="4B5B6206">
            <w:pPr>
              <w:adjustRightInd w:val="0"/>
              <w:snapToGrid w:val="0"/>
              <w:spacing w:line="360" w:lineRule="auto"/>
              <w:jc w:val="center"/>
              <w:rPr>
                <w:rFonts w:ascii="宋体" w:hAnsi="宋体"/>
                <w:kern w:val="0"/>
                <w:szCs w:val="21"/>
                <w:highlight w:val="none"/>
                <w:u w:val="single"/>
              </w:rPr>
            </w:pPr>
            <w:r>
              <w:rPr>
                <w:rFonts w:hint="eastAsia" w:ascii="宋体" w:hAnsi="宋体"/>
                <w:kern w:val="0"/>
                <w:szCs w:val="21"/>
                <w:highlight w:val="none"/>
              </w:rPr>
              <w:t>大写金额：</w:t>
            </w:r>
            <w:r>
              <w:rPr>
                <w:rFonts w:hint="eastAsia" w:ascii="宋体" w:hAnsi="宋体"/>
                <w:kern w:val="0"/>
                <w:szCs w:val="21"/>
                <w:highlight w:val="none"/>
                <w:u w:val="single"/>
              </w:rPr>
              <w:t xml:space="preserve">                </w:t>
            </w:r>
            <w:r>
              <w:rPr>
                <w:rFonts w:hint="eastAsia" w:ascii="宋体" w:hAnsi="宋体"/>
                <w:kern w:val="0"/>
                <w:szCs w:val="21"/>
                <w:highlight w:val="none"/>
              </w:rPr>
              <w:t>（</w:t>
            </w:r>
            <w:r>
              <w:rPr>
                <w:rFonts w:hint="eastAsia" w:ascii="宋体" w:hAnsi="宋体"/>
                <w:kern w:val="0"/>
                <w:sz w:val="20"/>
                <w:szCs w:val="21"/>
                <w:highlight w:val="none"/>
              </w:rPr>
              <w:t>人民币元</w:t>
            </w:r>
            <w:r>
              <w:rPr>
                <w:rFonts w:hint="eastAsia" w:ascii="宋体" w:hAnsi="宋体"/>
                <w:kern w:val="0"/>
                <w:szCs w:val="21"/>
                <w:highlight w:val="none"/>
              </w:rPr>
              <w:t>）</w:t>
            </w:r>
          </w:p>
          <w:p w14:paraId="725FC9E0">
            <w:pPr>
              <w:adjustRightInd w:val="0"/>
              <w:snapToGrid w:val="0"/>
              <w:spacing w:line="360" w:lineRule="auto"/>
              <w:jc w:val="center"/>
              <w:rPr>
                <w:rFonts w:ascii="宋体" w:hAnsi="宋体"/>
                <w:kern w:val="0"/>
                <w:sz w:val="20"/>
                <w:szCs w:val="21"/>
                <w:highlight w:val="none"/>
              </w:rPr>
            </w:pPr>
            <w:r>
              <w:rPr>
                <w:rFonts w:hint="eastAsia" w:ascii="宋体" w:hAnsi="宋体"/>
                <w:kern w:val="0"/>
                <w:szCs w:val="21"/>
                <w:highlight w:val="none"/>
              </w:rPr>
              <w:t>（</w:t>
            </w:r>
            <w:r>
              <w:rPr>
                <w:rFonts w:hint="eastAsia" w:ascii="黑体" w:hAnsi="黑体" w:eastAsia="黑体"/>
                <w:kern w:val="0"/>
                <w:sz w:val="24"/>
                <w:highlight w:val="none"/>
              </w:rPr>
              <w:t>大写金额与小写金额不一致时，以大写金额为准</w:t>
            </w:r>
            <w:r>
              <w:rPr>
                <w:rFonts w:hint="eastAsia" w:ascii="宋体" w:hAnsi="宋体"/>
                <w:kern w:val="0"/>
                <w:szCs w:val="21"/>
                <w:highlight w:val="none"/>
              </w:rPr>
              <w:t>）</w:t>
            </w:r>
          </w:p>
        </w:tc>
        <w:tc>
          <w:tcPr>
            <w:tcW w:w="3119" w:type="dxa"/>
            <w:vAlign w:val="center"/>
          </w:tcPr>
          <w:p w14:paraId="20F8AC9E">
            <w:pPr>
              <w:adjustRightInd w:val="0"/>
              <w:snapToGrid w:val="0"/>
              <w:spacing w:line="360" w:lineRule="auto"/>
              <w:jc w:val="center"/>
              <w:rPr>
                <w:rFonts w:ascii="宋体" w:hAnsi="宋体"/>
                <w:kern w:val="0"/>
                <w:szCs w:val="21"/>
                <w:highlight w:val="none"/>
              </w:rPr>
            </w:pPr>
          </w:p>
        </w:tc>
      </w:tr>
    </w:tbl>
    <w:p w14:paraId="6BB2F78E">
      <w:pPr>
        <w:adjustRightInd w:val="0"/>
        <w:snapToGrid w:val="0"/>
        <w:spacing w:line="360" w:lineRule="auto"/>
        <w:rPr>
          <w:rFonts w:ascii="宋体" w:hAnsi="宋体"/>
          <w:szCs w:val="21"/>
          <w:highlight w:val="none"/>
        </w:rPr>
      </w:pPr>
      <w:r>
        <w:rPr>
          <w:rFonts w:hint="eastAsia" w:ascii="宋体" w:hAnsi="宋体"/>
          <w:bCs/>
          <w:szCs w:val="21"/>
          <w:highlight w:val="none"/>
        </w:rPr>
        <w:t>注：</w:t>
      </w:r>
      <w:r>
        <w:rPr>
          <w:rFonts w:hint="eastAsia" w:ascii="宋体" w:hAnsi="宋体"/>
          <w:szCs w:val="21"/>
          <w:highlight w:val="none"/>
        </w:rPr>
        <w:t>1.本表须按包填写，一个“包号”一份。</w:t>
      </w:r>
    </w:p>
    <w:p w14:paraId="1C4E056D">
      <w:pPr>
        <w:adjustRightInd w:val="0"/>
        <w:snapToGrid w:val="0"/>
        <w:spacing w:line="360" w:lineRule="auto"/>
        <w:ind w:firstLine="420" w:firstLineChars="200"/>
        <w:rPr>
          <w:rFonts w:ascii="宋体" w:hAnsi="宋体"/>
          <w:szCs w:val="21"/>
          <w:highlight w:val="none"/>
        </w:rPr>
      </w:pPr>
      <w:r>
        <w:rPr>
          <w:rFonts w:hint="eastAsia" w:ascii="宋体" w:hAnsi="宋体"/>
          <w:szCs w:val="21"/>
          <w:highlight w:val="none"/>
        </w:rPr>
        <w:t>2.</w:t>
      </w:r>
      <w:r>
        <w:rPr>
          <w:rFonts w:hint="eastAsia" w:ascii="宋体" w:hAnsi="宋体"/>
          <w:highlight w:val="none"/>
        </w:rPr>
        <w:t>投标人对采购项目内容只允许有一个投标报价，否则其</w:t>
      </w:r>
      <w:r>
        <w:rPr>
          <w:rFonts w:hint="eastAsia" w:ascii="宋体" w:hAnsi="宋体"/>
          <w:b/>
          <w:highlight w:val="none"/>
        </w:rPr>
        <w:t>投标无效</w:t>
      </w:r>
      <w:r>
        <w:rPr>
          <w:rFonts w:hint="eastAsia" w:ascii="宋体" w:hAnsi="宋体"/>
          <w:szCs w:val="21"/>
          <w:highlight w:val="none"/>
        </w:rPr>
        <w:t>。</w:t>
      </w:r>
    </w:p>
    <w:p w14:paraId="4813645A">
      <w:pPr>
        <w:adjustRightInd w:val="0"/>
        <w:snapToGrid w:val="0"/>
        <w:spacing w:line="360" w:lineRule="auto"/>
        <w:ind w:firstLine="420" w:firstLineChars="200"/>
        <w:jc w:val="left"/>
        <w:rPr>
          <w:rFonts w:ascii="宋体" w:hAnsi="宋体"/>
          <w:highlight w:val="none"/>
        </w:rPr>
      </w:pPr>
      <w:r>
        <w:rPr>
          <w:rFonts w:hint="eastAsia" w:ascii="宋体" w:hAnsi="宋体"/>
          <w:szCs w:val="21"/>
          <w:highlight w:val="none"/>
        </w:rPr>
        <w:t>3.</w:t>
      </w:r>
      <w:r>
        <w:rPr>
          <w:rFonts w:hint="eastAsia" w:ascii="宋体" w:hAnsi="宋体"/>
          <w:highlight w:val="none"/>
        </w:rPr>
        <w:t>投标人在投标截止时间前修改“开标一览表”中的投标报价的，应同时修改投标文件“分项报价明细表”“享受政府采购政策优惠的证明资料”以及“联合体协议书”（如果影响）等相关内容。</w:t>
      </w:r>
    </w:p>
    <w:p w14:paraId="500AEBAC">
      <w:pPr>
        <w:adjustRightInd w:val="0"/>
        <w:snapToGrid w:val="0"/>
        <w:spacing w:line="360" w:lineRule="auto"/>
        <w:ind w:firstLine="420" w:firstLineChars="200"/>
        <w:rPr>
          <w:rFonts w:ascii="宋体" w:hAnsi="宋体"/>
          <w:szCs w:val="21"/>
          <w:highlight w:val="none"/>
        </w:rPr>
      </w:pPr>
    </w:p>
    <w:p w14:paraId="622A806B">
      <w:pPr>
        <w:adjustRightInd w:val="0"/>
        <w:snapToGrid w:val="0"/>
        <w:spacing w:line="360" w:lineRule="auto"/>
        <w:ind w:firstLine="420" w:firstLineChars="200"/>
        <w:rPr>
          <w:rFonts w:ascii="宋体" w:hAnsi="宋体"/>
          <w:szCs w:val="21"/>
          <w:highlight w:val="none"/>
        </w:rPr>
      </w:pPr>
    </w:p>
    <w:p w14:paraId="42776319">
      <w:pPr>
        <w:adjustRightInd w:val="0"/>
        <w:snapToGrid w:val="0"/>
        <w:spacing w:line="360" w:lineRule="auto"/>
        <w:rPr>
          <w:rFonts w:ascii="宋体" w:hAnsi="宋体"/>
          <w:szCs w:val="21"/>
          <w:highlight w:val="none"/>
        </w:rPr>
      </w:pPr>
    </w:p>
    <w:p w14:paraId="6524AA26">
      <w:pPr>
        <w:adjustRightInd w:val="0"/>
        <w:snapToGrid w:val="0"/>
        <w:spacing w:line="360" w:lineRule="auto"/>
        <w:rPr>
          <w:rFonts w:ascii="宋体" w:hAnsi="宋体"/>
          <w:szCs w:val="21"/>
          <w:highlight w:val="none"/>
        </w:rPr>
      </w:pPr>
      <w:r>
        <w:rPr>
          <w:rFonts w:hint="eastAsia" w:ascii="宋体" w:hAnsi="宋体"/>
          <w:szCs w:val="21"/>
          <w:highlight w:val="none"/>
        </w:rPr>
        <w:t>投标人名称（盖单位电子章）：</w:t>
      </w:r>
    </w:p>
    <w:p w14:paraId="64162D86">
      <w:pPr>
        <w:rPr>
          <w:rFonts w:ascii="宋体" w:hAnsi="宋体"/>
          <w:highlight w:val="none"/>
        </w:rPr>
      </w:pPr>
      <w:r>
        <w:rPr>
          <w:rFonts w:hint="eastAsia" w:ascii="宋体" w:hAnsi="宋体"/>
          <w:szCs w:val="21"/>
          <w:highlight w:val="none"/>
        </w:rPr>
        <w:t>日期：</w:t>
      </w:r>
      <w:r>
        <w:rPr>
          <w:rFonts w:hint="eastAsia" w:ascii="宋体" w:hAnsi="宋体"/>
          <w:szCs w:val="21"/>
          <w:highlight w:val="none"/>
          <w:u w:val="single"/>
        </w:rPr>
        <w:t xml:space="preserve">          </w:t>
      </w:r>
      <w:r>
        <w:rPr>
          <w:rFonts w:hint="eastAsia" w:ascii="宋体" w:hAnsi="宋体"/>
          <w:szCs w:val="21"/>
          <w:highlight w:val="none"/>
        </w:rPr>
        <w:t>年</w:t>
      </w:r>
      <w:r>
        <w:rPr>
          <w:rFonts w:hint="eastAsia" w:ascii="宋体" w:hAnsi="宋体"/>
          <w:szCs w:val="21"/>
          <w:highlight w:val="none"/>
          <w:u w:val="single"/>
        </w:rPr>
        <w:t xml:space="preserve">        </w:t>
      </w:r>
      <w:r>
        <w:rPr>
          <w:rFonts w:hint="eastAsia" w:ascii="宋体" w:hAnsi="宋体"/>
          <w:szCs w:val="21"/>
          <w:highlight w:val="none"/>
        </w:rPr>
        <w:t>月</w:t>
      </w:r>
      <w:r>
        <w:rPr>
          <w:rFonts w:hint="eastAsia" w:ascii="宋体" w:hAnsi="宋体"/>
          <w:szCs w:val="21"/>
          <w:highlight w:val="none"/>
          <w:u w:val="single"/>
        </w:rPr>
        <w:t xml:space="preserve">     </w:t>
      </w:r>
      <w:r>
        <w:rPr>
          <w:rFonts w:hint="eastAsia" w:ascii="宋体" w:hAnsi="宋体"/>
          <w:szCs w:val="21"/>
          <w:highlight w:val="none"/>
        </w:rPr>
        <w:t>日</w:t>
      </w:r>
      <w:r>
        <w:rPr>
          <w:rFonts w:hint="eastAsia" w:ascii="宋体" w:hAnsi="宋体"/>
          <w:highlight w:val="none"/>
        </w:rPr>
        <w:br w:type="page"/>
      </w:r>
    </w:p>
    <w:p w14:paraId="31055A3D">
      <w:pPr>
        <w:pStyle w:val="71"/>
        <w:numPr>
          <w:ilvl w:val="1"/>
          <w:numId w:val="0"/>
        </w:numPr>
        <w:ind w:left="1134"/>
        <w:rPr>
          <w:highlight w:val="none"/>
        </w:rPr>
      </w:pPr>
    </w:p>
    <w:p w14:paraId="0C79430F">
      <w:pPr>
        <w:keepNext/>
        <w:keepLines/>
        <w:adjustRightInd w:val="0"/>
        <w:snapToGrid w:val="0"/>
        <w:jc w:val="center"/>
        <w:rPr>
          <w:highlight w:val="none"/>
        </w:rPr>
      </w:pPr>
      <w:r>
        <w:rPr>
          <w:rFonts w:hint="eastAsia" w:ascii="黑体" w:hAnsi="宋体" w:eastAsia="黑体"/>
          <w:sz w:val="28"/>
          <w:szCs w:val="28"/>
          <w:highlight w:val="none"/>
        </w:rPr>
        <w:t>四、分项报价</w:t>
      </w:r>
    </w:p>
    <w:p w14:paraId="4B617393">
      <w:pPr>
        <w:pStyle w:val="158"/>
        <w:spacing w:line="360" w:lineRule="atLeast"/>
        <w:ind w:firstLine="211"/>
        <w:rPr>
          <w:rFonts w:ascii="楷体" w:hAnsi="楷体" w:eastAsia="楷体" w:cs="楷体"/>
          <w:b/>
          <w:bCs/>
          <w:szCs w:val="21"/>
          <w:highlight w:val="none"/>
        </w:rPr>
      </w:pPr>
      <w:r>
        <w:rPr>
          <w:rFonts w:ascii="楷体_GB2312" w:hAnsi="楷体_GB2312" w:eastAsia="楷体_GB2312" w:cs="楷体_GB2312"/>
          <w:b/>
          <w:bCs/>
          <w:szCs w:val="21"/>
          <w:highlight w:val="none"/>
        </w:rPr>
        <w:t>项目名称：</w:t>
      </w:r>
      <w:r>
        <w:rPr>
          <w:szCs w:val="21"/>
          <w:highlight w:val="none"/>
        </w:rPr>
        <w:t xml:space="preserve"> </w:t>
      </w:r>
      <w:r>
        <w:rPr>
          <w:rFonts w:hint="eastAsia" w:ascii="宋体" w:hAnsi="宋体" w:cs="宋体"/>
          <w:b/>
          <w:bCs/>
          <w:szCs w:val="21"/>
          <w:highlight w:val="none"/>
        </w:rPr>
        <w:t>                 </w:t>
      </w:r>
      <w:r>
        <w:rPr>
          <w:rFonts w:hint="eastAsia" w:ascii="楷体" w:hAnsi="楷体" w:eastAsia="楷体" w:cs="楷体"/>
          <w:b/>
          <w:bCs/>
          <w:szCs w:val="21"/>
          <w:highlight w:val="none"/>
        </w:rPr>
        <w:t xml:space="preserve"> </w:t>
      </w:r>
    </w:p>
    <w:p w14:paraId="6633A1C1">
      <w:pPr>
        <w:spacing w:line="219" w:lineRule="auto"/>
        <w:jc w:val="left"/>
        <w:rPr>
          <w:rFonts w:ascii="宋体" w:hAnsi="宋体" w:cs="宋体"/>
          <w:szCs w:val="21"/>
          <w:highlight w:val="none"/>
        </w:rPr>
      </w:pPr>
      <w:r>
        <w:rPr>
          <w:rFonts w:hint="eastAsia" w:ascii="楷体_GB2312" w:hAnsi="楷体_GB2312" w:eastAsia="楷体_GB2312" w:cs="楷体_GB2312"/>
          <w:b/>
          <w:bCs/>
          <w:szCs w:val="21"/>
          <w:highlight w:val="none"/>
        </w:rPr>
        <w:t>包号：</w:t>
      </w:r>
      <w:r>
        <w:rPr>
          <w:rFonts w:hint="eastAsia" w:ascii="楷体" w:hAnsi="楷体" w:eastAsia="楷体" w:cs="楷体"/>
          <w:b/>
          <w:bCs/>
          <w:szCs w:val="21"/>
          <w:highlight w:val="none"/>
        </w:rPr>
        <w:t xml:space="preserve">                                          </w:t>
      </w:r>
      <w:r>
        <w:rPr>
          <w:rFonts w:hint="eastAsia" w:ascii="楷体_GB2312" w:hAnsi="楷体_GB2312" w:cs="楷体_GB2312"/>
          <w:b/>
          <w:bCs/>
          <w:szCs w:val="21"/>
          <w:highlight w:val="none"/>
        </w:rPr>
        <w:t xml:space="preserve">                                                                                         </w:t>
      </w:r>
      <w:r>
        <w:rPr>
          <w:rFonts w:ascii="楷体_GB2312" w:hAnsi="楷体_GB2312" w:eastAsia="楷体_GB2312" w:cs="楷体_GB2312"/>
          <w:b/>
          <w:bCs/>
          <w:szCs w:val="21"/>
          <w:highlight w:val="none"/>
        </w:rPr>
        <w:t>金额单位：人民币元</w:t>
      </w:r>
      <w:r>
        <w:rPr>
          <w:rFonts w:ascii="Calibri" w:hAnsi="Calibri"/>
          <w:szCs w:val="21"/>
          <w:highlight w:val="none"/>
        </w:rPr>
        <w:t xml:space="preserve"> </w:t>
      </w:r>
    </w:p>
    <w:tbl>
      <w:tblPr>
        <w:tblStyle w:val="174"/>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837"/>
        <w:gridCol w:w="1253"/>
        <w:gridCol w:w="1281"/>
        <w:gridCol w:w="792"/>
        <w:gridCol w:w="965"/>
        <w:gridCol w:w="1114"/>
        <w:gridCol w:w="1026"/>
        <w:gridCol w:w="1027"/>
      </w:tblGrid>
      <w:tr w14:paraId="3055AC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jc w:val="center"/>
        </w:trPr>
        <w:tc>
          <w:tcPr>
            <w:tcW w:w="988" w:type="pct"/>
            <w:vAlign w:val="center"/>
          </w:tcPr>
          <w:p w14:paraId="08F2AE35">
            <w:pPr>
              <w:pStyle w:val="173"/>
              <w:spacing w:before="235" w:line="220" w:lineRule="auto"/>
              <w:jc w:val="center"/>
              <w:rPr>
                <w:sz w:val="21"/>
                <w:szCs w:val="21"/>
                <w:highlight w:val="none"/>
              </w:rPr>
            </w:pPr>
            <w:r>
              <w:rPr>
                <w:sz w:val="21"/>
                <w:szCs w:val="21"/>
                <w:highlight w:val="none"/>
              </w:rPr>
              <w:t>标的（货物）名称</w:t>
            </w:r>
          </w:p>
        </w:tc>
        <w:tc>
          <w:tcPr>
            <w:tcW w:w="674" w:type="pct"/>
            <w:vAlign w:val="center"/>
          </w:tcPr>
          <w:p w14:paraId="1E17E8E8">
            <w:pPr>
              <w:pStyle w:val="173"/>
              <w:spacing w:before="236" w:line="234" w:lineRule="auto"/>
              <w:jc w:val="center"/>
              <w:rPr>
                <w:rFonts w:hint="default" w:eastAsia="宋体"/>
                <w:sz w:val="21"/>
                <w:szCs w:val="21"/>
                <w:highlight w:val="none"/>
                <w:lang w:val="en-US" w:eastAsia="zh-CN"/>
              </w:rPr>
            </w:pPr>
            <w:r>
              <w:rPr>
                <w:rFonts w:hint="eastAsia"/>
                <w:sz w:val="21"/>
                <w:szCs w:val="21"/>
                <w:highlight w:val="none"/>
                <w:lang w:val="en-US" w:eastAsia="zh-CN"/>
              </w:rPr>
              <w:t>制造商名称</w:t>
            </w:r>
          </w:p>
        </w:tc>
        <w:tc>
          <w:tcPr>
            <w:tcW w:w="689" w:type="pct"/>
            <w:vAlign w:val="center"/>
          </w:tcPr>
          <w:p w14:paraId="21A48F07">
            <w:pPr>
              <w:pStyle w:val="173"/>
              <w:spacing w:before="235" w:line="221" w:lineRule="auto"/>
              <w:jc w:val="center"/>
              <w:rPr>
                <w:sz w:val="21"/>
                <w:szCs w:val="21"/>
                <w:highlight w:val="none"/>
              </w:rPr>
            </w:pPr>
            <w:r>
              <w:rPr>
                <w:spacing w:val="-2"/>
                <w:sz w:val="21"/>
                <w:szCs w:val="21"/>
                <w:highlight w:val="none"/>
              </w:rPr>
              <w:t>型号规格</w:t>
            </w:r>
          </w:p>
        </w:tc>
        <w:tc>
          <w:tcPr>
            <w:tcW w:w="426" w:type="pct"/>
            <w:vAlign w:val="center"/>
          </w:tcPr>
          <w:p w14:paraId="6959C9DE">
            <w:pPr>
              <w:pStyle w:val="173"/>
              <w:spacing w:before="235" w:line="221" w:lineRule="auto"/>
              <w:jc w:val="center"/>
              <w:rPr>
                <w:sz w:val="21"/>
                <w:szCs w:val="21"/>
                <w:highlight w:val="none"/>
              </w:rPr>
            </w:pPr>
            <w:r>
              <w:rPr>
                <w:spacing w:val="-2"/>
                <w:sz w:val="21"/>
                <w:szCs w:val="21"/>
                <w:highlight w:val="none"/>
              </w:rPr>
              <w:t>数量</w:t>
            </w:r>
          </w:p>
        </w:tc>
        <w:tc>
          <w:tcPr>
            <w:tcW w:w="519" w:type="pct"/>
            <w:vAlign w:val="center"/>
          </w:tcPr>
          <w:p w14:paraId="43EA89BC">
            <w:pPr>
              <w:pStyle w:val="173"/>
              <w:spacing w:before="236" w:line="221" w:lineRule="auto"/>
              <w:jc w:val="center"/>
              <w:rPr>
                <w:sz w:val="21"/>
                <w:szCs w:val="21"/>
                <w:highlight w:val="none"/>
              </w:rPr>
            </w:pPr>
            <w:r>
              <w:rPr>
                <w:spacing w:val="-2"/>
                <w:sz w:val="21"/>
                <w:szCs w:val="21"/>
                <w:highlight w:val="none"/>
              </w:rPr>
              <w:t>单位</w:t>
            </w:r>
          </w:p>
        </w:tc>
        <w:tc>
          <w:tcPr>
            <w:tcW w:w="596" w:type="pct"/>
            <w:vAlign w:val="center"/>
          </w:tcPr>
          <w:p w14:paraId="6135271C">
            <w:pPr>
              <w:pStyle w:val="173"/>
              <w:spacing w:before="236" w:line="219" w:lineRule="auto"/>
              <w:jc w:val="center"/>
              <w:rPr>
                <w:sz w:val="21"/>
                <w:szCs w:val="21"/>
                <w:highlight w:val="none"/>
              </w:rPr>
            </w:pPr>
            <w:r>
              <w:rPr>
                <w:spacing w:val="-2"/>
                <w:sz w:val="21"/>
                <w:szCs w:val="21"/>
                <w:highlight w:val="none"/>
              </w:rPr>
              <w:t>单价</w:t>
            </w:r>
          </w:p>
        </w:tc>
        <w:tc>
          <w:tcPr>
            <w:tcW w:w="552" w:type="pct"/>
            <w:vAlign w:val="center"/>
          </w:tcPr>
          <w:p w14:paraId="0389489D">
            <w:pPr>
              <w:pStyle w:val="173"/>
              <w:spacing w:before="236" w:line="219" w:lineRule="auto"/>
              <w:jc w:val="center"/>
              <w:rPr>
                <w:sz w:val="21"/>
                <w:szCs w:val="21"/>
                <w:highlight w:val="none"/>
              </w:rPr>
            </w:pPr>
            <w:r>
              <w:rPr>
                <w:spacing w:val="-3"/>
                <w:sz w:val="21"/>
                <w:szCs w:val="21"/>
                <w:highlight w:val="none"/>
              </w:rPr>
              <w:t>总价</w:t>
            </w:r>
          </w:p>
        </w:tc>
        <w:tc>
          <w:tcPr>
            <w:tcW w:w="552" w:type="pct"/>
            <w:vAlign w:val="center"/>
          </w:tcPr>
          <w:p w14:paraId="5F12C9E6">
            <w:pPr>
              <w:pStyle w:val="173"/>
              <w:spacing w:before="236" w:line="219" w:lineRule="auto"/>
              <w:jc w:val="center"/>
              <w:rPr>
                <w:rFonts w:hint="eastAsia" w:eastAsia="宋体"/>
                <w:spacing w:val="-3"/>
                <w:sz w:val="21"/>
                <w:szCs w:val="21"/>
                <w:highlight w:val="none"/>
                <w:lang w:val="en-US" w:eastAsia="zh-CN"/>
              </w:rPr>
            </w:pPr>
            <w:r>
              <w:rPr>
                <w:rFonts w:hint="eastAsia"/>
                <w:spacing w:val="-3"/>
                <w:sz w:val="21"/>
                <w:szCs w:val="21"/>
                <w:highlight w:val="none"/>
                <w:lang w:val="en-US" w:eastAsia="zh-CN"/>
              </w:rPr>
              <w:t>备注</w:t>
            </w:r>
          </w:p>
        </w:tc>
      </w:tr>
      <w:tr w14:paraId="020179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5" w:hRule="atLeast"/>
          <w:jc w:val="center"/>
        </w:trPr>
        <w:tc>
          <w:tcPr>
            <w:tcW w:w="988" w:type="pct"/>
          </w:tcPr>
          <w:p w14:paraId="27D03184">
            <w:pPr>
              <w:pStyle w:val="173"/>
              <w:spacing w:before="223" w:line="221" w:lineRule="auto"/>
              <w:ind w:left="519"/>
              <w:rPr>
                <w:sz w:val="21"/>
                <w:szCs w:val="21"/>
                <w:highlight w:val="none"/>
              </w:rPr>
            </w:pPr>
          </w:p>
        </w:tc>
        <w:tc>
          <w:tcPr>
            <w:tcW w:w="674" w:type="pct"/>
          </w:tcPr>
          <w:p w14:paraId="49F4A3E4">
            <w:pPr>
              <w:rPr>
                <w:rFonts w:ascii="Arial"/>
                <w:highlight w:val="none"/>
              </w:rPr>
            </w:pPr>
          </w:p>
        </w:tc>
        <w:tc>
          <w:tcPr>
            <w:tcW w:w="689" w:type="pct"/>
          </w:tcPr>
          <w:p w14:paraId="09D8FE7C">
            <w:pPr>
              <w:rPr>
                <w:rFonts w:ascii="Arial"/>
                <w:highlight w:val="none"/>
              </w:rPr>
            </w:pPr>
          </w:p>
        </w:tc>
        <w:tc>
          <w:tcPr>
            <w:tcW w:w="426" w:type="pct"/>
          </w:tcPr>
          <w:p w14:paraId="69AC1992">
            <w:pPr>
              <w:pStyle w:val="173"/>
              <w:spacing w:before="235" w:line="221" w:lineRule="auto"/>
              <w:jc w:val="center"/>
              <w:rPr>
                <w:spacing w:val="-2"/>
                <w:sz w:val="21"/>
                <w:szCs w:val="21"/>
                <w:highlight w:val="none"/>
              </w:rPr>
            </w:pPr>
          </w:p>
        </w:tc>
        <w:tc>
          <w:tcPr>
            <w:tcW w:w="519" w:type="pct"/>
          </w:tcPr>
          <w:p w14:paraId="76672921">
            <w:pPr>
              <w:rPr>
                <w:rFonts w:ascii="Arial"/>
                <w:highlight w:val="none"/>
              </w:rPr>
            </w:pPr>
          </w:p>
        </w:tc>
        <w:tc>
          <w:tcPr>
            <w:tcW w:w="596" w:type="pct"/>
          </w:tcPr>
          <w:p w14:paraId="284D9666">
            <w:pPr>
              <w:rPr>
                <w:rFonts w:ascii="Arial"/>
                <w:highlight w:val="none"/>
              </w:rPr>
            </w:pPr>
          </w:p>
        </w:tc>
        <w:tc>
          <w:tcPr>
            <w:tcW w:w="552" w:type="pct"/>
          </w:tcPr>
          <w:p w14:paraId="1F1775A0">
            <w:pPr>
              <w:rPr>
                <w:rFonts w:ascii="Arial"/>
                <w:highlight w:val="none"/>
              </w:rPr>
            </w:pPr>
          </w:p>
        </w:tc>
        <w:tc>
          <w:tcPr>
            <w:tcW w:w="552" w:type="pct"/>
          </w:tcPr>
          <w:p w14:paraId="7332CAA3">
            <w:pPr>
              <w:rPr>
                <w:rFonts w:ascii="Arial"/>
                <w:highlight w:val="none"/>
              </w:rPr>
            </w:pPr>
          </w:p>
        </w:tc>
      </w:tr>
      <w:tr w14:paraId="29F0AE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5" w:hRule="atLeast"/>
          <w:jc w:val="center"/>
        </w:trPr>
        <w:tc>
          <w:tcPr>
            <w:tcW w:w="988" w:type="pct"/>
          </w:tcPr>
          <w:p w14:paraId="18CF4D06">
            <w:pPr>
              <w:pStyle w:val="173"/>
              <w:spacing w:before="223" w:line="221" w:lineRule="auto"/>
              <w:ind w:left="519"/>
              <w:rPr>
                <w:sz w:val="21"/>
                <w:szCs w:val="21"/>
                <w:highlight w:val="none"/>
              </w:rPr>
            </w:pPr>
          </w:p>
        </w:tc>
        <w:tc>
          <w:tcPr>
            <w:tcW w:w="674" w:type="pct"/>
          </w:tcPr>
          <w:p w14:paraId="524120D9">
            <w:pPr>
              <w:rPr>
                <w:rFonts w:ascii="Arial"/>
                <w:highlight w:val="none"/>
              </w:rPr>
            </w:pPr>
          </w:p>
        </w:tc>
        <w:tc>
          <w:tcPr>
            <w:tcW w:w="689" w:type="pct"/>
          </w:tcPr>
          <w:p w14:paraId="0A0ADCD3">
            <w:pPr>
              <w:rPr>
                <w:rFonts w:ascii="Arial"/>
                <w:highlight w:val="none"/>
              </w:rPr>
            </w:pPr>
          </w:p>
        </w:tc>
        <w:tc>
          <w:tcPr>
            <w:tcW w:w="426" w:type="pct"/>
          </w:tcPr>
          <w:p w14:paraId="1863EE6E">
            <w:pPr>
              <w:spacing w:before="262" w:line="187" w:lineRule="auto"/>
              <w:ind w:left="271"/>
              <w:rPr>
                <w:szCs w:val="21"/>
                <w:highlight w:val="none"/>
              </w:rPr>
            </w:pPr>
          </w:p>
        </w:tc>
        <w:tc>
          <w:tcPr>
            <w:tcW w:w="519" w:type="pct"/>
          </w:tcPr>
          <w:p w14:paraId="65882754">
            <w:pPr>
              <w:rPr>
                <w:rFonts w:ascii="Arial"/>
                <w:highlight w:val="none"/>
              </w:rPr>
            </w:pPr>
          </w:p>
        </w:tc>
        <w:tc>
          <w:tcPr>
            <w:tcW w:w="596" w:type="pct"/>
          </w:tcPr>
          <w:p w14:paraId="6E388C64">
            <w:pPr>
              <w:rPr>
                <w:rFonts w:ascii="Arial"/>
                <w:highlight w:val="none"/>
              </w:rPr>
            </w:pPr>
          </w:p>
        </w:tc>
        <w:tc>
          <w:tcPr>
            <w:tcW w:w="552" w:type="pct"/>
          </w:tcPr>
          <w:p w14:paraId="2B58B343">
            <w:pPr>
              <w:rPr>
                <w:rFonts w:ascii="Arial"/>
                <w:highlight w:val="none"/>
              </w:rPr>
            </w:pPr>
          </w:p>
        </w:tc>
        <w:tc>
          <w:tcPr>
            <w:tcW w:w="552" w:type="pct"/>
          </w:tcPr>
          <w:p w14:paraId="1874DF97">
            <w:pPr>
              <w:rPr>
                <w:rFonts w:ascii="Arial"/>
                <w:highlight w:val="none"/>
              </w:rPr>
            </w:pPr>
          </w:p>
        </w:tc>
      </w:tr>
      <w:tr w14:paraId="57894C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5" w:hRule="atLeast"/>
          <w:jc w:val="center"/>
        </w:trPr>
        <w:tc>
          <w:tcPr>
            <w:tcW w:w="3895" w:type="pct"/>
            <w:gridSpan w:val="6"/>
            <w:vAlign w:val="center"/>
          </w:tcPr>
          <w:p w14:paraId="065C430A">
            <w:pPr>
              <w:jc w:val="center"/>
              <w:rPr>
                <w:rFonts w:ascii="Arial"/>
                <w:highlight w:val="none"/>
              </w:rPr>
            </w:pPr>
            <w:r>
              <w:rPr>
                <w:spacing w:val="-13"/>
                <w:sz w:val="21"/>
                <w:szCs w:val="21"/>
                <w:highlight w:val="none"/>
              </w:rPr>
              <w:t>合计：</w:t>
            </w:r>
          </w:p>
        </w:tc>
        <w:tc>
          <w:tcPr>
            <w:tcW w:w="1104" w:type="pct"/>
            <w:gridSpan w:val="2"/>
          </w:tcPr>
          <w:p w14:paraId="5E6643D0">
            <w:pPr>
              <w:rPr>
                <w:rFonts w:ascii="Arial"/>
                <w:highlight w:val="none"/>
              </w:rPr>
            </w:pPr>
          </w:p>
        </w:tc>
      </w:tr>
    </w:tbl>
    <w:p w14:paraId="69490035">
      <w:pPr>
        <w:spacing w:before="30" w:line="219" w:lineRule="auto"/>
        <w:ind w:right="4"/>
        <w:jc w:val="right"/>
        <w:rPr>
          <w:rFonts w:ascii="宋体" w:hAnsi="宋体" w:cs="宋体"/>
          <w:szCs w:val="21"/>
          <w:highlight w:val="none"/>
        </w:rPr>
      </w:pPr>
      <w:r>
        <w:rPr>
          <w:rFonts w:ascii="宋体" w:hAnsi="宋体" w:cs="宋体"/>
          <w:spacing w:val="-1"/>
          <w:szCs w:val="21"/>
          <w:highlight w:val="none"/>
        </w:rPr>
        <w:t>备注</w:t>
      </w:r>
      <w:r>
        <w:rPr>
          <w:rFonts w:ascii="宋体" w:hAnsi="宋体" w:cs="宋体"/>
          <w:spacing w:val="-33"/>
          <w:szCs w:val="21"/>
          <w:highlight w:val="none"/>
        </w:rPr>
        <w:t>：</w:t>
      </w:r>
      <w:r>
        <w:rPr>
          <w:rFonts w:ascii="宋体" w:hAnsi="宋体" w:cs="宋体"/>
          <w:spacing w:val="-1"/>
          <w:szCs w:val="21"/>
          <w:highlight w:val="none"/>
        </w:rPr>
        <w:t>（1）本表</w:t>
      </w:r>
      <w:r>
        <w:rPr>
          <w:rFonts w:ascii="宋体" w:hAnsi="宋体" w:cs="宋体"/>
          <w:b/>
          <w:bCs/>
          <w:spacing w:val="-1"/>
          <w:szCs w:val="21"/>
          <w:highlight w:val="none"/>
        </w:rPr>
        <w:t>应当与</w:t>
      </w:r>
      <w:r>
        <w:rPr>
          <w:rFonts w:eastAsia="Times New Roman"/>
          <w:spacing w:val="-1"/>
          <w:szCs w:val="21"/>
          <w:highlight w:val="none"/>
        </w:rPr>
        <w:t>“</w:t>
      </w:r>
      <w:r>
        <w:rPr>
          <w:rFonts w:ascii="宋体" w:hAnsi="宋体" w:cs="宋体"/>
          <w:b/>
          <w:bCs/>
          <w:spacing w:val="-1"/>
          <w:szCs w:val="21"/>
          <w:highlight w:val="none"/>
        </w:rPr>
        <w:t>开标一览表</w:t>
      </w:r>
      <w:r>
        <w:rPr>
          <w:rFonts w:eastAsia="Times New Roman"/>
          <w:spacing w:val="-1"/>
          <w:szCs w:val="21"/>
          <w:highlight w:val="none"/>
        </w:rPr>
        <w:t>”</w:t>
      </w:r>
      <w:r>
        <w:rPr>
          <w:rFonts w:ascii="宋体" w:hAnsi="宋体" w:cs="宋体"/>
          <w:spacing w:val="-1"/>
          <w:szCs w:val="21"/>
          <w:highlight w:val="none"/>
        </w:rPr>
        <w:t>一致</w:t>
      </w:r>
      <w:r>
        <w:rPr>
          <w:rFonts w:ascii="宋体" w:hAnsi="宋体" w:cs="宋体"/>
          <w:b/>
          <w:bCs/>
          <w:spacing w:val="-1"/>
          <w:szCs w:val="21"/>
          <w:highlight w:val="none"/>
        </w:rPr>
        <w:t>，按包填写</w:t>
      </w:r>
      <w:r>
        <w:rPr>
          <w:rFonts w:ascii="宋体" w:hAnsi="宋体" w:cs="宋体"/>
          <w:spacing w:val="-1"/>
          <w:szCs w:val="21"/>
          <w:highlight w:val="none"/>
        </w:rPr>
        <w:t>。投标人</w:t>
      </w:r>
      <w:r>
        <w:rPr>
          <w:rFonts w:ascii="宋体" w:hAnsi="宋体" w:cs="宋体"/>
          <w:spacing w:val="-2"/>
          <w:szCs w:val="21"/>
          <w:highlight w:val="none"/>
        </w:rPr>
        <w:t>如果不提供分项报价明细表，其</w:t>
      </w:r>
      <w:r>
        <w:rPr>
          <w:rFonts w:ascii="宋体" w:hAnsi="宋体" w:cs="宋体"/>
          <w:b/>
          <w:bCs/>
          <w:spacing w:val="-2"/>
          <w:szCs w:val="21"/>
          <w:highlight w:val="none"/>
        </w:rPr>
        <w:t>投标无</w:t>
      </w:r>
    </w:p>
    <w:p w14:paraId="47254F99">
      <w:pPr>
        <w:spacing w:before="159" w:line="221" w:lineRule="auto"/>
        <w:ind w:left="56"/>
        <w:rPr>
          <w:rFonts w:ascii="宋体" w:hAnsi="宋体" w:cs="宋体"/>
          <w:szCs w:val="21"/>
          <w:highlight w:val="none"/>
        </w:rPr>
      </w:pPr>
      <w:r>
        <w:rPr>
          <w:rFonts w:ascii="宋体" w:hAnsi="宋体" w:cs="宋体"/>
          <w:b/>
          <w:bCs/>
          <w:spacing w:val="-8"/>
          <w:szCs w:val="21"/>
          <w:highlight w:val="none"/>
        </w:rPr>
        <w:t>效</w:t>
      </w:r>
      <w:r>
        <w:rPr>
          <w:rFonts w:ascii="宋体" w:hAnsi="宋体" w:cs="宋体"/>
          <w:spacing w:val="-8"/>
          <w:szCs w:val="21"/>
          <w:highlight w:val="none"/>
        </w:rPr>
        <w:t>。</w:t>
      </w:r>
    </w:p>
    <w:p w14:paraId="59A53972">
      <w:pPr>
        <w:spacing w:before="156" w:line="219" w:lineRule="auto"/>
        <w:ind w:left="480"/>
        <w:rPr>
          <w:rFonts w:ascii="宋体" w:hAnsi="宋体" w:cs="宋体"/>
          <w:szCs w:val="21"/>
          <w:highlight w:val="none"/>
        </w:rPr>
      </w:pPr>
      <w:r>
        <w:rPr>
          <w:rFonts w:ascii="宋体" w:hAnsi="宋体" w:cs="宋体"/>
          <w:spacing w:val="-1"/>
          <w:szCs w:val="21"/>
          <w:highlight w:val="none"/>
        </w:rPr>
        <w:t>（</w:t>
      </w:r>
      <w:r>
        <w:rPr>
          <w:rFonts w:eastAsia="Times New Roman"/>
          <w:spacing w:val="-1"/>
          <w:szCs w:val="21"/>
          <w:highlight w:val="none"/>
        </w:rPr>
        <w:t>2</w:t>
      </w:r>
      <w:r>
        <w:rPr>
          <w:rFonts w:ascii="宋体" w:hAnsi="宋体" w:cs="宋体"/>
          <w:spacing w:val="-1"/>
          <w:szCs w:val="21"/>
          <w:highlight w:val="none"/>
        </w:rPr>
        <w:t>）不得填写</w:t>
      </w:r>
      <w:r>
        <w:rPr>
          <w:rFonts w:eastAsia="Times New Roman"/>
          <w:spacing w:val="-1"/>
          <w:szCs w:val="21"/>
          <w:highlight w:val="none"/>
        </w:rPr>
        <w:t>“</w:t>
      </w:r>
      <w:r>
        <w:rPr>
          <w:rFonts w:ascii="宋体" w:hAnsi="宋体" w:cs="宋体"/>
          <w:spacing w:val="-1"/>
          <w:szCs w:val="21"/>
          <w:highlight w:val="none"/>
        </w:rPr>
        <w:t>免费</w:t>
      </w:r>
      <w:r>
        <w:rPr>
          <w:rFonts w:eastAsia="Times New Roman"/>
          <w:spacing w:val="-1"/>
          <w:szCs w:val="21"/>
          <w:highlight w:val="none"/>
        </w:rPr>
        <w:t>”</w:t>
      </w:r>
      <w:r>
        <w:rPr>
          <w:rFonts w:ascii="宋体" w:hAnsi="宋体" w:cs="宋体"/>
          <w:spacing w:val="-1"/>
          <w:szCs w:val="21"/>
          <w:highlight w:val="none"/>
        </w:rPr>
        <w:t>或</w:t>
      </w:r>
      <w:r>
        <w:rPr>
          <w:rFonts w:eastAsia="Times New Roman"/>
          <w:spacing w:val="-1"/>
          <w:szCs w:val="21"/>
          <w:highlight w:val="none"/>
        </w:rPr>
        <w:t>“</w:t>
      </w:r>
      <w:r>
        <w:rPr>
          <w:rFonts w:ascii="宋体" w:hAnsi="宋体" w:cs="宋体"/>
          <w:spacing w:val="-1"/>
          <w:szCs w:val="21"/>
          <w:highlight w:val="none"/>
        </w:rPr>
        <w:t>赠与</w:t>
      </w:r>
      <w:r>
        <w:rPr>
          <w:rFonts w:eastAsia="Times New Roman"/>
          <w:spacing w:val="-1"/>
          <w:szCs w:val="21"/>
          <w:highlight w:val="none"/>
        </w:rPr>
        <w:t>”</w:t>
      </w:r>
      <w:r>
        <w:rPr>
          <w:rFonts w:ascii="宋体" w:hAnsi="宋体" w:cs="宋体"/>
          <w:spacing w:val="-1"/>
          <w:szCs w:val="21"/>
          <w:highlight w:val="none"/>
        </w:rPr>
        <w:t>，也不得进行</w:t>
      </w:r>
      <w:r>
        <w:rPr>
          <w:rFonts w:eastAsia="Times New Roman"/>
          <w:spacing w:val="-1"/>
          <w:szCs w:val="21"/>
          <w:highlight w:val="none"/>
        </w:rPr>
        <w:t>“</w:t>
      </w:r>
      <w:r>
        <w:rPr>
          <w:rFonts w:ascii="宋体" w:hAnsi="宋体" w:cs="宋体"/>
          <w:spacing w:val="-1"/>
          <w:szCs w:val="21"/>
          <w:highlight w:val="none"/>
        </w:rPr>
        <w:t>零</w:t>
      </w:r>
      <w:r>
        <w:rPr>
          <w:rFonts w:eastAsia="Times New Roman"/>
          <w:spacing w:val="-1"/>
          <w:szCs w:val="21"/>
          <w:highlight w:val="none"/>
        </w:rPr>
        <w:t>”</w:t>
      </w:r>
      <w:r>
        <w:rPr>
          <w:rFonts w:ascii="宋体" w:hAnsi="宋体" w:cs="宋体"/>
          <w:spacing w:val="-1"/>
          <w:szCs w:val="21"/>
          <w:highlight w:val="none"/>
        </w:rPr>
        <w:t>报价，否则</w:t>
      </w:r>
      <w:r>
        <w:rPr>
          <w:rFonts w:ascii="宋体" w:hAnsi="宋体" w:cs="宋体"/>
          <w:b/>
          <w:bCs/>
          <w:spacing w:val="-1"/>
          <w:szCs w:val="21"/>
          <w:highlight w:val="none"/>
        </w:rPr>
        <w:t>投标无效</w:t>
      </w:r>
      <w:r>
        <w:rPr>
          <w:rFonts w:ascii="宋体" w:hAnsi="宋体" w:cs="宋体"/>
          <w:spacing w:val="-1"/>
          <w:szCs w:val="21"/>
          <w:highlight w:val="none"/>
        </w:rPr>
        <w:t>。</w:t>
      </w:r>
    </w:p>
    <w:p w14:paraId="32D2DC51">
      <w:pPr>
        <w:spacing w:before="160" w:line="314" w:lineRule="auto"/>
        <w:ind w:left="52" w:firstLine="428"/>
        <w:rPr>
          <w:rFonts w:hint="eastAsia" w:ascii="宋体" w:hAnsi="宋体" w:cs="宋体"/>
          <w:spacing w:val="-10"/>
          <w:szCs w:val="21"/>
          <w:highlight w:val="none"/>
        </w:rPr>
      </w:pPr>
      <w:r>
        <w:rPr>
          <w:rFonts w:hint="eastAsia" w:ascii="宋体" w:hAnsi="宋体" w:cs="宋体"/>
          <w:spacing w:val="-10"/>
          <w:szCs w:val="21"/>
          <w:highlight w:val="none"/>
        </w:rPr>
        <w:t>（3）所有报价应包含：货物供货、运输、保管、安装、调试、搬运、耗材、验收及相关服务等费用，采购单位无须向成交单位另外支付任何费用。</w:t>
      </w:r>
    </w:p>
    <w:p w14:paraId="0EC075E6">
      <w:pPr>
        <w:spacing w:before="160" w:line="314" w:lineRule="auto"/>
        <w:ind w:left="52" w:firstLine="428"/>
        <w:rPr>
          <w:rFonts w:hint="eastAsia" w:ascii="宋体" w:hAnsi="宋体" w:eastAsia="宋体" w:cs="宋体"/>
          <w:spacing w:val="-10"/>
          <w:szCs w:val="21"/>
          <w:highlight w:val="none"/>
          <w:lang w:eastAsia="zh-CN"/>
        </w:rPr>
      </w:pPr>
      <w:r>
        <w:rPr>
          <w:rFonts w:hint="eastAsia" w:ascii="宋体" w:hAnsi="宋体" w:cs="宋体"/>
          <w:spacing w:val="-10"/>
          <w:szCs w:val="21"/>
          <w:highlight w:val="none"/>
          <w:lang w:eastAsia="zh-CN"/>
        </w:rPr>
        <w:t>（</w:t>
      </w:r>
      <w:r>
        <w:rPr>
          <w:rFonts w:hint="eastAsia" w:ascii="宋体" w:hAnsi="宋体" w:cs="宋体"/>
          <w:spacing w:val="-10"/>
          <w:szCs w:val="21"/>
          <w:highlight w:val="none"/>
          <w:lang w:val="en-US" w:eastAsia="zh-CN"/>
        </w:rPr>
        <w:t>4</w:t>
      </w:r>
      <w:r>
        <w:rPr>
          <w:rFonts w:hint="eastAsia" w:ascii="宋体" w:hAnsi="宋体" w:cs="宋体"/>
          <w:spacing w:val="-10"/>
          <w:szCs w:val="21"/>
          <w:highlight w:val="none"/>
          <w:lang w:eastAsia="zh-CN"/>
        </w:rPr>
        <w:t>）分项报价标的物名称数量与采购需求采购清单不一致的，其响应无效。</w:t>
      </w:r>
    </w:p>
    <w:p w14:paraId="57A62BC2">
      <w:pPr>
        <w:pStyle w:val="4"/>
        <w:rPr>
          <w:highlight w:val="none"/>
        </w:rPr>
      </w:pPr>
    </w:p>
    <w:p w14:paraId="735B5405">
      <w:pPr>
        <w:spacing w:before="160" w:line="314" w:lineRule="auto"/>
        <w:ind w:left="52" w:firstLine="428"/>
        <w:rPr>
          <w:rFonts w:ascii="宋体" w:hAnsi="宋体" w:cs="宋体"/>
          <w:spacing w:val="-10"/>
          <w:szCs w:val="21"/>
          <w:highlight w:val="none"/>
        </w:rPr>
      </w:pPr>
    </w:p>
    <w:p w14:paraId="50740B4D">
      <w:pPr>
        <w:spacing w:line="346" w:lineRule="auto"/>
        <w:jc w:val="left"/>
        <w:rPr>
          <w:rFonts w:ascii="宋体" w:hAnsi="宋体" w:cs="宋体"/>
          <w:szCs w:val="21"/>
          <w:highlight w:val="none"/>
        </w:rPr>
      </w:pPr>
      <w:r>
        <w:rPr>
          <w:rFonts w:ascii="宋体" w:hAnsi="宋体" w:cs="宋体"/>
          <w:spacing w:val="-2"/>
          <w:szCs w:val="21"/>
          <w:highlight w:val="none"/>
        </w:rPr>
        <w:t>投标人名称（单位电子签章</w:t>
      </w:r>
      <w:r>
        <w:rPr>
          <w:rFonts w:ascii="宋体" w:hAnsi="宋体" w:cs="宋体"/>
          <w:spacing w:val="2"/>
          <w:szCs w:val="21"/>
          <w:highlight w:val="none"/>
        </w:rPr>
        <w:t>）：</w:t>
      </w:r>
      <w:r>
        <w:rPr>
          <w:rFonts w:ascii="宋体" w:hAnsi="宋体" w:cs="宋体"/>
          <w:spacing w:val="8"/>
          <w:szCs w:val="21"/>
          <w:highlight w:val="none"/>
          <w:u w:val="single"/>
        </w:rPr>
        <w:t xml:space="preserve">            </w:t>
      </w:r>
      <w:r>
        <w:rPr>
          <w:rFonts w:ascii="宋体" w:hAnsi="宋体" w:cs="宋体"/>
          <w:spacing w:val="8"/>
          <w:szCs w:val="21"/>
          <w:highlight w:val="none"/>
        </w:rPr>
        <w:t xml:space="preserve"> </w:t>
      </w:r>
    </w:p>
    <w:p w14:paraId="36F98B92">
      <w:pPr>
        <w:spacing w:line="346" w:lineRule="auto"/>
        <w:jc w:val="left"/>
        <w:rPr>
          <w:rFonts w:ascii="宋体" w:hAnsi="宋体" w:cs="宋体"/>
          <w:szCs w:val="21"/>
          <w:highlight w:val="none"/>
        </w:rPr>
        <w:sectPr>
          <w:pgSz w:w="11905" w:h="16839"/>
          <w:pgMar w:top="1387" w:right="1028" w:bottom="1362" w:left="1584" w:header="0" w:footer="1200" w:gutter="0"/>
          <w:pgBorders>
            <w:top w:val="none" w:sz="0" w:space="0"/>
            <w:left w:val="none" w:sz="0" w:space="0"/>
            <w:bottom w:val="none" w:sz="0" w:space="0"/>
            <w:right w:val="none" w:sz="0" w:space="0"/>
          </w:pgBorders>
          <w:cols w:space="720" w:num="1"/>
        </w:sectPr>
      </w:pPr>
      <w:r>
        <w:rPr>
          <w:rFonts w:ascii="宋体" w:hAnsi="宋体" w:cs="宋体"/>
          <w:spacing w:val="-11"/>
          <w:szCs w:val="21"/>
          <w:highlight w:val="none"/>
        </w:rPr>
        <w:t>日期：</w:t>
      </w:r>
      <w:r>
        <w:rPr>
          <w:rFonts w:ascii="宋体" w:hAnsi="宋体" w:cs="宋体"/>
          <w:szCs w:val="21"/>
          <w:highlight w:val="none"/>
          <w:u w:val="single"/>
        </w:rPr>
        <w:t xml:space="preserve">         </w:t>
      </w:r>
      <w:r>
        <w:rPr>
          <w:rFonts w:ascii="宋体" w:hAnsi="宋体" w:cs="宋体"/>
          <w:spacing w:val="-91"/>
          <w:szCs w:val="21"/>
          <w:highlight w:val="none"/>
        </w:rPr>
        <w:t xml:space="preserve"> </w:t>
      </w:r>
      <w:r>
        <w:rPr>
          <w:rFonts w:ascii="宋体" w:hAnsi="宋体" w:cs="宋体"/>
          <w:spacing w:val="-11"/>
          <w:szCs w:val="21"/>
          <w:highlight w:val="none"/>
        </w:rPr>
        <w:t>年</w:t>
      </w:r>
      <w:r>
        <w:rPr>
          <w:rFonts w:ascii="宋体" w:hAnsi="宋体" w:cs="宋体"/>
          <w:spacing w:val="25"/>
          <w:szCs w:val="21"/>
          <w:highlight w:val="none"/>
          <w:u w:val="single"/>
        </w:rPr>
        <w:t xml:space="preserve">  </w:t>
      </w:r>
      <w:r>
        <w:rPr>
          <w:rFonts w:hint="eastAsia" w:ascii="宋体" w:hAnsi="宋体" w:cs="宋体"/>
          <w:spacing w:val="25"/>
          <w:szCs w:val="21"/>
          <w:highlight w:val="none"/>
          <w:u w:val="none"/>
        </w:rPr>
        <w:t>月</w:t>
      </w:r>
      <w:r>
        <w:rPr>
          <w:rFonts w:ascii="宋体" w:hAnsi="宋体" w:cs="宋体"/>
          <w:spacing w:val="25"/>
          <w:szCs w:val="21"/>
          <w:highlight w:val="none"/>
          <w:u w:val="single"/>
        </w:rPr>
        <w:t xml:space="preserve">  </w:t>
      </w:r>
      <w:r>
        <w:rPr>
          <w:rFonts w:ascii="宋体" w:hAnsi="宋体" w:cs="宋体"/>
          <w:spacing w:val="-11"/>
          <w:szCs w:val="21"/>
          <w:highlight w:val="none"/>
        </w:rPr>
        <w:t>日</w:t>
      </w:r>
    </w:p>
    <w:p w14:paraId="390C6CFD">
      <w:pPr>
        <w:rPr>
          <w:highlight w:val="none"/>
        </w:rPr>
      </w:pPr>
    </w:p>
    <w:p w14:paraId="0DC13B28">
      <w:pPr>
        <w:autoSpaceDE w:val="0"/>
        <w:autoSpaceDN w:val="0"/>
        <w:adjustRightInd w:val="0"/>
        <w:snapToGrid w:val="0"/>
        <w:spacing w:line="360" w:lineRule="auto"/>
        <w:jc w:val="center"/>
        <w:rPr>
          <w:rFonts w:ascii="黑体" w:eastAsia="黑体" w:cs="微软雅黑" w:hAnsiTheme="minorEastAsia"/>
          <w:b/>
          <w:kern w:val="0"/>
          <w:sz w:val="28"/>
          <w:szCs w:val="28"/>
          <w:highlight w:val="none"/>
        </w:rPr>
      </w:pPr>
      <w:r>
        <w:rPr>
          <w:rFonts w:hint="eastAsia" w:ascii="黑体" w:eastAsia="黑体" w:cs="微软雅黑" w:hAnsiTheme="minorEastAsia"/>
          <w:b/>
          <w:spacing w:val="-2"/>
          <w:kern w:val="0"/>
          <w:sz w:val="28"/>
          <w:szCs w:val="28"/>
          <w:highlight w:val="none"/>
        </w:rPr>
        <w:t>分</w:t>
      </w:r>
      <w:r>
        <w:rPr>
          <w:rFonts w:hint="eastAsia" w:ascii="黑体" w:eastAsia="黑体" w:cs="微软雅黑" w:hAnsiTheme="minorEastAsia"/>
          <w:b/>
          <w:kern w:val="0"/>
          <w:sz w:val="28"/>
          <w:szCs w:val="28"/>
          <w:highlight w:val="none"/>
        </w:rPr>
        <w:t>项</w:t>
      </w:r>
      <w:r>
        <w:rPr>
          <w:rFonts w:hint="eastAsia" w:ascii="黑体" w:eastAsia="黑体" w:cs="微软雅黑" w:hAnsiTheme="minorEastAsia"/>
          <w:b/>
          <w:spacing w:val="-2"/>
          <w:kern w:val="0"/>
          <w:sz w:val="28"/>
          <w:szCs w:val="28"/>
          <w:highlight w:val="none"/>
        </w:rPr>
        <w:t>报</w:t>
      </w:r>
      <w:r>
        <w:rPr>
          <w:rFonts w:hint="eastAsia" w:ascii="黑体" w:eastAsia="黑体" w:cs="微软雅黑" w:hAnsiTheme="minorEastAsia"/>
          <w:b/>
          <w:kern w:val="0"/>
          <w:sz w:val="28"/>
          <w:szCs w:val="28"/>
          <w:highlight w:val="none"/>
        </w:rPr>
        <w:t>价说明</w:t>
      </w:r>
    </w:p>
    <w:p w14:paraId="61706E5C">
      <w:pPr>
        <w:autoSpaceDE w:val="0"/>
        <w:autoSpaceDN w:val="0"/>
        <w:adjustRightInd w:val="0"/>
        <w:snapToGrid w:val="0"/>
        <w:spacing w:line="360" w:lineRule="auto"/>
        <w:jc w:val="left"/>
        <w:rPr>
          <w:rFonts w:ascii="黑体" w:eastAsia="黑体" w:cs="微软雅黑" w:hAnsiTheme="minorEastAsia"/>
          <w:kern w:val="0"/>
          <w:szCs w:val="21"/>
          <w:highlight w:val="none"/>
        </w:rPr>
      </w:pPr>
      <w:r>
        <w:rPr>
          <w:rFonts w:hint="eastAsia" w:cs="微软雅黑" w:asciiTheme="minorEastAsia" w:hAnsiTheme="minorEastAsia" w:eastAsiaTheme="minorEastAsia"/>
          <w:kern w:val="0"/>
          <w:szCs w:val="21"/>
          <w:highlight w:val="none"/>
        </w:rPr>
        <w:t>备注：1、分项报价说明在响应文件中可以为空白；2、有需要说明的特殊情况，或者报价低于市场价需要向评标委员会做价格测算等说明的，可做分项报价说明；3、其他供应商认为需要说明的情况。</w:t>
      </w:r>
    </w:p>
    <w:p w14:paraId="38F753DC">
      <w:pPr>
        <w:adjustRightInd w:val="0"/>
        <w:snapToGrid w:val="0"/>
        <w:ind w:left="-88" w:leftChars="-42"/>
        <w:rPr>
          <w:rFonts w:ascii="宋体"/>
          <w:szCs w:val="21"/>
          <w:highlight w:val="none"/>
        </w:rPr>
      </w:pPr>
    </w:p>
    <w:p w14:paraId="6CDBA1F3">
      <w:pPr>
        <w:adjustRightInd w:val="0"/>
        <w:snapToGrid w:val="0"/>
        <w:spacing w:before="50" w:line="360" w:lineRule="auto"/>
        <w:rPr>
          <w:rFonts w:ascii="宋体"/>
          <w:szCs w:val="21"/>
          <w:highlight w:val="none"/>
        </w:rPr>
      </w:pPr>
    </w:p>
    <w:p w14:paraId="5A78494C">
      <w:pPr>
        <w:adjustRightInd w:val="0"/>
        <w:snapToGrid w:val="0"/>
        <w:spacing w:before="50" w:line="360" w:lineRule="auto"/>
        <w:rPr>
          <w:rFonts w:ascii="宋体"/>
          <w:szCs w:val="21"/>
          <w:highlight w:val="none"/>
        </w:rPr>
      </w:pPr>
    </w:p>
    <w:p w14:paraId="2E85F4A9">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5E9122A2">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5263BAC1">
      <w:pPr>
        <w:pStyle w:val="19"/>
        <w:ind w:left="0" w:leftChars="0" w:firstLine="0" w:firstLineChars="0"/>
        <w:rPr>
          <w:rFonts w:ascii="宋体" w:hAnsi="宋体"/>
          <w:szCs w:val="21"/>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p>
    <w:p w14:paraId="5A720B79">
      <w:pPr>
        <w:rPr>
          <w:rFonts w:hint="eastAsia" w:ascii="黑体" w:hAnsi="宋体" w:eastAsia="黑体"/>
          <w:sz w:val="28"/>
          <w:szCs w:val="28"/>
          <w:highlight w:val="none"/>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ascii="黑体" w:hAnsi="宋体" w:eastAsia="黑体"/>
          <w:sz w:val="28"/>
          <w:szCs w:val="28"/>
          <w:highlight w:val="none"/>
        </w:rPr>
        <w:br w:type="page"/>
      </w:r>
    </w:p>
    <w:p w14:paraId="73447E73">
      <w:pPr>
        <w:adjustRightInd w:val="0"/>
        <w:snapToGrid w:val="0"/>
        <w:spacing w:line="360" w:lineRule="auto"/>
        <w:jc w:val="center"/>
        <w:rPr>
          <w:rFonts w:ascii="黑体" w:hAnsi="宋体" w:eastAsia="黑体"/>
          <w:sz w:val="28"/>
          <w:szCs w:val="28"/>
          <w:highlight w:val="none"/>
        </w:rPr>
      </w:pPr>
      <w:r>
        <w:rPr>
          <w:rFonts w:hint="eastAsia" w:ascii="黑体" w:hAnsi="宋体" w:eastAsia="黑体"/>
          <w:sz w:val="28"/>
          <w:szCs w:val="28"/>
          <w:highlight w:val="none"/>
        </w:rPr>
        <w:t>五、商务条款偏离表</w:t>
      </w:r>
    </w:p>
    <w:p w14:paraId="095091C8">
      <w:pPr>
        <w:jc w:val="center"/>
        <w:rPr>
          <w:highlight w:val="none"/>
        </w:rPr>
      </w:pPr>
      <w:r>
        <w:rPr>
          <w:rFonts w:hint="eastAsia"/>
          <w:szCs w:val="21"/>
          <w:highlight w:val="none"/>
        </w:rPr>
        <w:t xml:space="preserve"> </w:t>
      </w:r>
      <w:r>
        <w:rPr>
          <w:szCs w:val="21"/>
          <w:highlight w:val="none"/>
        </w:rPr>
        <w:t xml:space="preserve">  </w:t>
      </w:r>
    </w:p>
    <w:p w14:paraId="263828D4">
      <w:pPr>
        <w:rPr>
          <w:rFonts w:hint="eastAsia"/>
          <w:szCs w:val="21"/>
          <w:highlight w:val="none"/>
        </w:rPr>
      </w:pPr>
      <w:r>
        <w:rPr>
          <w:rFonts w:ascii="宋体" w:hAnsi="宋体" w:cs="宋体"/>
          <w:szCs w:val="21"/>
          <w:highlight w:val="none"/>
        </w:rPr>
        <w:t>政府采购编号：</w:t>
      </w:r>
      <w:r>
        <w:rPr>
          <w:rFonts w:hint="eastAsia"/>
          <w:szCs w:val="21"/>
          <w:highlight w:val="none"/>
        </w:rPr>
        <w:t xml:space="preserve">                                                 </w:t>
      </w:r>
    </w:p>
    <w:p w14:paraId="25D1BE96">
      <w:pPr>
        <w:rPr>
          <w:szCs w:val="21"/>
          <w:highlight w:val="none"/>
        </w:rPr>
      </w:pPr>
      <w:r>
        <w:rPr>
          <w:rFonts w:hint="eastAsia"/>
          <w:szCs w:val="21"/>
          <w:highlight w:val="none"/>
        </w:rPr>
        <w:t>委托代理编号：</w:t>
      </w:r>
    </w:p>
    <w:p w14:paraId="01F94235">
      <w:pPr>
        <w:rPr>
          <w:szCs w:val="21"/>
          <w:highlight w:val="none"/>
        </w:rPr>
      </w:pPr>
      <w:r>
        <w:rPr>
          <w:rFonts w:hint="eastAsia"/>
          <w:szCs w:val="21"/>
          <w:highlight w:val="none"/>
        </w:rPr>
        <w:t>包号及包名称：</w:t>
      </w:r>
    </w:p>
    <w:tbl>
      <w:tblPr>
        <w:tblStyle w:val="43"/>
        <w:tblW w:w="5012" w:type="pct"/>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0" w:type="dxa"/>
          <w:bottom w:w="0" w:type="dxa"/>
          <w:right w:w="0" w:type="dxa"/>
        </w:tblCellMar>
      </w:tblPr>
      <w:tblGrid>
        <w:gridCol w:w="888"/>
        <w:gridCol w:w="1333"/>
        <w:gridCol w:w="2131"/>
        <w:gridCol w:w="1997"/>
        <w:gridCol w:w="1199"/>
        <w:gridCol w:w="798"/>
      </w:tblGrid>
      <w:tr w14:paraId="0D2EBF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579" w:hRule="atLeast"/>
          <w:jc w:val="center"/>
        </w:trPr>
        <w:tc>
          <w:tcPr>
            <w:tcW w:w="532"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510D9E7">
            <w:pPr>
              <w:jc w:val="center"/>
              <w:rPr>
                <w:highlight w:val="none"/>
              </w:rPr>
            </w:pPr>
            <w:r>
              <w:rPr>
                <w:rFonts w:ascii="宋体" w:hAnsi="宋体" w:cs="宋体"/>
                <w:szCs w:val="21"/>
                <w:highlight w:val="none"/>
              </w:rPr>
              <w:t>序号</w:t>
            </w:r>
            <w:r>
              <w:rPr>
                <w:szCs w:val="21"/>
                <w:highlight w:val="none"/>
              </w:rPr>
              <w:t xml:space="preserve"> </w:t>
            </w:r>
          </w:p>
        </w:tc>
        <w:tc>
          <w:tcPr>
            <w:tcW w:w="79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9993CE9">
            <w:pPr>
              <w:jc w:val="center"/>
              <w:rPr>
                <w:highlight w:val="none"/>
              </w:rPr>
            </w:pPr>
            <w:r>
              <w:rPr>
                <w:rFonts w:ascii="宋体" w:hAnsi="宋体" w:cs="宋体"/>
                <w:szCs w:val="21"/>
                <w:highlight w:val="none"/>
              </w:rPr>
              <w:t>招标文件条目号</w:t>
            </w:r>
            <w:r>
              <w:rPr>
                <w:szCs w:val="21"/>
                <w:highlight w:val="none"/>
              </w:rPr>
              <w:t xml:space="preserve"> </w:t>
            </w:r>
          </w:p>
        </w:tc>
        <w:tc>
          <w:tcPr>
            <w:tcW w:w="127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7AA8FAC3">
            <w:pPr>
              <w:ind w:right="-94"/>
              <w:jc w:val="center"/>
              <w:rPr>
                <w:highlight w:val="none"/>
              </w:rPr>
            </w:pPr>
            <w:r>
              <w:rPr>
                <w:rFonts w:ascii="宋体" w:hAnsi="宋体" w:cs="宋体"/>
                <w:szCs w:val="21"/>
                <w:highlight w:val="none"/>
              </w:rPr>
              <w:t>招标文件的商务条款</w:t>
            </w:r>
            <w:r>
              <w:rPr>
                <w:szCs w:val="21"/>
                <w:highlight w:val="none"/>
              </w:rPr>
              <w:t xml:space="preserve"> </w:t>
            </w:r>
          </w:p>
        </w:tc>
        <w:tc>
          <w:tcPr>
            <w:tcW w:w="119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EC1E00E">
            <w:pPr>
              <w:jc w:val="center"/>
              <w:rPr>
                <w:highlight w:val="none"/>
              </w:rPr>
            </w:pPr>
            <w:r>
              <w:rPr>
                <w:rFonts w:hint="eastAsia" w:ascii="宋体" w:hAnsi="宋体" w:cs="宋体"/>
                <w:szCs w:val="21"/>
                <w:highlight w:val="none"/>
              </w:rPr>
              <w:t>投标</w:t>
            </w:r>
            <w:r>
              <w:rPr>
                <w:rFonts w:ascii="宋体" w:hAnsi="宋体" w:cs="宋体"/>
                <w:szCs w:val="21"/>
                <w:highlight w:val="none"/>
              </w:rPr>
              <w:t>文件的商务条款</w:t>
            </w:r>
            <w:r>
              <w:rPr>
                <w:szCs w:val="21"/>
                <w:highlight w:val="none"/>
              </w:rPr>
              <w:t xml:space="preserve"> </w:t>
            </w:r>
          </w:p>
        </w:tc>
        <w:tc>
          <w:tcPr>
            <w:tcW w:w="71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689CD9CD">
            <w:pPr>
              <w:jc w:val="center"/>
              <w:rPr>
                <w:highlight w:val="none"/>
              </w:rPr>
            </w:pPr>
            <w:r>
              <w:rPr>
                <w:rFonts w:ascii="宋体" w:hAnsi="宋体" w:cs="宋体"/>
                <w:szCs w:val="21"/>
                <w:highlight w:val="none"/>
              </w:rPr>
              <w:t>响应与偏离</w:t>
            </w:r>
            <w:r>
              <w:rPr>
                <w:szCs w:val="21"/>
                <w:highlight w:val="none"/>
              </w:rPr>
              <w:t xml:space="preserve"> </w:t>
            </w:r>
          </w:p>
        </w:tc>
        <w:tc>
          <w:tcPr>
            <w:tcW w:w="47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5BED0095">
            <w:pPr>
              <w:jc w:val="center"/>
              <w:rPr>
                <w:highlight w:val="none"/>
              </w:rPr>
            </w:pPr>
            <w:r>
              <w:rPr>
                <w:rFonts w:ascii="宋体" w:hAnsi="宋体" w:cs="宋体"/>
                <w:szCs w:val="21"/>
                <w:highlight w:val="none"/>
              </w:rPr>
              <w:t>说明</w:t>
            </w:r>
            <w:r>
              <w:rPr>
                <w:szCs w:val="21"/>
                <w:highlight w:val="none"/>
              </w:rPr>
              <w:t xml:space="preserve"> </w:t>
            </w:r>
          </w:p>
        </w:tc>
      </w:tr>
      <w:tr w14:paraId="427779E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580" w:hRule="atLeast"/>
          <w:jc w:val="center"/>
        </w:trPr>
        <w:tc>
          <w:tcPr>
            <w:tcW w:w="532"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7D4BC59A">
            <w:pPr>
              <w:jc w:val="center"/>
              <w:rPr>
                <w:highlight w:val="none"/>
              </w:rPr>
            </w:pPr>
            <w:r>
              <w:rPr>
                <w:szCs w:val="21"/>
                <w:highlight w:val="none"/>
              </w:rPr>
              <w:t xml:space="preserve">  </w:t>
            </w:r>
          </w:p>
        </w:tc>
        <w:tc>
          <w:tcPr>
            <w:tcW w:w="79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48F59180">
            <w:pPr>
              <w:jc w:val="center"/>
              <w:rPr>
                <w:highlight w:val="none"/>
              </w:rPr>
            </w:pPr>
            <w:r>
              <w:rPr>
                <w:szCs w:val="21"/>
                <w:highlight w:val="none"/>
              </w:rPr>
              <w:t xml:space="preserve">  </w:t>
            </w:r>
          </w:p>
        </w:tc>
        <w:tc>
          <w:tcPr>
            <w:tcW w:w="127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5FE6812B">
            <w:pPr>
              <w:jc w:val="center"/>
              <w:rPr>
                <w:highlight w:val="none"/>
              </w:rPr>
            </w:pPr>
            <w:r>
              <w:rPr>
                <w:szCs w:val="21"/>
                <w:highlight w:val="none"/>
              </w:rPr>
              <w:t xml:space="preserve">  </w:t>
            </w:r>
          </w:p>
        </w:tc>
        <w:tc>
          <w:tcPr>
            <w:tcW w:w="119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68791208">
            <w:pPr>
              <w:jc w:val="center"/>
              <w:rPr>
                <w:highlight w:val="none"/>
              </w:rPr>
            </w:pPr>
            <w:r>
              <w:rPr>
                <w:szCs w:val="21"/>
                <w:highlight w:val="none"/>
              </w:rPr>
              <w:t xml:space="preserve">  </w:t>
            </w:r>
          </w:p>
        </w:tc>
        <w:tc>
          <w:tcPr>
            <w:tcW w:w="71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6E86200">
            <w:pPr>
              <w:jc w:val="center"/>
              <w:rPr>
                <w:highlight w:val="none"/>
              </w:rPr>
            </w:pPr>
            <w:r>
              <w:rPr>
                <w:szCs w:val="21"/>
                <w:highlight w:val="none"/>
              </w:rPr>
              <w:t xml:space="preserve">  </w:t>
            </w:r>
          </w:p>
        </w:tc>
        <w:tc>
          <w:tcPr>
            <w:tcW w:w="47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5E49AEA5">
            <w:pPr>
              <w:jc w:val="center"/>
              <w:rPr>
                <w:highlight w:val="none"/>
              </w:rPr>
            </w:pPr>
            <w:r>
              <w:rPr>
                <w:szCs w:val="21"/>
                <w:highlight w:val="none"/>
              </w:rPr>
              <w:t xml:space="preserve">  </w:t>
            </w:r>
          </w:p>
        </w:tc>
      </w:tr>
      <w:tr w14:paraId="22A9E2A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580" w:hRule="atLeast"/>
          <w:jc w:val="center"/>
        </w:trPr>
        <w:tc>
          <w:tcPr>
            <w:tcW w:w="532"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A888DC4">
            <w:pPr>
              <w:jc w:val="center"/>
              <w:rPr>
                <w:highlight w:val="none"/>
              </w:rPr>
            </w:pPr>
            <w:r>
              <w:rPr>
                <w:szCs w:val="21"/>
                <w:highlight w:val="none"/>
              </w:rPr>
              <w:t xml:space="preserve">  </w:t>
            </w:r>
          </w:p>
        </w:tc>
        <w:tc>
          <w:tcPr>
            <w:tcW w:w="79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3A697A89">
            <w:pPr>
              <w:jc w:val="center"/>
              <w:rPr>
                <w:highlight w:val="none"/>
              </w:rPr>
            </w:pPr>
            <w:r>
              <w:rPr>
                <w:szCs w:val="21"/>
                <w:highlight w:val="none"/>
              </w:rPr>
              <w:t xml:space="preserve">  </w:t>
            </w:r>
          </w:p>
        </w:tc>
        <w:tc>
          <w:tcPr>
            <w:tcW w:w="127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4E31B590">
            <w:pPr>
              <w:jc w:val="center"/>
              <w:rPr>
                <w:highlight w:val="none"/>
              </w:rPr>
            </w:pPr>
            <w:r>
              <w:rPr>
                <w:szCs w:val="21"/>
                <w:highlight w:val="none"/>
              </w:rPr>
              <w:t xml:space="preserve">  </w:t>
            </w:r>
          </w:p>
        </w:tc>
        <w:tc>
          <w:tcPr>
            <w:tcW w:w="119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5BB55E3C">
            <w:pPr>
              <w:jc w:val="center"/>
              <w:rPr>
                <w:highlight w:val="none"/>
              </w:rPr>
            </w:pPr>
            <w:r>
              <w:rPr>
                <w:szCs w:val="21"/>
                <w:highlight w:val="none"/>
              </w:rPr>
              <w:t xml:space="preserve">  </w:t>
            </w:r>
          </w:p>
        </w:tc>
        <w:tc>
          <w:tcPr>
            <w:tcW w:w="71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79FEE77">
            <w:pPr>
              <w:jc w:val="center"/>
              <w:rPr>
                <w:highlight w:val="none"/>
              </w:rPr>
            </w:pPr>
            <w:r>
              <w:rPr>
                <w:szCs w:val="21"/>
                <w:highlight w:val="none"/>
              </w:rPr>
              <w:t xml:space="preserve">  </w:t>
            </w:r>
          </w:p>
        </w:tc>
        <w:tc>
          <w:tcPr>
            <w:tcW w:w="47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25812F30">
            <w:pPr>
              <w:jc w:val="center"/>
              <w:rPr>
                <w:highlight w:val="none"/>
              </w:rPr>
            </w:pPr>
            <w:r>
              <w:rPr>
                <w:szCs w:val="21"/>
                <w:highlight w:val="none"/>
              </w:rPr>
              <w:t xml:space="preserve">  </w:t>
            </w:r>
          </w:p>
        </w:tc>
      </w:tr>
      <w:tr w14:paraId="712CEC1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580" w:hRule="atLeast"/>
          <w:jc w:val="center"/>
        </w:trPr>
        <w:tc>
          <w:tcPr>
            <w:tcW w:w="532"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6DCE5C2">
            <w:pPr>
              <w:jc w:val="center"/>
              <w:rPr>
                <w:highlight w:val="none"/>
              </w:rPr>
            </w:pPr>
            <w:r>
              <w:rPr>
                <w:szCs w:val="21"/>
                <w:highlight w:val="none"/>
              </w:rPr>
              <w:t xml:space="preserve">  </w:t>
            </w:r>
          </w:p>
        </w:tc>
        <w:tc>
          <w:tcPr>
            <w:tcW w:w="79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37B6D4F7">
            <w:pPr>
              <w:jc w:val="center"/>
              <w:rPr>
                <w:highlight w:val="none"/>
              </w:rPr>
            </w:pPr>
            <w:r>
              <w:rPr>
                <w:szCs w:val="21"/>
                <w:highlight w:val="none"/>
              </w:rPr>
              <w:t xml:space="preserve">  </w:t>
            </w:r>
          </w:p>
        </w:tc>
        <w:tc>
          <w:tcPr>
            <w:tcW w:w="127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10A019DF">
            <w:pPr>
              <w:jc w:val="center"/>
              <w:rPr>
                <w:highlight w:val="none"/>
              </w:rPr>
            </w:pPr>
            <w:r>
              <w:rPr>
                <w:szCs w:val="21"/>
                <w:highlight w:val="none"/>
              </w:rPr>
              <w:t xml:space="preserve">  </w:t>
            </w:r>
          </w:p>
        </w:tc>
        <w:tc>
          <w:tcPr>
            <w:tcW w:w="119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2FF4A273">
            <w:pPr>
              <w:jc w:val="center"/>
              <w:rPr>
                <w:highlight w:val="none"/>
              </w:rPr>
            </w:pPr>
            <w:r>
              <w:rPr>
                <w:szCs w:val="21"/>
                <w:highlight w:val="none"/>
              </w:rPr>
              <w:t xml:space="preserve">  </w:t>
            </w:r>
          </w:p>
        </w:tc>
        <w:tc>
          <w:tcPr>
            <w:tcW w:w="71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2268DAFC">
            <w:pPr>
              <w:jc w:val="center"/>
              <w:rPr>
                <w:highlight w:val="none"/>
              </w:rPr>
            </w:pPr>
            <w:r>
              <w:rPr>
                <w:szCs w:val="21"/>
                <w:highlight w:val="none"/>
              </w:rPr>
              <w:t xml:space="preserve">  </w:t>
            </w:r>
          </w:p>
        </w:tc>
        <w:tc>
          <w:tcPr>
            <w:tcW w:w="47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1194DC2F">
            <w:pPr>
              <w:jc w:val="center"/>
              <w:rPr>
                <w:highlight w:val="none"/>
              </w:rPr>
            </w:pPr>
            <w:r>
              <w:rPr>
                <w:szCs w:val="21"/>
                <w:highlight w:val="none"/>
              </w:rPr>
              <w:t xml:space="preserve">  </w:t>
            </w:r>
          </w:p>
        </w:tc>
      </w:tr>
      <w:tr w14:paraId="52E84C5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580" w:hRule="atLeast"/>
          <w:jc w:val="center"/>
        </w:trPr>
        <w:tc>
          <w:tcPr>
            <w:tcW w:w="532"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92D2324">
            <w:pPr>
              <w:jc w:val="center"/>
              <w:rPr>
                <w:highlight w:val="none"/>
              </w:rPr>
            </w:pPr>
            <w:r>
              <w:rPr>
                <w:szCs w:val="21"/>
                <w:highlight w:val="none"/>
              </w:rPr>
              <w:t xml:space="preserve">  </w:t>
            </w:r>
          </w:p>
        </w:tc>
        <w:tc>
          <w:tcPr>
            <w:tcW w:w="79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735515F1">
            <w:pPr>
              <w:jc w:val="center"/>
              <w:rPr>
                <w:highlight w:val="none"/>
              </w:rPr>
            </w:pPr>
            <w:r>
              <w:rPr>
                <w:szCs w:val="21"/>
                <w:highlight w:val="none"/>
              </w:rPr>
              <w:t xml:space="preserve">  </w:t>
            </w:r>
          </w:p>
        </w:tc>
        <w:tc>
          <w:tcPr>
            <w:tcW w:w="127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0E76FDED">
            <w:pPr>
              <w:jc w:val="center"/>
              <w:rPr>
                <w:highlight w:val="none"/>
              </w:rPr>
            </w:pPr>
            <w:r>
              <w:rPr>
                <w:szCs w:val="21"/>
                <w:highlight w:val="none"/>
              </w:rPr>
              <w:t xml:space="preserve">  </w:t>
            </w:r>
          </w:p>
        </w:tc>
        <w:tc>
          <w:tcPr>
            <w:tcW w:w="119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554EC335">
            <w:pPr>
              <w:jc w:val="center"/>
              <w:rPr>
                <w:highlight w:val="none"/>
              </w:rPr>
            </w:pPr>
            <w:r>
              <w:rPr>
                <w:szCs w:val="21"/>
                <w:highlight w:val="none"/>
              </w:rPr>
              <w:t xml:space="preserve">  </w:t>
            </w:r>
          </w:p>
        </w:tc>
        <w:tc>
          <w:tcPr>
            <w:tcW w:w="71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64409D95">
            <w:pPr>
              <w:jc w:val="center"/>
              <w:rPr>
                <w:highlight w:val="none"/>
              </w:rPr>
            </w:pPr>
            <w:r>
              <w:rPr>
                <w:szCs w:val="21"/>
                <w:highlight w:val="none"/>
              </w:rPr>
              <w:t xml:space="preserve">  </w:t>
            </w:r>
          </w:p>
        </w:tc>
        <w:tc>
          <w:tcPr>
            <w:tcW w:w="47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5B491FBF">
            <w:pPr>
              <w:jc w:val="center"/>
              <w:rPr>
                <w:highlight w:val="none"/>
              </w:rPr>
            </w:pPr>
            <w:r>
              <w:rPr>
                <w:szCs w:val="21"/>
                <w:highlight w:val="none"/>
              </w:rPr>
              <w:t xml:space="preserve">  </w:t>
            </w:r>
          </w:p>
        </w:tc>
      </w:tr>
      <w:tr w14:paraId="0698350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580" w:hRule="atLeast"/>
          <w:jc w:val="center"/>
        </w:trPr>
        <w:tc>
          <w:tcPr>
            <w:tcW w:w="532"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3432B207">
            <w:pPr>
              <w:jc w:val="center"/>
              <w:rPr>
                <w:highlight w:val="none"/>
              </w:rPr>
            </w:pPr>
            <w:r>
              <w:rPr>
                <w:szCs w:val="21"/>
                <w:highlight w:val="none"/>
              </w:rPr>
              <w:t xml:space="preserve">  </w:t>
            </w:r>
          </w:p>
        </w:tc>
        <w:tc>
          <w:tcPr>
            <w:tcW w:w="798"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33C026F6">
            <w:pPr>
              <w:jc w:val="center"/>
              <w:rPr>
                <w:highlight w:val="none"/>
              </w:rPr>
            </w:pPr>
            <w:r>
              <w:rPr>
                <w:szCs w:val="21"/>
                <w:highlight w:val="none"/>
              </w:rPr>
              <w:t xml:space="preserve">  </w:t>
            </w:r>
          </w:p>
        </w:tc>
        <w:tc>
          <w:tcPr>
            <w:tcW w:w="127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1FE2A481">
            <w:pPr>
              <w:jc w:val="center"/>
              <w:rPr>
                <w:highlight w:val="none"/>
              </w:rPr>
            </w:pPr>
            <w:r>
              <w:rPr>
                <w:szCs w:val="21"/>
                <w:highlight w:val="none"/>
              </w:rPr>
              <w:t xml:space="preserve">  </w:t>
            </w:r>
          </w:p>
        </w:tc>
        <w:tc>
          <w:tcPr>
            <w:tcW w:w="1196" w:type="pct"/>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268EDABB">
            <w:pPr>
              <w:jc w:val="center"/>
              <w:rPr>
                <w:highlight w:val="none"/>
              </w:rPr>
            </w:pPr>
            <w:r>
              <w:rPr>
                <w:szCs w:val="21"/>
                <w:highlight w:val="none"/>
              </w:rPr>
              <w:t xml:space="preserve">  </w:t>
            </w:r>
          </w:p>
        </w:tc>
        <w:tc>
          <w:tcPr>
            <w:tcW w:w="1196" w:type="pct"/>
            <w:gridSpan w:val="2"/>
            <w:tcBorders>
              <w:top w:val="single" w:color="000000" w:sz="8" w:space="0"/>
              <w:left w:val="single" w:color="000000" w:sz="8" w:space="0"/>
              <w:bottom w:val="single" w:color="000000" w:sz="8" w:space="0"/>
              <w:right w:val="single" w:color="000000" w:sz="8" w:space="0"/>
            </w:tcBorders>
            <w:tcMar>
              <w:top w:w="0" w:type="dxa"/>
              <w:left w:w="0" w:type="dxa"/>
              <w:bottom w:w="0" w:type="dxa"/>
              <w:right w:w="0" w:type="dxa"/>
            </w:tcMar>
            <w:vAlign w:val="center"/>
          </w:tcPr>
          <w:p w14:paraId="2DC84773">
            <w:pPr>
              <w:jc w:val="center"/>
              <w:rPr>
                <w:highlight w:val="none"/>
              </w:rPr>
            </w:pPr>
            <w:r>
              <w:rPr>
                <w:rFonts w:hint="eastAsia" w:ascii="宋体" w:hAnsi="宋体" w:eastAsia="宋体" w:cs="Times New Roman"/>
                <w:b/>
                <w:szCs w:val="21"/>
              </w:rPr>
              <w:t>供应商保证：除本商务条款偏离表列出的偏离外，我单位对</w:t>
            </w:r>
            <w:r>
              <w:rPr>
                <w:rFonts w:hint="eastAsia" w:ascii="宋体" w:hAnsi="宋体" w:eastAsia="宋体" w:cs="Times New Roman"/>
                <w:b/>
                <w:szCs w:val="21"/>
                <w:lang w:val="en-US" w:eastAsia="zh-CN"/>
              </w:rPr>
              <w:t>招标</w:t>
            </w:r>
            <w:r>
              <w:rPr>
                <w:rFonts w:hint="eastAsia" w:ascii="宋体" w:hAnsi="宋体" w:eastAsia="宋体" w:cs="Times New Roman"/>
                <w:b/>
                <w:szCs w:val="21"/>
              </w:rPr>
              <w:t>文件的其他商务条款完全响应，无偏离。</w:t>
            </w:r>
            <w:r>
              <w:rPr>
                <w:szCs w:val="21"/>
                <w:highlight w:val="none"/>
              </w:rPr>
              <w:t xml:space="preserve">  </w:t>
            </w:r>
          </w:p>
        </w:tc>
      </w:tr>
    </w:tbl>
    <w:p w14:paraId="498C006D">
      <w:pPr>
        <w:spacing w:line="360" w:lineRule="auto"/>
        <w:rPr>
          <w:rFonts w:ascii="宋体" w:hAnsi="宋体" w:eastAsia="宋体" w:cs="华文中宋"/>
          <w:kern w:val="2"/>
          <w:sz w:val="21"/>
          <w:szCs w:val="21"/>
          <w:highlight w:val="none"/>
          <w:lang w:val="en-US" w:eastAsia="zh-CN" w:bidi="ar-SA"/>
        </w:rPr>
      </w:pPr>
      <w:r>
        <w:rPr>
          <w:rFonts w:ascii="宋体" w:hAnsi="宋体" w:cs="华文中宋"/>
          <w:bCs/>
          <w:szCs w:val="21"/>
          <w:highlight w:val="none"/>
        </w:rPr>
        <w:t>注：</w:t>
      </w:r>
      <w:r>
        <w:rPr>
          <w:rFonts w:hint="eastAsia" w:ascii="宋体" w:hAnsi="宋体" w:cs="华文中宋"/>
          <w:bCs/>
          <w:szCs w:val="21"/>
          <w:highlight w:val="none"/>
        </w:rPr>
        <w:t>1、</w:t>
      </w:r>
      <w:r>
        <w:rPr>
          <w:rFonts w:ascii="宋体" w:hAnsi="宋体" w:eastAsia="宋体" w:cs="华文中宋"/>
          <w:kern w:val="2"/>
          <w:sz w:val="21"/>
          <w:szCs w:val="21"/>
          <w:highlight w:val="none"/>
          <w:lang w:val="en-US" w:eastAsia="zh-CN" w:bidi="ar-SA"/>
        </w:rPr>
        <w:t>供应商如果对</w:t>
      </w:r>
      <w:r>
        <w:rPr>
          <w:rFonts w:hint="eastAsia" w:ascii="宋体" w:hAnsi="宋体" w:eastAsia="宋体" w:cs="华文中宋"/>
          <w:kern w:val="2"/>
          <w:sz w:val="21"/>
          <w:szCs w:val="21"/>
          <w:highlight w:val="none"/>
          <w:lang w:val="en-US" w:eastAsia="zh-CN" w:bidi="ar-SA"/>
        </w:rPr>
        <w:t>招标</w:t>
      </w:r>
      <w:r>
        <w:rPr>
          <w:rFonts w:ascii="宋体" w:hAnsi="宋体" w:eastAsia="宋体" w:cs="华文中宋"/>
          <w:kern w:val="2"/>
          <w:sz w:val="21"/>
          <w:szCs w:val="21"/>
          <w:highlight w:val="none"/>
          <w:lang w:val="en-US" w:eastAsia="zh-CN" w:bidi="ar-SA"/>
        </w:rPr>
        <w:t>文件第</w:t>
      </w:r>
      <w:r>
        <w:rPr>
          <w:rFonts w:hint="eastAsia" w:ascii="宋体" w:hAnsi="宋体" w:eastAsia="宋体" w:cs="华文中宋"/>
          <w:kern w:val="2"/>
          <w:sz w:val="21"/>
          <w:szCs w:val="21"/>
          <w:highlight w:val="none"/>
          <w:lang w:val="en-US" w:eastAsia="zh-CN" w:bidi="ar-SA"/>
        </w:rPr>
        <w:t>五</w:t>
      </w:r>
      <w:r>
        <w:rPr>
          <w:rFonts w:ascii="宋体" w:hAnsi="宋体" w:eastAsia="宋体" w:cs="华文中宋"/>
          <w:kern w:val="2"/>
          <w:sz w:val="21"/>
          <w:szCs w:val="21"/>
          <w:highlight w:val="none"/>
          <w:lang w:val="en-US" w:eastAsia="zh-CN" w:bidi="ar-SA"/>
        </w:rPr>
        <w:t>章“</w:t>
      </w:r>
      <w:r>
        <w:rPr>
          <w:rFonts w:hint="eastAsia" w:ascii="宋体" w:hAnsi="宋体" w:eastAsia="宋体" w:cs="华文中宋"/>
          <w:kern w:val="2"/>
          <w:sz w:val="21"/>
          <w:szCs w:val="21"/>
          <w:highlight w:val="none"/>
          <w:lang w:val="en-US" w:eastAsia="zh-CN" w:bidi="ar-SA"/>
        </w:rPr>
        <w:t>采购需求</w:t>
      </w:r>
      <w:r>
        <w:rPr>
          <w:rFonts w:ascii="宋体" w:hAnsi="宋体" w:eastAsia="宋体" w:cs="华文中宋"/>
          <w:kern w:val="2"/>
          <w:sz w:val="21"/>
          <w:szCs w:val="21"/>
          <w:highlight w:val="none"/>
          <w:lang w:val="en-US" w:eastAsia="zh-CN" w:bidi="ar-SA"/>
        </w:rPr>
        <w:t>”</w:t>
      </w:r>
      <w:r>
        <w:rPr>
          <w:rFonts w:hint="eastAsia" w:ascii="宋体" w:hAnsi="宋体" w:eastAsia="宋体" w:cs="华文中宋"/>
          <w:kern w:val="2"/>
          <w:sz w:val="21"/>
          <w:szCs w:val="21"/>
          <w:highlight w:val="none"/>
          <w:lang w:val="en-US" w:eastAsia="zh-CN" w:bidi="ar-SA"/>
        </w:rPr>
        <w:t>中的商务要求</w:t>
      </w:r>
      <w:r>
        <w:rPr>
          <w:rFonts w:ascii="宋体" w:hAnsi="宋体" w:eastAsia="宋体" w:cs="华文中宋"/>
          <w:kern w:val="2"/>
          <w:sz w:val="21"/>
          <w:szCs w:val="21"/>
          <w:highlight w:val="none"/>
          <w:lang w:val="en-US" w:eastAsia="zh-CN" w:bidi="ar-SA"/>
        </w:rPr>
        <w:t>的响应有偏离，应将偏离条款逐条如实应答，并作出说明；</w:t>
      </w:r>
    </w:p>
    <w:p w14:paraId="0E88D449">
      <w:pPr>
        <w:spacing w:line="360" w:lineRule="auto"/>
        <w:rPr>
          <w:rFonts w:ascii="宋体" w:hAnsi="宋体" w:cs="华文中宋"/>
          <w:szCs w:val="21"/>
          <w:highlight w:val="none"/>
        </w:rPr>
      </w:pPr>
      <w:r>
        <w:rPr>
          <w:rFonts w:hint="eastAsia" w:ascii="宋体" w:hAnsi="宋体" w:cs="华文中宋"/>
          <w:szCs w:val="21"/>
          <w:highlight w:val="none"/>
        </w:rPr>
        <w:t>2、</w:t>
      </w:r>
      <w:r>
        <w:rPr>
          <w:rFonts w:ascii="宋体" w:hAnsi="宋体" w:cs="华文中宋"/>
          <w:szCs w:val="21"/>
          <w:highlight w:val="none"/>
        </w:rPr>
        <w:t>“响应与偏离”应注明“响应”或“偏离”。</w:t>
      </w:r>
    </w:p>
    <w:p w14:paraId="451D2D74">
      <w:pPr>
        <w:spacing w:line="360" w:lineRule="auto"/>
        <w:rPr>
          <w:highlight w:val="none"/>
        </w:rPr>
      </w:pPr>
      <w:r>
        <w:rPr>
          <w:rFonts w:hint="eastAsia" w:ascii="宋体" w:hAnsi="宋体" w:cs="宋体"/>
          <w:szCs w:val="21"/>
          <w:highlight w:val="none"/>
          <w:lang w:val="en-US" w:eastAsia="zh-CN"/>
        </w:rPr>
        <w:t>3、</w:t>
      </w:r>
      <w:r>
        <w:rPr>
          <w:color w:val="auto"/>
          <w:spacing w:val="-5"/>
          <w:sz w:val="21"/>
        </w:rPr>
        <w:t>如不提供此表，则视为供应商不满足</w:t>
      </w:r>
      <w:r>
        <w:rPr>
          <w:rFonts w:hint="eastAsia" w:ascii="宋体" w:hAnsi="宋体" w:eastAsia="宋体" w:cs="华文中宋"/>
          <w:kern w:val="2"/>
          <w:sz w:val="21"/>
          <w:szCs w:val="21"/>
          <w:highlight w:val="none"/>
          <w:lang w:val="en-US" w:eastAsia="zh-CN" w:bidi="ar-SA"/>
        </w:rPr>
        <w:t>招标</w:t>
      </w:r>
      <w:r>
        <w:rPr>
          <w:rFonts w:ascii="宋体" w:hAnsi="宋体" w:eastAsia="宋体" w:cs="华文中宋"/>
          <w:kern w:val="2"/>
          <w:sz w:val="21"/>
          <w:szCs w:val="21"/>
          <w:highlight w:val="none"/>
          <w:lang w:val="en-US" w:eastAsia="zh-CN" w:bidi="ar-SA"/>
        </w:rPr>
        <w:t>文件第</w:t>
      </w:r>
      <w:r>
        <w:rPr>
          <w:rFonts w:hint="eastAsia" w:ascii="宋体" w:hAnsi="宋体" w:eastAsia="宋体" w:cs="华文中宋"/>
          <w:kern w:val="2"/>
          <w:sz w:val="21"/>
          <w:szCs w:val="21"/>
          <w:highlight w:val="none"/>
          <w:lang w:val="en-US" w:eastAsia="zh-CN" w:bidi="ar-SA"/>
        </w:rPr>
        <w:t>五</w:t>
      </w:r>
      <w:r>
        <w:rPr>
          <w:rFonts w:ascii="宋体" w:hAnsi="宋体" w:eastAsia="宋体" w:cs="华文中宋"/>
          <w:kern w:val="2"/>
          <w:sz w:val="21"/>
          <w:szCs w:val="21"/>
          <w:highlight w:val="none"/>
          <w:lang w:val="en-US" w:eastAsia="zh-CN" w:bidi="ar-SA"/>
        </w:rPr>
        <w:t>章“</w:t>
      </w:r>
      <w:r>
        <w:rPr>
          <w:rFonts w:hint="eastAsia" w:ascii="宋体" w:hAnsi="宋体" w:eastAsia="宋体" w:cs="华文中宋"/>
          <w:kern w:val="2"/>
          <w:sz w:val="21"/>
          <w:szCs w:val="21"/>
          <w:highlight w:val="none"/>
          <w:lang w:val="en-US" w:eastAsia="zh-CN" w:bidi="ar-SA"/>
        </w:rPr>
        <w:t>采购需求</w:t>
      </w:r>
      <w:r>
        <w:rPr>
          <w:rFonts w:ascii="宋体" w:hAnsi="宋体" w:eastAsia="宋体" w:cs="华文中宋"/>
          <w:kern w:val="2"/>
          <w:sz w:val="21"/>
          <w:szCs w:val="21"/>
          <w:highlight w:val="none"/>
          <w:lang w:val="en-US" w:eastAsia="zh-CN" w:bidi="ar-SA"/>
        </w:rPr>
        <w:t>”</w:t>
      </w:r>
      <w:r>
        <w:rPr>
          <w:rFonts w:hint="eastAsia" w:ascii="宋体" w:hAnsi="宋体" w:eastAsia="宋体" w:cs="华文中宋"/>
          <w:kern w:val="2"/>
          <w:sz w:val="21"/>
          <w:szCs w:val="21"/>
          <w:highlight w:val="none"/>
          <w:lang w:val="en-US" w:eastAsia="zh-CN" w:bidi="ar-SA"/>
        </w:rPr>
        <w:t>中的商务要求的所有条款</w:t>
      </w:r>
      <w:r>
        <w:rPr>
          <w:spacing w:val="-5"/>
          <w:sz w:val="21"/>
        </w:rPr>
        <w:t>，其</w:t>
      </w:r>
      <w:r>
        <w:rPr>
          <w:rFonts w:hint="eastAsia"/>
          <w:spacing w:val="-5"/>
          <w:sz w:val="21"/>
          <w:lang w:val="en-US" w:eastAsia="zh-CN"/>
        </w:rPr>
        <w:t>投标</w:t>
      </w:r>
      <w:r>
        <w:rPr>
          <w:spacing w:val="-5"/>
          <w:sz w:val="21"/>
        </w:rPr>
        <w:t>响应无效。</w:t>
      </w:r>
      <w:r>
        <w:rPr>
          <w:rFonts w:ascii="宋体" w:hAnsi="宋体" w:cs="宋体"/>
          <w:szCs w:val="21"/>
          <w:highlight w:val="none"/>
        </w:rPr>
        <w:t>    </w:t>
      </w:r>
      <w:r>
        <w:rPr>
          <w:szCs w:val="21"/>
          <w:highlight w:val="none"/>
        </w:rPr>
        <w:t xml:space="preserve"> </w:t>
      </w:r>
    </w:p>
    <w:p w14:paraId="6E660149">
      <w:pPr>
        <w:spacing w:line="360" w:lineRule="auto"/>
        <w:rPr>
          <w:highlight w:val="none"/>
        </w:rPr>
      </w:pPr>
      <w:r>
        <w:rPr>
          <w:szCs w:val="21"/>
          <w:highlight w:val="none"/>
        </w:rPr>
        <w:t xml:space="preserve">  </w:t>
      </w:r>
    </w:p>
    <w:p w14:paraId="157A9544">
      <w:pPr>
        <w:rPr>
          <w:highlight w:val="none"/>
        </w:rPr>
      </w:pPr>
      <w:r>
        <w:rPr>
          <w:szCs w:val="21"/>
          <w:highlight w:val="none"/>
        </w:rPr>
        <w:t xml:space="preserve">  </w:t>
      </w:r>
    </w:p>
    <w:p w14:paraId="062C2FBB">
      <w:pPr>
        <w:rPr>
          <w:highlight w:val="none"/>
        </w:rPr>
      </w:pPr>
      <w:r>
        <w:rPr>
          <w:szCs w:val="21"/>
          <w:highlight w:val="none"/>
        </w:rPr>
        <w:t xml:space="preserve">  </w:t>
      </w:r>
    </w:p>
    <w:p w14:paraId="2C25461F">
      <w:pPr>
        <w:rPr>
          <w:highlight w:val="none"/>
        </w:rPr>
      </w:pPr>
      <w:r>
        <w:rPr>
          <w:szCs w:val="21"/>
          <w:highlight w:val="none"/>
        </w:rPr>
        <w:t xml:space="preserve">  </w:t>
      </w:r>
    </w:p>
    <w:p w14:paraId="05EEB1AD">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73D578C1">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659518A7">
      <w:pPr>
        <w:rPr>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p>
    <w:p w14:paraId="072C78A1">
      <w:pPr>
        <w:adjustRightInd w:val="0"/>
        <w:snapToGrid w:val="0"/>
        <w:spacing w:line="360" w:lineRule="auto"/>
        <w:ind w:firstLine="444" w:firstLineChars="200"/>
        <w:rPr>
          <w:rFonts w:ascii="宋体" w:hAnsi="宋体" w:cs="宋体"/>
          <w:bCs/>
          <w:spacing w:val="6"/>
          <w:kern w:val="0"/>
          <w:szCs w:val="21"/>
          <w:highlight w:val="none"/>
        </w:rPr>
      </w:pPr>
    </w:p>
    <w:p w14:paraId="10093B20">
      <w:pPr>
        <w:adjustRightInd w:val="0"/>
        <w:snapToGrid w:val="0"/>
        <w:spacing w:line="360" w:lineRule="auto"/>
        <w:ind w:firstLine="444" w:firstLineChars="200"/>
        <w:rPr>
          <w:rFonts w:ascii="宋体" w:hAnsi="宋体" w:cs="宋体"/>
          <w:bCs/>
          <w:spacing w:val="6"/>
          <w:kern w:val="0"/>
          <w:szCs w:val="21"/>
          <w:highlight w:val="none"/>
        </w:rPr>
      </w:pPr>
    </w:p>
    <w:p w14:paraId="4062F250">
      <w:pPr>
        <w:adjustRightInd w:val="0"/>
        <w:snapToGrid w:val="0"/>
        <w:spacing w:line="360" w:lineRule="auto"/>
        <w:ind w:firstLine="444" w:firstLineChars="200"/>
        <w:rPr>
          <w:rFonts w:ascii="宋体" w:hAnsi="宋体" w:cs="宋体"/>
          <w:bCs/>
          <w:spacing w:val="6"/>
          <w:kern w:val="0"/>
          <w:szCs w:val="21"/>
          <w:highlight w:val="none"/>
        </w:rPr>
      </w:pPr>
    </w:p>
    <w:p w14:paraId="2523E9A4">
      <w:pPr>
        <w:adjustRightInd w:val="0"/>
        <w:snapToGrid w:val="0"/>
        <w:spacing w:line="360" w:lineRule="auto"/>
        <w:ind w:firstLine="444" w:firstLineChars="200"/>
        <w:rPr>
          <w:rFonts w:ascii="宋体" w:hAnsi="宋体" w:cs="宋体"/>
          <w:bCs/>
          <w:spacing w:val="6"/>
          <w:kern w:val="0"/>
          <w:szCs w:val="21"/>
          <w:highlight w:val="none"/>
        </w:rPr>
      </w:pPr>
    </w:p>
    <w:p w14:paraId="74E71771">
      <w:pPr>
        <w:adjustRightInd w:val="0"/>
        <w:snapToGrid w:val="0"/>
        <w:spacing w:line="360" w:lineRule="auto"/>
        <w:ind w:firstLine="444" w:firstLineChars="200"/>
        <w:rPr>
          <w:rFonts w:ascii="宋体" w:hAnsi="宋体" w:cs="宋体"/>
          <w:bCs/>
          <w:spacing w:val="6"/>
          <w:kern w:val="0"/>
          <w:szCs w:val="21"/>
          <w:highlight w:val="none"/>
        </w:rPr>
      </w:pPr>
    </w:p>
    <w:p w14:paraId="5E003E80">
      <w:pPr>
        <w:adjustRightInd w:val="0"/>
        <w:snapToGrid w:val="0"/>
        <w:spacing w:line="360" w:lineRule="auto"/>
        <w:ind w:firstLine="444" w:firstLineChars="200"/>
        <w:rPr>
          <w:rFonts w:ascii="宋体" w:hAnsi="宋体" w:cs="宋体"/>
          <w:bCs/>
          <w:spacing w:val="6"/>
          <w:kern w:val="0"/>
          <w:szCs w:val="21"/>
          <w:highlight w:val="none"/>
        </w:rPr>
      </w:pPr>
    </w:p>
    <w:p w14:paraId="4C10277C">
      <w:pPr>
        <w:adjustRightInd w:val="0"/>
        <w:snapToGrid w:val="0"/>
        <w:spacing w:line="360" w:lineRule="auto"/>
        <w:ind w:firstLine="444" w:firstLineChars="200"/>
        <w:rPr>
          <w:rFonts w:ascii="宋体" w:hAnsi="宋体" w:cs="宋体"/>
          <w:bCs/>
          <w:spacing w:val="6"/>
          <w:kern w:val="0"/>
          <w:szCs w:val="21"/>
          <w:highlight w:val="none"/>
        </w:rPr>
      </w:pPr>
    </w:p>
    <w:p w14:paraId="675AE960">
      <w:pPr>
        <w:adjustRightInd w:val="0"/>
        <w:snapToGrid w:val="0"/>
        <w:spacing w:line="360" w:lineRule="auto"/>
        <w:ind w:firstLine="444" w:firstLineChars="200"/>
        <w:rPr>
          <w:rFonts w:ascii="宋体" w:hAnsi="宋体" w:cs="宋体"/>
          <w:bCs/>
          <w:spacing w:val="6"/>
          <w:kern w:val="0"/>
          <w:szCs w:val="21"/>
          <w:highlight w:val="none"/>
        </w:rPr>
      </w:pPr>
    </w:p>
    <w:p w14:paraId="6C7663B1">
      <w:pPr>
        <w:jc w:val="center"/>
        <w:rPr>
          <w:highlight w:val="none"/>
        </w:rPr>
      </w:pPr>
      <w:r>
        <w:rPr>
          <w:rFonts w:hint="eastAsia" w:ascii="黑体" w:hAnsi="黑体" w:eastAsia="黑体" w:cs="黑体"/>
          <w:b/>
          <w:bCs/>
          <w:sz w:val="28"/>
          <w:szCs w:val="28"/>
          <w:highlight w:val="none"/>
        </w:rPr>
        <w:t>六</w:t>
      </w:r>
      <w:r>
        <w:rPr>
          <w:rFonts w:ascii="黑体" w:hAnsi="黑体" w:eastAsia="黑体" w:cs="黑体"/>
          <w:b/>
          <w:bCs/>
          <w:sz w:val="28"/>
          <w:szCs w:val="28"/>
          <w:highlight w:val="none"/>
        </w:rPr>
        <w:t>、投标保证金</w:t>
      </w:r>
    </w:p>
    <w:p w14:paraId="7D93CCC7">
      <w:pPr>
        <w:spacing w:before="156" w:line="360" w:lineRule="auto"/>
        <w:rPr>
          <w:highlight w:val="none"/>
        </w:rPr>
      </w:pPr>
      <w:r>
        <w:rPr>
          <w:rFonts w:ascii="宋体" w:hAnsi="宋体" w:cs="宋体"/>
          <w:szCs w:val="21"/>
          <w:highlight w:val="none"/>
        </w:rPr>
        <w:t xml:space="preserve">  </w:t>
      </w:r>
    </w:p>
    <w:p w14:paraId="33285AC8">
      <w:pPr>
        <w:spacing w:before="156" w:line="360" w:lineRule="auto"/>
        <w:rPr>
          <w:highlight w:val="none"/>
        </w:rPr>
      </w:pPr>
      <w:r>
        <w:rPr>
          <w:rFonts w:ascii="宋体" w:hAnsi="宋体" w:cs="宋体"/>
          <w:szCs w:val="21"/>
          <w:highlight w:val="none"/>
        </w:rPr>
        <w:t xml:space="preserve">  </w:t>
      </w:r>
    </w:p>
    <w:p w14:paraId="38C78508">
      <w:pPr>
        <w:spacing w:before="156" w:line="360" w:lineRule="auto"/>
        <w:rPr>
          <w:highlight w:val="none"/>
        </w:rPr>
      </w:pPr>
      <w:r>
        <w:rPr>
          <w:rFonts w:ascii="仿宋_GB2312" w:hAnsi="仿宋_GB2312" w:eastAsia="仿宋_GB2312" w:cs="仿宋_GB2312"/>
          <w:szCs w:val="21"/>
          <w:highlight w:val="none"/>
        </w:rPr>
        <w:t>备注：</w:t>
      </w:r>
      <w:r>
        <w:rPr>
          <w:rFonts w:hint="eastAsia" w:ascii="仿宋_GB2312" w:hAnsi="仿宋_GB2312" w:eastAsia="仿宋_GB2312" w:cs="仿宋_GB2312"/>
          <w:szCs w:val="21"/>
          <w:highlight w:val="none"/>
        </w:rPr>
        <w:t>已在资格审查文件中提供的，本处可不提供</w:t>
      </w:r>
      <w:r>
        <w:rPr>
          <w:rFonts w:ascii="仿宋_GB2312" w:hAnsi="仿宋_GB2312" w:eastAsia="仿宋_GB2312" w:cs="仿宋_GB2312"/>
          <w:szCs w:val="21"/>
          <w:highlight w:val="none"/>
        </w:rPr>
        <w:t>。</w:t>
      </w:r>
      <w:r>
        <w:rPr>
          <w:rFonts w:ascii="宋体" w:hAnsi="宋体" w:cs="宋体"/>
          <w:szCs w:val="21"/>
          <w:highlight w:val="none"/>
        </w:rPr>
        <w:t xml:space="preserve"> </w:t>
      </w:r>
    </w:p>
    <w:p w14:paraId="3E23856A">
      <w:pPr>
        <w:adjustRightInd w:val="0"/>
        <w:snapToGrid w:val="0"/>
        <w:spacing w:line="360" w:lineRule="auto"/>
        <w:ind w:firstLine="444" w:firstLineChars="200"/>
        <w:rPr>
          <w:rFonts w:ascii="宋体" w:hAnsi="宋体" w:cs="宋体"/>
          <w:bCs/>
          <w:spacing w:val="6"/>
          <w:kern w:val="0"/>
          <w:szCs w:val="21"/>
          <w:highlight w:val="none"/>
        </w:rPr>
      </w:pPr>
    </w:p>
    <w:p w14:paraId="165834E4">
      <w:pPr>
        <w:adjustRightInd w:val="0"/>
        <w:snapToGrid w:val="0"/>
        <w:spacing w:line="360" w:lineRule="auto"/>
        <w:ind w:firstLine="444" w:firstLineChars="200"/>
        <w:rPr>
          <w:rFonts w:ascii="宋体" w:hAnsi="宋体" w:cs="宋体"/>
          <w:bCs/>
          <w:spacing w:val="6"/>
          <w:kern w:val="0"/>
          <w:szCs w:val="21"/>
          <w:highlight w:val="none"/>
        </w:rPr>
      </w:pPr>
    </w:p>
    <w:p w14:paraId="2A91B096">
      <w:pPr>
        <w:adjustRightInd w:val="0"/>
        <w:snapToGrid w:val="0"/>
        <w:spacing w:line="360" w:lineRule="auto"/>
        <w:ind w:firstLine="444" w:firstLineChars="200"/>
        <w:rPr>
          <w:rFonts w:ascii="宋体" w:hAnsi="宋体" w:cs="宋体"/>
          <w:bCs/>
          <w:spacing w:val="6"/>
          <w:kern w:val="0"/>
          <w:szCs w:val="21"/>
          <w:highlight w:val="none"/>
        </w:rPr>
      </w:pPr>
    </w:p>
    <w:p w14:paraId="6AE8E999">
      <w:pPr>
        <w:adjustRightInd w:val="0"/>
        <w:snapToGrid w:val="0"/>
        <w:spacing w:line="360" w:lineRule="auto"/>
        <w:ind w:firstLine="444" w:firstLineChars="200"/>
        <w:rPr>
          <w:rFonts w:ascii="宋体" w:hAnsi="宋体" w:cs="宋体"/>
          <w:bCs/>
          <w:spacing w:val="6"/>
          <w:kern w:val="0"/>
          <w:szCs w:val="21"/>
          <w:highlight w:val="none"/>
        </w:rPr>
      </w:pPr>
    </w:p>
    <w:p w14:paraId="2E1010B7">
      <w:pPr>
        <w:adjustRightInd w:val="0"/>
        <w:snapToGrid w:val="0"/>
        <w:spacing w:line="360" w:lineRule="auto"/>
        <w:ind w:firstLine="444" w:firstLineChars="200"/>
        <w:rPr>
          <w:rFonts w:ascii="宋体" w:hAnsi="宋体" w:cs="宋体"/>
          <w:bCs/>
          <w:spacing w:val="6"/>
          <w:kern w:val="0"/>
          <w:szCs w:val="21"/>
          <w:highlight w:val="none"/>
        </w:rPr>
      </w:pPr>
    </w:p>
    <w:p w14:paraId="6B3CFAE3">
      <w:pPr>
        <w:adjustRightInd w:val="0"/>
        <w:snapToGrid w:val="0"/>
        <w:spacing w:line="360" w:lineRule="auto"/>
        <w:ind w:firstLine="444" w:firstLineChars="200"/>
        <w:rPr>
          <w:rFonts w:ascii="宋体" w:hAnsi="宋体" w:cs="宋体"/>
          <w:bCs/>
          <w:spacing w:val="6"/>
          <w:kern w:val="0"/>
          <w:szCs w:val="21"/>
          <w:highlight w:val="none"/>
        </w:rPr>
      </w:pPr>
    </w:p>
    <w:p w14:paraId="3060ED4D">
      <w:pPr>
        <w:adjustRightInd w:val="0"/>
        <w:snapToGrid w:val="0"/>
        <w:spacing w:line="360" w:lineRule="auto"/>
        <w:ind w:firstLine="444" w:firstLineChars="200"/>
        <w:rPr>
          <w:rFonts w:ascii="宋体" w:hAnsi="宋体" w:cs="宋体"/>
          <w:bCs/>
          <w:spacing w:val="6"/>
          <w:kern w:val="0"/>
          <w:szCs w:val="21"/>
          <w:highlight w:val="none"/>
        </w:rPr>
      </w:pPr>
    </w:p>
    <w:p w14:paraId="0A889C82">
      <w:pPr>
        <w:adjustRightInd w:val="0"/>
        <w:snapToGrid w:val="0"/>
        <w:spacing w:line="360" w:lineRule="auto"/>
        <w:ind w:firstLine="444" w:firstLineChars="200"/>
        <w:rPr>
          <w:rFonts w:ascii="宋体" w:hAnsi="宋体" w:cs="宋体"/>
          <w:bCs/>
          <w:spacing w:val="6"/>
          <w:kern w:val="0"/>
          <w:szCs w:val="21"/>
          <w:highlight w:val="none"/>
        </w:rPr>
      </w:pPr>
    </w:p>
    <w:p w14:paraId="14F5FBB3">
      <w:pPr>
        <w:adjustRightInd w:val="0"/>
        <w:snapToGrid w:val="0"/>
        <w:spacing w:line="360" w:lineRule="auto"/>
        <w:ind w:firstLine="444" w:firstLineChars="200"/>
        <w:rPr>
          <w:rFonts w:ascii="宋体" w:hAnsi="宋体" w:cs="宋体"/>
          <w:bCs/>
          <w:spacing w:val="6"/>
          <w:kern w:val="0"/>
          <w:szCs w:val="21"/>
          <w:highlight w:val="none"/>
        </w:rPr>
      </w:pPr>
    </w:p>
    <w:p w14:paraId="1066C89B">
      <w:pPr>
        <w:adjustRightInd w:val="0"/>
        <w:snapToGrid w:val="0"/>
        <w:spacing w:line="360" w:lineRule="auto"/>
        <w:ind w:firstLine="444" w:firstLineChars="200"/>
        <w:rPr>
          <w:rFonts w:ascii="宋体" w:hAnsi="宋体" w:cs="宋体"/>
          <w:bCs/>
          <w:spacing w:val="6"/>
          <w:kern w:val="0"/>
          <w:szCs w:val="21"/>
          <w:highlight w:val="none"/>
        </w:rPr>
      </w:pPr>
    </w:p>
    <w:p w14:paraId="42BA4587">
      <w:pPr>
        <w:adjustRightInd w:val="0"/>
        <w:snapToGrid w:val="0"/>
        <w:spacing w:line="360" w:lineRule="auto"/>
        <w:ind w:firstLine="444" w:firstLineChars="200"/>
        <w:rPr>
          <w:rFonts w:ascii="宋体" w:hAnsi="宋体" w:cs="宋体"/>
          <w:bCs/>
          <w:spacing w:val="6"/>
          <w:kern w:val="0"/>
          <w:szCs w:val="21"/>
          <w:highlight w:val="none"/>
        </w:rPr>
      </w:pPr>
    </w:p>
    <w:p w14:paraId="3ED7BCEE">
      <w:pPr>
        <w:rPr>
          <w:rFonts w:ascii="宋体" w:hAnsi="宋体" w:cs="宋体"/>
          <w:bCs/>
          <w:spacing w:val="6"/>
          <w:kern w:val="0"/>
          <w:szCs w:val="21"/>
          <w:highlight w:val="none"/>
        </w:rPr>
      </w:pPr>
      <w:r>
        <w:rPr>
          <w:rFonts w:hint="eastAsia" w:ascii="宋体" w:hAnsi="宋体" w:cs="宋体"/>
          <w:bCs/>
          <w:spacing w:val="6"/>
          <w:kern w:val="0"/>
          <w:szCs w:val="21"/>
          <w:highlight w:val="none"/>
        </w:rPr>
        <w:br w:type="page"/>
      </w:r>
    </w:p>
    <w:p w14:paraId="22662A0F">
      <w:pPr>
        <w:spacing w:line="400" w:lineRule="exact"/>
        <w:jc w:val="center"/>
        <w:rPr>
          <w:highlight w:val="none"/>
        </w:rPr>
      </w:pPr>
      <w:r>
        <w:rPr>
          <w:rFonts w:hint="eastAsia"/>
          <w:b/>
          <w:sz w:val="28"/>
          <w:szCs w:val="28"/>
          <w:highlight w:val="none"/>
        </w:rPr>
        <w:t>七</w:t>
      </w:r>
      <w:r>
        <w:rPr>
          <w:rFonts w:hint="eastAsia" w:ascii="黑体" w:hAnsi="黑体" w:eastAsia="黑体" w:cs="黑体"/>
          <w:spacing w:val="6"/>
          <w:sz w:val="28"/>
          <w:szCs w:val="28"/>
          <w:highlight w:val="none"/>
        </w:rPr>
        <w:t>、</w:t>
      </w:r>
      <w:r>
        <w:rPr>
          <w:rFonts w:ascii="黑体" w:hAnsi="黑体" w:eastAsia="黑体" w:cs="黑体"/>
          <w:spacing w:val="6"/>
          <w:sz w:val="28"/>
          <w:szCs w:val="28"/>
          <w:highlight w:val="none"/>
        </w:rPr>
        <w:t>中小企业声明函</w:t>
      </w:r>
    </w:p>
    <w:p w14:paraId="07B4D351">
      <w:pPr>
        <w:spacing w:line="360" w:lineRule="auto"/>
        <w:rPr>
          <w:highlight w:val="none"/>
        </w:rPr>
      </w:pPr>
      <w:r>
        <w:rPr>
          <w:szCs w:val="21"/>
          <w:highlight w:val="none"/>
        </w:rPr>
        <w:t xml:space="preserve">  </w:t>
      </w:r>
    </w:p>
    <w:p w14:paraId="4EC1ABBB">
      <w:pPr>
        <w:spacing w:line="360" w:lineRule="auto"/>
        <w:ind w:firstLine="504"/>
        <w:jc w:val="center"/>
        <w:rPr>
          <w:rFonts w:ascii="黑体" w:hAnsi="黑体" w:eastAsia="黑体" w:cs="宋体"/>
          <w:b/>
          <w:bCs/>
          <w:spacing w:val="6"/>
          <w:kern w:val="0"/>
          <w:sz w:val="28"/>
          <w:szCs w:val="28"/>
          <w:highlight w:val="none"/>
        </w:rPr>
      </w:pPr>
      <w:r>
        <w:rPr>
          <w:rFonts w:hint="eastAsia" w:ascii="黑体" w:hAnsi="黑体" w:eastAsia="黑体" w:cs="黑体"/>
          <w:b/>
          <w:bCs/>
          <w:spacing w:val="6"/>
          <w:kern w:val="0"/>
          <w:sz w:val="28"/>
          <w:szCs w:val="28"/>
          <w:highlight w:val="none"/>
        </w:rPr>
        <w:t>中小企业声明函（货物类）</w:t>
      </w:r>
    </w:p>
    <w:p w14:paraId="5BA9E297">
      <w:pPr>
        <w:widowControl/>
        <w:adjustRightInd w:val="0"/>
        <w:snapToGrid w:val="0"/>
        <w:spacing w:line="360" w:lineRule="auto"/>
        <w:jc w:val="center"/>
        <w:rPr>
          <w:rFonts w:ascii="宋体" w:hAnsi="宋体" w:cs="宋体"/>
          <w:kern w:val="0"/>
          <w:szCs w:val="21"/>
          <w:highlight w:val="none"/>
          <w:lang w:bidi="ar"/>
        </w:rPr>
      </w:pPr>
      <w:r>
        <w:rPr>
          <w:rFonts w:hint="eastAsia" w:ascii="宋体" w:hAnsi="宋体" w:cs="宋体"/>
          <w:b/>
          <w:spacing w:val="6"/>
          <w:kern w:val="0"/>
          <w:szCs w:val="21"/>
          <w:highlight w:val="none"/>
        </w:rPr>
        <w:t>(不满足以下条件的无需填写)</w:t>
      </w:r>
    </w:p>
    <w:p w14:paraId="7BA6FCD0">
      <w:pPr>
        <w:rPr>
          <w:rFonts w:ascii="宋体" w:hAnsi="宋体" w:cs="宋体"/>
          <w:szCs w:val="21"/>
          <w:highlight w:val="none"/>
        </w:rPr>
      </w:pPr>
      <w:r>
        <w:rPr>
          <w:rFonts w:hint="eastAsia" w:ascii="宋体" w:hAnsi="宋体" w:cs="宋体"/>
          <w:kern w:val="0"/>
          <w:szCs w:val="21"/>
          <w:highlight w:val="none"/>
          <w:lang w:bidi="ar"/>
        </w:rPr>
        <w:t>本公司（联合体）郑重声明，根据《政府采购促进中小企业发展管理办法》（财库﹝2020﹞46 号）的规定，本公司（联合体）参加</w:t>
      </w:r>
      <w:r>
        <w:rPr>
          <w:rFonts w:hint="eastAsia" w:ascii="宋体" w:hAnsi="宋体" w:cs="宋体"/>
          <w:kern w:val="0"/>
          <w:szCs w:val="21"/>
          <w:highlight w:val="none"/>
          <w:u w:val="single"/>
          <w:lang w:bidi="ar"/>
        </w:rPr>
        <w:t>（单位名称）</w:t>
      </w:r>
      <w:r>
        <w:rPr>
          <w:rFonts w:hint="eastAsia" w:ascii="宋体" w:hAnsi="宋体" w:cs="宋体"/>
          <w:kern w:val="0"/>
          <w:szCs w:val="21"/>
          <w:highlight w:val="none"/>
          <w:lang w:bidi="ar"/>
        </w:rPr>
        <w:t>的</w:t>
      </w:r>
      <w:r>
        <w:rPr>
          <w:rFonts w:hint="eastAsia" w:ascii="宋体" w:hAnsi="宋体" w:cs="宋体"/>
          <w:kern w:val="0"/>
          <w:szCs w:val="21"/>
          <w:highlight w:val="none"/>
          <w:u w:val="single"/>
          <w:lang w:bidi="ar"/>
        </w:rPr>
        <w:t>（项目名称、</w:t>
      </w:r>
      <w:r>
        <w:rPr>
          <w:rFonts w:hint="eastAsia"/>
          <w:szCs w:val="21"/>
          <w:highlight w:val="none"/>
          <w:u w:val="single"/>
        </w:rPr>
        <w:t>包号及包名称</w:t>
      </w:r>
      <w:r>
        <w:rPr>
          <w:rFonts w:hint="eastAsia" w:ascii="宋体" w:hAnsi="宋体" w:cs="宋体"/>
          <w:kern w:val="0"/>
          <w:szCs w:val="21"/>
          <w:highlight w:val="none"/>
          <w:u w:val="single"/>
          <w:lang w:bidi="ar"/>
        </w:rPr>
        <w:t>）</w:t>
      </w:r>
      <w:r>
        <w:rPr>
          <w:rFonts w:hint="eastAsia" w:ascii="宋体" w:hAnsi="宋体" w:cs="宋体"/>
          <w:kern w:val="0"/>
          <w:szCs w:val="21"/>
          <w:highlight w:val="none"/>
          <w:lang w:bidi="ar"/>
        </w:rPr>
        <w:t xml:space="preserve">采购活动，提供的货物全部由符合政策要求的中小企业制造。相关企业（含联合体中的中小企业、签订分包意向协议的中小企业）的具体情况如下： </w:t>
      </w:r>
    </w:p>
    <w:p w14:paraId="385D4E4C">
      <w:pPr>
        <w:widowControl/>
        <w:spacing w:line="360" w:lineRule="auto"/>
        <w:ind w:firstLine="420" w:firstLineChars="200"/>
        <w:jc w:val="left"/>
        <w:rPr>
          <w:rFonts w:ascii="宋体" w:hAnsi="宋体" w:cs="宋体"/>
          <w:szCs w:val="21"/>
          <w:highlight w:val="none"/>
        </w:rPr>
      </w:pPr>
      <w:r>
        <w:rPr>
          <w:rFonts w:hint="eastAsia" w:ascii="宋体" w:hAnsi="宋体" w:cs="宋体"/>
          <w:kern w:val="0"/>
          <w:szCs w:val="21"/>
          <w:highlight w:val="none"/>
          <w:lang w:bidi="ar"/>
        </w:rPr>
        <w:t xml:space="preserve">1. </w:t>
      </w:r>
      <w:r>
        <w:rPr>
          <w:rFonts w:hint="eastAsia" w:ascii="宋体" w:hAnsi="宋体" w:cs="宋体"/>
          <w:kern w:val="0"/>
          <w:szCs w:val="21"/>
          <w:highlight w:val="none"/>
          <w:u w:val="single"/>
          <w:lang w:bidi="ar"/>
        </w:rPr>
        <w:t xml:space="preserve">（标的名称） </w:t>
      </w:r>
      <w:r>
        <w:rPr>
          <w:rFonts w:hint="eastAsia" w:ascii="宋体" w:hAnsi="宋体" w:cs="宋体"/>
          <w:kern w:val="0"/>
          <w:szCs w:val="21"/>
          <w:highlight w:val="none"/>
          <w:lang w:bidi="ar"/>
        </w:rPr>
        <w:t>，属于</w:t>
      </w:r>
      <w:r>
        <w:rPr>
          <w:rFonts w:hint="eastAsia" w:ascii="宋体" w:hAnsi="宋体" w:cs="宋体"/>
          <w:kern w:val="0"/>
          <w:szCs w:val="21"/>
          <w:highlight w:val="none"/>
          <w:u w:val="single"/>
          <w:lang w:bidi="ar"/>
        </w:rPr>
        <w:t>（采购文件中明确的所属行业）</w:t>
      </w:r>
      <w:r>
        <w:rPr>
          <w:rFonts w:hint="eastAsia" w:ascii="宋体" w:hAnsi="宋体" w:cs="宋体"/>
          <w:kern w:val="0"/>
          <w:szCs w:val="21"/>
          <w:highlight w:val="none"/>
          <w:lang w:bidi="ar"/>
        </w:rPr>
        <w:t>行业；制造商为</w:t>
      </w:r>
      <w:r>
        <w:rPr>
          <w:rFonts w:hint="eastAsia" w:ascii="宋体" w:hAnsi="宋体" w:cs="宋体"/>
          <w:kern w:val="0"/>
          <w:szCs w:val="21"/>
          <w:highlight w:val="none"/>
          <w:u w:val="single"/>
          <w:lang w:bidi="ar"/>
        </w:rPr>
        <w:t>（企业名称）</w:t>
      </w:r>
      <w:r>
        <w:rPr>
          <w:rFonts w:hint="eastAsia" w:ascii="宋体" w:hAnsi="宋体" w:cs="宋体"/>
          <w:kern w:val="0"/>
          <w:szCs w:val="21"/>
          <w:highlight w:val="none"/>
          <w:lang w:bidi="ar"/>
        </w:rPr>
        <w:t>，从业人员</w:t>
      </w:r>
      <w:r>
        <w:rPr>
          <w:rFonts w:hint="eastAsia" w:ascii="宋体" w:hAnsi="宋体" w:cs="宋体"/>
          <w:kern w:val="0"/>
          <w:szCs w:val="21"/>
          <w:highlight w:val="none"/>
          <w:u w:val="single"/>
          <w:lang w:bidi="ar"/>
        </w:rPr>
        <w:t xml:space="preserve">      </w:t>
      </w:r>
      <w:r>
        <w:rPr>
          <w:rFonts w:hint="eastAsia" w:ascii="宋体" w:hAnsi="宋体" w:cs="宋体"/>
          <w:kern w:val="0"/>
          <w:szCs w:val="21"/>
          <w:highlight w:val="none"/>
          <w:lang w:bidi="ar"/>
        </w:rPr>
        <w:t>人，营业收入为</w:t>
      </w:r>
      <w:r>
        <w:rPr>
          <w:rFonts w:hint="eastAsia" w:ascii="宋体" w:hAnsi="宋体" w:cs="宋体"/>
          <w:kern w:val="0"/>
          <w:szCs w:val="21"/>
          <w:highlight w:val="none"/>
          <w:u w:val="single"/>
          <w:lang w:bidi="ar"/>
        </w:rPr>
        <w:t xml:space="preserve">       </w:t>
      </w:r>
      <w:r>
        <w:rPr>
          <w:rFonts w:hint="eastAsia" w:ascii="宋体" w:hAnsi="宋体" w:cs="宋体"/>
          <w:kern w:val="0"/>
          <w:szCs w:val="21"/>
          <w:highlight w:val="none"/>
          <w:lang w:bidi="ar"/>
        </w:rPr>
        <w:t>万元，资产总额为</w:t>
      </w:r>
      <w:r>
        <w:rPr>
          <w:rFonts w:hint="eastAsia" w:ascii="宋体" w:hAnsi="宋体" w:cs="宋体"/>
          <w:kern w:val="0"/>
          <w:szCs w:val="21"/>
          <w:highlight w:val="none"/>
          <w:u w:val="single"/>
          <w:lang w:bidi="ar"/>
        </w:rPr>
        <w:t xml:space="preserve">       </w:t>
      </w:r>
      <w:r>
        <w:rPr>
          <w:rFonts w:hint="eastAsia" w:ascii="宋体" w:hAnsi="宋体" w:cs="宋体"/>
          <w:kern w:val="0"/>
          <w:szCs w:val="21"/>
          <w:highlight w:val="none"/>
          <w:lang w:bidi="ar"/>
        </w:rPr>
        <w:t>万元，属于</w:t>
      </w:r>
      <w:r>
        <w:rPr>
          <w:rFonts w:hint="eastAsia" w:ascii="宋体" w:hAnsi="宋体" w:cs="宋体"/>
          <w:kern w:val="0"/>
          <w:szCs w:val="21"/>
          <w:highlight w:val="none"/>
          <w:u w:val="single"/>
          <w:lang w:bidi="ar"/>
        </w:rPr>
        <w:t>（中型企业、小型企业、微型企业）</w:t>
      </w:r>
      <w:r>
        <w:rPr>
          <w:rFonts w:hint="eastAsia" w:ascii="宋体" w:hAnsi="宋体" w:cs="宋体"/>
          <w:kern w:val="0"/>
          <w:szCs w:val="21"/>
          <w:highlight w:val="none"/>
          <w:lang w:bidi="ar"/>
        </w:rPr>
        <w:t xml:space="preserve">； </w:t>
      </w:r>
    </w:p>
    <w:p w14:paraId="383B4356">
      <w:pPr>
        <w:widowControl/>
        <w:spacing w:line="360" w:lineRule="auto"/>
        <w:ind w:firstLine="420" w:firstLineChars="200"/>
        <w:jc w:val="left"/>
        <w:rPr>
          <w:rFonts w:ascii="宋体" w:hAnsi="宋体" w:cs="宋体"/>
          <w:szCs w:val="21"/>
          <w:highlight w:val="none"/>
        </w:rPr>
      </w:pPr>
      <w:r>
        <w:rPr>
          <w:rFonts w:hint="eastAsia" w:ascii="宋体" w:hAnsi="宋体" w:cs="宋体"/>
          <w:kern w:val="0"/>
          <w:szCs w:val="21"/>
          <w:highlight w:val="none"/>
          <w:lang w:bidi="ar"/>
        </w:rPr>
        <w:t xml:space="preserve">2. </w:t>
      </w:r>
      <w:r>
        <w:rPr>
          <w:rFonts w:hint="eastAsia" w:ascii="宋体" w:hAnsi="宋体" w:cs="宋体"/>
          <w:kern w:val="0"/>
          <w:szCs w:val="21"/>
          <w:highlight w:val="none"/>
          <w:u w:val="single"/>
          <w:lang w:bidi="ar"/>
        </w:rPr>
        <w:t xml:space="preserve">（标的名称） </w:t>
      </w:r>
      <w:r>
        <w:rPr>
          <w:rFonts w:hint="eastAsia" w:ascii="宋体" w:hAnsi="宋体" w:cs="宋体"/>
          <w:kern w:val="0"/>
          <w:szCs w:val="21"/>
          <w:highlight w:val="none"/>
          <w:lang w:bidi="ar"/>
        </w:rPr>
        <w:t>，属于</w:t>
      </w:r>
      <w:r>
        <w:rPr>
          <w:rFonts w:hint="eastAsia" w:ascii="宋体" w:hAnsi="宋体" w:cs="宋体"/>
          <w:kern w:val="0"/>
          <w:szCs w:val="21"/>
          <w:highlight w:val="none"/>
          <w:u w:val="single"/>
          <w:lang w:bidi="ar"/>
        </w:rPr>
        <w:t>（采购文件中明确的所属行业）</w:t>
      </w:r>
      <w:r>
        <w:rPr>
          <w:rFonts w:hint="eastAsia" w:ascii="宋体" w:hAnsi="宋体" w:cs="宋体"/>
          <w:kern w:val="0"/>
          <w:szCs w:val="21"/>
          <w:highlight w:val="none"/>
          <w:lang w:bidi="ar"/>
        </w:rPr>
        <w:t>行业；制造商为</w:t>
      </w:r>
      <w:r>
        <w:rPr>
          <w:rFonts w:hint="eastAsia" w:ascii="宋体" w:hAnsi="宋体" w:cs="宋体"/>
          <w:kern w:val="0"/>
          <w:szCs w:val="21"/>
          <w:highlight w:val="none"/>
          <w:u w:val="single"/>
          <w:lang w:bidi="ar"/>
        </w:rPr>
        <w:t>（企业名称）</w:t>
      </w:r>
      <w:r>
        <w:rPr>
          <w:rFonts w:hint="eastAsia" w:ascii="宋体" w:hAnsi="宋体" w:cs="宋体"/>
          <w:kern w:val="0"/>
          <w:szCs w:val="21"/>
          <w:highlight w:val="none"/>
          <w:lang w:bidi="ar"/>
        </w:rPr>
        <w:t>，从业人员</w:t>
      </w:r>
      <w:r>
        <w:rPr>
          <w:rFonts w:hint="eastAsia" w:ascii="宋体" w:hAnsi="宋体" w:cs="宋体"/>
          <w:kern w:val="0"/>
          <w:szCs w:val="21"/>
          <w:highlight w:val="none"/>
          <w:u w:val="single"/>
          <w:lang w:bidi="ar"/>
        </w:rPr>
        <w:t xml:space="preserve">      </w:t>
      </w:r>
      <w:r>
        <w:rPr>
          <w:rFonts w:hint="eastAsia" w:ascii="宋体" w:hAnsi="宋体" w:cs="宋体"/>
          <w:kern w:val="0"/>
          <w:szCs w:val="21"/>
          <w:highlight w:val="none"/>
          <w:lang w:bidi="ar"/>
        </w:rPr>
        <w:t>人，营业收入为</w:t>
      </w:r>
      <w:r>
        <w:rPr>
          <w:rFonts w:hint="eastAsia" w:ascii="宋体" w:hAnsi="宋体" w:cs="宋体"/>
          <w:kern w:val="0"/>
          <w:szCs w:val="21"/>
          <w:highlight w:val="none"/>
          <w:u w:val="single"/>
          <w:lang w:bidi="ar"/>
        </w:rPr>
        <w:t xml:space="preserve">       </w:t>
      </w:r>
      <w:r>
        <w:rPr>
          <w:rFonts w:hint="eastAsia" w:ascii="宋体" w:hAnsi="宋体" w:cs="宋体"/>
          <w:kern w:val="0"/>
          <w:szCs w:val="21"/>
          <w:highlight w:val="none"/>
          <w:lang w:bidi="ar"/>
        </w:rPr>
        <w:t>万元，资产总额为</w:t>
      </w:r>
      <w:r>
        <w:rPr>
          <w:rFonts w:hint="eastAsia" w:ascii="宋体" w:hAnsi="宋体" w:cs="宋体"/>
          <w:kern w:val="0"/>
          <w:szCs w:val="21"/>
          <w:highlight w:val="none"/>
          <w:u w:val="single"/>
          <w:lang w:bidi="ar"/>
        </w:rPr>
        <w:t xml:space="preserve">       </w:t>
      </w:r>
      <w:r>
        <w:rPr>
          <w:rFonts w:hint="eastAsia" w:ascii="宋体" w:hAnsi="宋体" w:cs="宋体"/>
          <w:kern w:val="0"/>
          <w:szCs w:val="21"/>
          <w:highlight w:val="none"/>
          <w:lang w:bidi="ar"/>
        </w:rPr>
        <w:t>万元，属于</w:t>
      </w:r>
      <w:r>
        <w:rPr>
          <w:rFonts w:hint="eastAsia" w:ascii="宋体" w:hAnsi="宋体" w:cs="宋体"/>
          <w:kern w:val="0"/>
          <w:szCs w:val="21"/>
          <w:highlight w:val="none"/>
          <w:u w:val="single"/>
          <w:lang w:bidi="ar"/>
        </w:rPr>
        <w:t>（中型企业、小型企业、微型企业）</w:t>
      </w:r>
      <w:r>
        <w:rPr>
          <w:rFonts w:hint="eastAsia" w:ascii="宋体" w:hAnsi="宋体" w:cs="宋体"/>
          <w:kern w:val="0"/>
          <w:szCs w:val="21"/>
          <w:highlight w:val="none"/>
          <w:lang w:bidi="ar"/>
        </w:rPr>
        <w:t xml:space="preserve">；  </w:t>
      </w:r>
    </w:p>
    <w:p w14:paraId="5D61AE0F">
      <w:pPr>
        <w:widowControl/>
        <w:spacing w:line="360" w:lineRule="auto"/>
        <w:ind w:firstLine="420" w:firstLineChars="200"/>
        <w:jc w:val="left"/>
        <w:rPr>
          <w:rFonts w:ascii="宋体" w:hAnsi="宋体" w:cs="宋体"/>
          <w:szCs w:val="21"/>
          <w:highlight w:val="none"/>
        </w:rPr>
      </w:pPr>
      <w:r>
        <w:rPr>
          <w:rFonts w:hint="eastAsia" w:ascii="宋体" w:hAnsi="宋体" w:cs="宋体"/>
          <w:kern w:val="0"/>
          <w:szCs w:val="21"/>
          <w:highlight w:val="none"/>
          <w:lang w:bidi="ar"/>
        </w:rPr>
        <w:t>……</w:t>
      </w:r>
    </w:p>
    <w:p w14:paraId="3CCA8EA1">
      <w:pPr>
        <w:widowControl/>
        <w:spacing w:line="360" w:lineRule="auto"/>
        <w:ind w:firstLine="420" w:firstLineChars="200"/>
        <w:jc w:val="left"/>
        <w:rPr>
          <w:rFonts w:ascii="宋体" w:hAnsi="宋体" w:cs="宋体"/>
          <w:szCs w:val="21"/>
          <w:highlight w:val="none"/>
        </w:rPr>
      </w:pPr>
      <w:r>
        <w:rPr>
          <w:rFonts w:hint="eastAsia" w:ascii="宋体" w:hAnsi="宋体" w:cs="宋体"/>
          <w:kern w:val="0"/>
          <w:szCs w:val="21"/>
          <w:highlight w:val="none"/>
          <w:lang w:bidi="ar"/>
        </w:rPr>
        <w:t xml:space="preserve">以上企业，不属于大企业的分支机构，不存在控股股东为大企业的情形，也不存在与大企业的负责人为同一人的情形。本企业对上述声明内容的真实性负责。如有虚假，将依法承担相应责任。 </w:t>
      </w:r>
    </w:p>
    <w:p w14:paraId="103C047F">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24F39CDE">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29BDC1EA">
      <w:pPr>
        <w:widowControl/>
        <w:spacing w:line="360" w:lineRule="auto"/>
        <w:ind w:firstLine="420" w:firstLineChars="200"/>
        <w:jc w:val="left"/>
        <w:rPr>
          <w:rFonts w:ascii="宋体" w:hAnsi="宋体" w:cs="宋体"/>
          <w:szCs w:val="21"/>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r>
        <w:rPr>
          <w:rFonts w:hint="eastAsia" w:ascii="宋体" w:hAnsi="宋体" w:cs="宋体"/>
          <w:kern w:val="0"/>
          <w:szCs w:val="21"/>
          <w:highlight w:val="none"/>
          <w:lang w:bidi="ar"/>
        </w:rPr>
        <w:t xml:space="preserve"> </w:t>
      </w:r>
    </w:p>
    <w:p w14:paraId="70519B5B">
      <w:pPr>
        <w:widowControl/>
        <w:ind w:firstLine="360" w:firstLineChars="200"/>
        <w:jc w:val="left"/>
        <w:rPr>
          <w:rFonts w:ascii="宋体" w:hAnsi="宋体" w:cs="宋体"/>
          <w:kern w:val="0"/>
          <w:sz w:val="18"/>
          <w:szCs w:val="18"/>
          <w:highlight w:val="none"/>
          <w:lang w:bidi="ar"/>
        </w:rPr>
      </w:pPr>
    </w:p>
    <w:p w14:paraId="70677A9C">
      <w:pPr>
        <w:widowControl/>
        <w:ind w:firstLine="420" w:firstLineChars="200"/>
        <w:jc w:val="left"/>
        <w:rPr>
          <w:rFonts w:ascii="宋体" w:hAnsi="宋体" w:cs="宋体"/>
          <w:kern w:val="0"/>
          <w:szCs w:val="21"/>
          <w:highlight w:val="none"/>
          <w:lang w:bidi="ar"/>
        </w:rPr>
      </w:pPr>
      <w:r>
        <w:rPr>
          <w:rFonts w:hint="eastAsia" w:ascii="宋体" w:hAnsi="宋体" w:cs="宋体"/>
          <w:kern w:val="0"/>
          <w:szCs w:val="21"/>
          <w:highlight w:val="none"/>
          <w:lang w:bidi="ar"/>
        </w:rPr>
        <w:t>注：1.属于专门面向中小企业采购的政府采购货物类项目，投标人应按本声明函内容和格式如实声明采购标的制造商的企业规模，未提供本声明函或不符合《政府采购促进中小企业发展管理办法》（财库﹝2020﹞46 号）规定的，其</w:t>
      </w:r>
      <w:r>
        <w:rPr>
          <w:rFonts w:hint="eastAsia" w:ascii="宋体" w:hAnsi="宋体" w:cs="宋体"/>
          <w:b/>
          <w:bCs/>
          <w:kern w:val="0"/>
          <w:szCs w:val="21"/>
          <w:highlight w:val="none"/>
          <w:lang w:bidi="ar"/>
        </w:rPr>
        <w:t>投标无效。</w:t>
      </w:r>
    </w:p>
    <w:p w14:paraId="64B1FB01">
      <w:pPr>
        <w:widowControl/>
        <w:ind w:firstLine="420" w:firstLineChars="200"/>
        <w:jc w:val="left"/>
        <w:rPr>
          <w:rFonts w:ascii="黑体" w:hAnsi="华文中宋" w:eastAsia="黑体" w:cs="宋体"/>
          <w:bCs/>
          <w:spacing w:val="6"/>
          <w:kern w:val="0"/>
          <w:szCs w:val="21"/>
          <w:highlight w:val="none"/>
        </w:rPr>
      </w:pPr>
      <w:r>
        <w:rPr>
          <w:rFonts w:hint="eastAsia" w:ascii="宋体" w:hAnsi="宋体" w:cs="宋体"/>
          <w:kern w:val="0"/>
          <w:szCs w:val="21"/>
          <w:highlight w:val="none"/>
          <w:lang w:bidi="ar"/>
        </w:rPr>
        <w:t>2.从业人员、营业收入、资产总额填报上一年度数据，无上一年度数据的新成立企业可不填报。</w:t>
      </w:r>
    </w:p>
    <w:p w14:paraId="6E2AA7E6">
      <w:pPr>
        <w:rPr>
          <w:rFonts w:ascii="黑体" w:hAnsi="黑体" w:eastAsia="黑体"/>
          <w:sz w:val="28"/>
          <w:szCs w:val="28"/>
          <w:highlight w:val="none"/>
        </w:rPr>
      </w:pPr>
      <w:r>
        <w:rPr>
          <w:rFonts w:hint="eastAsia" w:ascii="黑体" w:hAnsi="黑体" w:eastAsia="黑体"/>
          <w:sz w:val="28"/>
          <w:szCs w:val="28"/>
          <w:highlight w:val="none"/>
        </w:rPr>
        <w:br w:type="page"/>
      </w:r>
    </w:p>
    <w:p w14:paraId="2C56D606">
      <w:pPr>
        <w:spacing w:line="588" w:lineRule="exact"/>
        <w:jc w:val="center"/>
        <w:rPr>
          <w:rFonts w:ascii="黑体" w:hAnsi="黑体" w:eastAsia="黑体"/>
          <w:sz w:val="28"/>
          <w:szCs w:val="28"/>
          <w:highlight w:val="none"/>
        </w:rPr>
      </w:pPr>
      <w:r>
        <w:rPr>
          <w:rFonts w:hint="eastAsia" w:ascii="黑体" w:hAnsi="黑体" w:eastAsia="黑体"/>
          <w:sz w:val="28"/>
          <w:szCs w:val="28"/>
          <w:highlight w:val="none"/>
        </w:rPr>
        <w:t>八、</w:t>
      </w:r>
      <w:r>
        <w:rPr>
          <w:rFonts w:hint="eastAsia" w:ascii="黑体" w:hAnsi="黑体" w:eastAsia="黑体" w:cs="黑体"/>
          <w:spacing w:val="6"/>
          <w:sz w:val="28"/>
          <w:szCs w:val="28"/>
          <w:highlight w:val="none"/>
        </w:rPr>
        <w:t>享受政府采购政策优惠的证明资料和清单表</w:t>
      </w:r>
    </w:p>
    <w:p w14:paraId="1B72408C">
      <w:pPr>
        <w:spacing w:line="588" w:lineRule="exact"/>
        <w:rPr>
          <w:rFonts w:ascii="黑体" w:hAnsi="黑体" w:eastAsia="黑体" w:cs="黑体"/>
          <w:b/>
          <w:bCs/>
          <w:szCs w:val="21"/>
          <w:highlight w:val="none"/>
        </w:rPr>
      </w:pPr>
      <w:r>
        <w:rPr>
          <w:rFonts w:hint="eastAsia" w:ascii="黑体" w:hAnsi="黑体" w:eastAsia="黑体" w:cs="黑体"/>
          <w:b/>
          <w:bCs/>
          <w:szCs w:val="21"/>
          <w:highlight w:val="none"/>
        </w:rPr>
        <w:t>附件8-1</w:t>
      </w:r>
    </w:p>
    <w:p w14:paraId="0F2E7FE2">
      <w:pPr>
        <w:spacing w:line="588" w:lineRule="exact"/>
        <w:jc w:val="center"/>
        <w:rPr>
          <w:rFonts w:ascii="仿宋_GB2312" w:eastAsia="仿宋_GB2312"/>
          <w:b/>
          <w:bCs/>
          <w:spacing w:val="6"/>
          <w:sz w:val="32"/>
          <w:szCs w:val="32"/>
          <w:highlight w:val="none"/>
        </w:rPr>
      </w:pPr>
      <w:r>
        <w:rPr>
          <w:rFonts w:hint="eastAsia" w:ascii="黑体" w:hAnsi="黑体" w:eastAsia="黑体" w:cs="仿宋_GB2312"/>
          <w:b/>
          <w:bCs/>
          <w:spacing w:val="6"/>
          <w:sz w:val="28"/>
          <w:szCs w:val="28"/>
          <w:highlight w:val="none"/>
        </w:rPr>
        <w:t>残疾人福利性单位声明函</w:t>
      </w:r>
    </w:p>
    <w:p w14:paraId="312341D6">
      <w:pPr>
        <w:pStyle w:val="4"/>
        <w:rPr>
          <w:highlight w:val="none"/>
        </w:rPr>
      </w:pPr>
    </w:p>
    <w:p w14:paraId="538D574C">
      <w:pPr>
        <w:rPr>
          <w:rFonts w:ascii="宋体" w:hAnsi="宋体" w:cs="仿宋_GB2312"/>
          <w:spacing w:val="6"/>
          <w:szCs w:val="21"/>
          <w:highlight w:val="none"/>
        </w:rPr>
      </w:pPr>
    </w:p>
    <w:p w14:paraId="54ECB1AA">
      <w:pPr>
        <w:ind w:firstLine="444" w:firstLineChars="200"/>
        <w:rPr>
          <w:rFonts w:ascii="宋体" w:hAnsi="宋体"/>
          <w:spacing w:val="6"/>
          <w:szCs w:val="21"/>
          <w:highlight w:val="none"/>
        </w:rPr>
      </w:pPr>
      <w:r>
        <w:rPr>
          <w:rFonts w:hint="eastAsia" w:ascii="宋体" w:hAnsi="宋体" w:cs="仿宋_GB2312"/>
          <w:spacing w:val="6"/>
          <w:szCs w:val="21"/>
          <w:highlight w:val="none"/>
        </w:rPr>
        <w:t>本单位郑重声明，根据《财政部</w:t>
      </w:r>
      <w:r>
        <w:rPr>
          <w:rFonts w:ascii="宋体" w:hAnsi="宋体" w:cs="仿宋_GB2312"/>
          <w:spacing w:val="6"/>
          <w:szCs w:val="21"/>
          <w:highlight w:val="none"/>
        </w:rPr>
        <w:t xml:space="preserve"> </w:t>
      </w:r>
      <w:r>
        <w:rPr>
          <w:rFonts w:hint="eastAsia" w:ascii="宋体" w:hAnsi="宋体" w:cs="仿宋_GB2312"/>
          <w:spacing w:val="6"/>
          <w:szCs w:val="21"/>
          <w:highlight w:val="none"/>
        </w:rPr>
        <w:t>民政部</w:t>
      </w:r>
      <w:r>
        <w:rPr>
          <w:rFonts w:ascii="宋体" w:hAnsi="宋体" w:cs="仿宋_GB2312"/>
          <w:spacing w:val="6"/>
          <w:szCs w:val="21"/>
          <w:highlight w:val="none"/>
        </w:rPr>
        <w:t xml:space="preserve"> </w:t>
      </w:r>
      <w:r>
        <w:rPr>
          <w:rFonts w:hint="eastAsia" w:ascii="宋体" w:hAnsi="宋体" w:cs="仿宋_GB2312"/>
          <w:spacing w:val="6"/>
          <w:szCs w:val="21"/>
          <w:highlight w:val="none"/>
        </w:rPr>
        <w:t>中国残疾人联合会关于促进残疾人就业政府采购政策的通知》（财库</w:t>
      </w:r>
      <w:r>
        <w:rPr>
          <w:rFonts w:hint="eastAsia" w:ascii="宋体" w:hAnsi="宋体" w:cs="仿宋_GB2312"/>
          <w:szCs w:val="21"/>
          <w:highlight w:val="none"/>
        </w:rPr>
        <w:t>〔</w:t>
      </w:r>
      <w:r>
        <w:rPr>
          <w:rFonts w:ascii="宋体" w:hAnsi="宋体" w:cs="仿宋_GB2312"/>
          <w:szCs w:val="21"/>
          <w:highlight w:val="none"/>
        </w:rPr>
        <w:t>2017</w:t>
      </w:r>
      <w:r>
        <w:rPr>
          <w:rFonts w:hint="eastAsia" w:ascii="宋体" w:hAnsi="宋体" w:cs="仿宋_GB2312"/>
          <w:szCs w:val="21"/>
          <w:highlight w:val="none"/>
        </w:rPr>
        <w:t>〕</w:t>
      </w:r>
      <w:r>
        <w:rPr>
          <w:rFonts w:ascii="宋体" w:hAnsi="宋体" w:cs="仿宋_GB2312"/>
          <w:szCs w:val="21"/>
          <w:highlight w:val="none"/>
        </w:rPr>
        <w:t xml:space="preserve"> 141</w:t>
      </w:r>
      <w:r>
        <w:rPr>
          <w:rFonts w:hint="eastAsia" w:ascii="宋体" w:hAnsi="宋体" w:cs="仿宋_GB2312"/>
          <w:spacing w:val="6"/>
          <w:szCs w:val="21"/>
          <w:highlight w:val="none"/>
        </w:rPr>
        <w:t>号）的规定，本单位为符合条件的残疾人福利性单位，且本单位参加</w:t>
      </w:r>
      <w:r>
        <w:rPr>
          <w:rFonts w:ascii="宋体" w:hAnsi="宋体" w:cs="仿宋_GB2312"/>
          <w:spacing w:val="6"/>
          <w:szCs w:val="21"/>
          <w:highlight w:val="none"/>
          <w:u w:val="single"/>
        </w:rPr>
        <w:t>______</w:t>
      </w:r>
      <w:r>
        <w:rPr>
          <w:rFonts w:hint="eastAsia" w:ascii="宋体" w:hAnsi="宋体" w:cs="仿宋_GB2312"/>
          <w:spacing w:val="6"/>
          <w:szCs w:val="21"/>
          <w:highlight w:val="none"/>
        </w:rPr>
        <w:t>单位的</w:t>
      </w:r>
      <w:r>
        <w:rPr>
          <w:rFonts w:ascii="宋体" w:hAnsi="宋体" w:cs="仿宋_GB2312"/>
          <w:spacing w:val="6"/>
          <w:szCs w:val="21"/>
          <w:highlight w:val="none"/>
          <w:u w:val="single"/>
        </w:rPr>
        <w:t>______</w:t>
      </w:r>
      <w:r>
        <w:rPr>
          <w:rFonts w:hint="eastAsia" w:ascii="宋体" w:hAnsi="宋体" w:cs="仿宋_GB2312"/>
          <w:spacing w:val="6"/>
          <w:szCs w:val="21"/>
          <w:highlight w:val="none"/>
        </w:rPr>
        <w:t>项目（</w:t>
      </w:r>
      <w:r>
        <w:rPr>
          <w:rFonts w:hint="eastAsia"/>
          <w:szCs w:val="21"/>
          <w:highlight w:val="none"/>
          <w:u w:val="single"/>
        </w:rPr>
        <w:t>包号及包名称</w:t>
      </w:r>
      <w:r>
        <w:rPr>
          <w:rFonts w:hint="eastAsia" w:ascii="宋体" w:hAnsi="宋体" w:cs="仿宋_GB2312"/>
          <w:spacing w:val="6"/>
          <w:szCs w:val="21"/>
          <w:highlight w:val="none"/>
        </w:rPr>
        <w:t>）采购活动提供本单位制造的货物（由本单位承担工程</w:t>
      </w:r>
      <w:r>
        <w:rPr>
          <w:rFonts w:ascii="宋体" w:hAnsi="宋体" w:cs="仿宋_GB2312"/>
          <w:spacing w:val="6"/>
          <w:szCs w:val="21"/>
          <w:highlight w:val="none"/>
        </w:rPr>
        <w:t>/</w:t>
      </w:r>
      <w:r>
        <w:rPr>
          <w:rFonts w:hint="eastAsia" w:ascii="宋体" w:hAnsi="宋体" w:cs="仿宋_GB2312"/>
          <w:spacing w:val="6"/>
          <w:szCs w:val="21"/>
          <w:highlight w:val="none"/>
        </w:rPr>
        <w:t>提供服务），或者提供其他残疾人福利性单位制造的货物（不包括使用非残疾人福利性单位注册商标的货物）。</w:t>
      </w:r>
    </w:p>
    <w:p w14:paraId="00EDE19F">
      <w:pPr>
        <w:spacing w:line="588" w:lineRule="exact"/>
        <w:ind w:firstLine="444" w:firstLineChars="200"/>
        <w:rPr>
          <w:rFonts w:ascii="宋体" w:hAnsi="宋体"/>
          <w:spacing w:val="6"/>
          <w:szCs w:val="21"/>
          <w:highlight w:val="none"/>
        </w:rPr>
      </w:pPr>
      <w:r>
        <w:rPr>
          <w:rFonts w:hint="eastAsia" w:ascii="宋体" w:hAnsi="宋体" w:cs="仿宋_GB2312"/>
          <w:spacing w:val="6"/>
          <w:szCs w:val="21"/>
          <w:highlight w:val="none"/>
        </w:rPr>
        <w:t>本单位对上述声明的真实性负责。如有虚假，将依法承担相应责任。</w:t>
      </w:r>
    </w:p>
    <w:p w14:paraId="3B3E92A5">
      <w:pPr>
        <w:spacing w:line="588" w:lineRule="exact"/>
        <w:ind w:firstLine="444" w:firstLineChars="200"/>
        <w:rPr>
          <w:rFonts w:ascii="宋体" w:hAnsi="宋体"/>
          <w:spacing w:val="6"/>
          <w:szCs w:val="21"/>
          <w:highlight w:val="none"/>
        </w:rPr>
      </w:pPr>
    </w:p>
    <w:p w14:paraId="01C1F8FC">
      <w:pPr>
        <w:spacing w:line="588" w:lineRule="exact"/>
        <w:ind w:firstLine="444" w:firstLineChars="200"/>
        <w:rPr>
          <w:rFonts w:ascii="宋体" w:hAnsi="宋体"/>
          <w:spacing w:val="6"/>
          <w:szCs w:val="21"/>
          <w:highlight w:val="none"/>
        </w:rPr>
      </w:pPr>
    </w:p>
    <w:p w14:paraId="50869956">
      <w:pPr>
        <w:adjustRightInd w:val="0"/>
        <w:snapToGrid w:val="0"/>
        <w:spacing w:before="50" w:line="360" w:lineRule="auto"/>
        <w:jc w:val="left"/>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2DB921BB">
      <w:pPr>
        <w:adjustRightInd w:val="0"/>
        <w:snapToGrid w:val="0"/>
        <w:spacing w:line="360" w:lineRule="auto"/>
        <w:jc w:val="left"/>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65FF2E6F">
      <w:pPr>
        <w:tabs>
          <w:tab w:val="left" w:pos="4860"/>
        </w:tabs>
        <w:spacing w:line="588" w:lineRule="exact"/>
        <w:ind w:right="1560"/>
        <w:jc w:val="left"/>
        <w:rPr>
          <w:rFonts w:ascii="宋体" w:hAnsi="宋体"/>
          <w:spacing w:val="6"/>
          <w:szCs w:val="21"/>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p>
    <w:p w14:paraId="61819A83">
      <w:pPr>
        <w:spacing w:line="400" w:lineRule="exact"/>
        <w:jc w:val="left"/>
        <w:rPr>
          <w:highlight w:val="none"/>
        </w:rPr>
      </w:pPr>
    </w:p>
    <w:p w14:paraId="3F927CD6">
      <w:pPr>
        <w:adjustRightInd w:val="0"/>
        <w:snapToGrid w:val="0"/>
        <w:spacing w:line="360" w:lineRule="auto"/>
        <w:jc w:val="left"/>
        <w:rPr>
          <w:rFonts w:ascii="黑体" w:hAnsi="黑体" w:eastAsia="黑体" w:cs="黑体"/>
          <w:b/>
          <w:bCs/>
          <w:szCs w:val="21"/>
          <w:highlight w:val="none"/>
        </w:rPr>
      </w:pPr>
      <w:r>
        <w:rPr>
          <w:rFonts w:hint="eastAsia" w:ascii="黑体" w:hAnsi="黑体" w:eastAsia="黑体" w:cs="黑体"/>
          <w:b/>
          <w:bCs/>
          <w:szCs w:val="21"/>
          <w:highlight w:val="none"/>
        </w:rPr>
        <w:t xml:space="preserve">附件8-2                          </w:t>
      </w:r>
    </w:p>
    <w:p w14:paraId="26C777FE">
      <w:pPr>
        <w:spacing w:line="588" w:lineRule="exact"/>
        <w:jc w:val="center"/>
        <w:rPr>
          <w:rFonts w:ascii="黑体" w:hAnsi="黑体" w:eastAsia="黑体" w:cs="仿宋_GB2312"/>
          <w:b/>
          <w:bCs/>
          <w:spacing w:val="6"/>
          <w:sz w:val="28"/>
          <w:szCs w:val="28"/>
          <w:highlight w:val="none"/>
        </w:rPr>
      </w:pPr>
      <w:r>
        <w:rPr>
          <w:rFonts w:hint="eastAsia" w:ascii="黑体" w:hAnsi="黑体" w:eastAsia="黑体" w:cs="仿宋_GB2312"/>
          <w:b/>
          <w:bCs/>
          <w:spacing w:val="6"/>
          <w:sz w:val="28"/>
          <w:szCs w:val="28"/>
          <w:highlight w:val="none"/>
        </w:rPr>
        <w:t>监狱企业证明资料</w:t>
      </w:r>
    </w:p>
    <w:p w14:paraId="2A6A9207">
      <w:pPr>
        <w:adjustRightInd w:val="0"/>
        <w:snapToGrid w:val="0"/>
        <w:spacing w:line="360" w:lineRule="auto"/>
        <w:rPr>
          <w:rFonts w:ascii="宋体" w:hAnsi="宋体"/>
          <w:b/>
          <w:spacing w:val="6"/>
          <w:szCs w:val="21"/>
          <w:highlight w:val="none"/>
        </w:rPr>
      </w:pPr>
    </w:p>
    <w:p w14:paraId="6A75EE59">
      <w:pPr>
        <w:adjustRightInd w:val="0"/>
        <w:snapToGrid w:val="0"/>
        <w:spacing w:line="360" w:lineRule="auto"/>
        <w:ind w:firstLine="420" w:firstLineChars="200"/>
        <w:rPr>
          <w:rFonts w:ascii="宋体" w:hAnsi="宋体"/>
          <w:szCs w:val="21"/>
          <w:highlight w:val="none"/>
        </w:rPr>
      </w:pPr>
      <w:r>
        <w:rPr>
          <w:rFonts w:hint="eastAsia" w:ascii="宋体" w:hAnsi="宋体"/>
          <w:bCs/>
          <w:szCs w:val="21"/>
          <w:highlight w:val="none"/>
        </w:rPr>
        <w:t>注</w:t>
      </w:r>
      <w:r>
        <w:rPr>
          <w:rFonts w:hint="eastAsia" w:ascii="宋体" w:hAnsi="宋体" w:cs="宋体"/>
          <w:bCs/>
          <w:spacing w:val="6"/>
          <w:kern w:val="0"/>
          <w:szCs w:val="21"/>
          <w:highlight w:val="none"/>
        </w:rPr>
        <w:t>：</w:t>
      </w:r>
      <w:r>
        <w:rPr>
          <w:rFonts w:hint="eastAsia" w:ascii="宋体" w:hAnsi="宋体"/>
          <w:szCs w:val="21"/>
          <w:highlight w:val="none"/>
        </w:rPr>
        <w:t>按</w:t>
      </w:r>
      <w:r>
        <w:rPr>
          <w:rFonts w:hint="eastAsia" w:ascii="宋体" w:hAnsi="宋体"/>
          <w:spacing w:val="6"/>
          <w:szCs w:val="21"/>
          <w:highlight w:val="none"/>
        </w:rPr>
        <w:t>《</w:t>
      </w:r>
      <w:r>
        <w:rPr>
          <w:rFonts w:hint="eastAsia" w:ascii="宋体" w:hAnsi="宋体"/>
          <w:szCs w:val="21"/>
          <w:highlight w:val="none"/>
        </w:rPr>
        <w:t>财政部司法部关于政府采购支持监狱企业发展有关问题的通知</w:t>
      </w:r>
      <w:r>
        <w:rPr>
          <w:rFonts w:hint="eastAsia" w:ascii="宋体" w:hAnsi="宋体"/>
          <w:spacing w:val="6"/>
          <w:szCs w:val="21"/>
          <w:highlight w:val="none"/>
        </w:rPr>
        <w:t>》</w:t>
      </w:r>
      <w:r>
        <w:rPr>
          <w:rFonts w:hint="eastAsia" w:ascii="宋体" w:hAnsi="宋体"/>
          <w:szCs w:val="21"/>
          <w:highlight w:val="none"/>
        </w:rPr>
        <w:t>(财库〔2014〕68号)文件规定提供证明文件。</w:t>
      </w:r>
    </w:p>
    <w:p w14:paraId="2AB4D499">
      <w:pPr>
        <w:rPr>
          <w:rFonts w:ascii="黑体" w:hAnsi="黑体"/>
          <w:szCs w:val="21"/>
          <w:highlight w:val="none"/>
        </w:rPr>
      </w:pPr>
    </w:p>
    <w:p w14:paraId="1C386496">
      <w:pPr>
        <w:pStyle w:val="69"/>
        <w:rPr>
          <w:rFonts w:ascii="宋体" w:hAnsi="宋体"/>
          <w:szCs w:val="21"/>
          <w:highlight w:val="none"/>
        </w:rPr>
      </w:pPr>
    </w:p>
    <w:p w14:paraId="7658F69C">
      <w:pPr>
        <w:pStyle w:val="69"/>
        <w:rPr>
          <w:rFonts w:ascii="宋体" w:hAnsi="宋体"/>
          <w:szCs w:val="21"/>
          <w:highlight w:val="none"/>
        </w:rPr>
      </w:pPr>
    </w:p>
    <w:p w14:paraId="5EE871C1">
      <w:pPr>
        <w:pStyle w:val="69"/>
        <w:rPr>
          <w:rFonts w:ascii="宋体" w:hAnsi="宋体"/>
          <w:szCs w:val="21"/>
          <w:highlight w:val="none"/>
        </w:rPr>
      </w:pPr>
    </w:p>
    <w:p w14:paraId="06A4EE7B">
      <w:pPr>
        <w:pStyle w:val="69"/>
        <w:rPr>
          <w:rFonts w:ascii="宋体" w:hAnsi="宋体"/>
          <w:szCs w:val="21"/>
          <w:highlight w:val="none"/>
        </w:rPr>
      </w:pPr>
    </w:p>
    <w:p w14:paraId="17E2F43C">
      <w:pPr>
        <w:pStyle w:val="69"/>
        <w:rPr>
          <w:rFonts w:ascii="宋体" w:hAnsi="宋体"/>
          <w:szCs w:val="21"/>
          <w:highlight w:val="none"/>
        </w:rPr>
      </w:pPr>
    </w:p>
    <w:p w14:paraId="3F5491EE">
      <w:pPr>
        <w:rPr>
          <w:rFonts w:hint="eastAsia" w:ascii="宋体" w:hAnsi="宋体"/>
          <w:szCs w:val="21"/>
          <w:highlight w:val="none"/>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2751FC3C">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0"/>
        <w:jc w:val="left"/>
        <w:rPr>
          <w:rFonts w:hint="eastAsia"/>
          <w:highlight w:val="none"/>
          <w:lang w:eastAsia="zh-CN"/>
        </w:rPr>
      </w:pPr>
      <w:r>
        <w:rPr>
          <w:rFonts w:hint="eastAsia"/>
          <w:highlight w:val="none"/>
          <w:lang w:eastAsia="zh-CN"/>
        </w:rPr>
        <w:t>附：</w:t>
      </w:r>
    </w:p>
    <w:p w14:paraId="1445C5FB">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0"/>
        <w:jc w:val="center"/>
        <w:rPr>
          <w:rFonts w:hint="eastAsia" w:ascii="宋体" w:hAnsi="宋体" w:eastAsia="宋体" w:cs="宋体"/>
          <w:i w:val="0"/>
          <w:iCs w:val="0"/>
          <w:caps w:val="0"/>
          <w:color w:val="333333"/>
          <w:spacing w:val="0"/>
          <w:sz w:val="36"/>
          <w:szCs w:val="36"/>
          <w:highlight w:val="none"/>
        </w:rPr>
      </w:pPr>
      <w:r>
        <w:rPr>
          <w:rStyle w:val="46"/>
          <w:rFonts w:hint="eastAsia" w:ascii="宋体" w:hAnsi="宋体" w:eastAsia="宋体" w:cs="宋体"/>
          <w:i w:val="0"/>
          <w:iCs w:val="0"/>
          <w:caps w:val="0"/>
          <w:color w:val="333333"/>
          <w:spacing w:val="0"/>
          <w:sz w:val="36"/>
          <w:szCs w:val="36"/>
          <w:highlight w:val="none"/>
          <w:shd w:val="clear" w:color="auto" w:fill="FFFFFF"/>
        </w:rPr>
        <w:t>关于符合本国产品标准的声明函</w:t>
      </w:r>
    </w:p>
    <w:p w14:paraId="5129593C">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4"/>
          <w:szCs w:val="24"/>
          <w:highlight w:val="none"/>
        </w:rPr>
      </w:pPr>
    </w:p>
    <w:p w14:paraId="7023FD66">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本公司（单位）郑重声明，根据《国务院办公厅关于在政府采购中实施本国产品标准及相关政策的通知》（国办发〔2025〕34号）的规定，本公司（单位）提供的以下产品属于本国产品。具体情况如下：</w:t>
      </w:r>
    </w:p>
    <w:p w14:paraId="7D9B1D81">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1.</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（产品名称1）</w:t>
      </w:r>
      <w:r>
        <w:rPr>
          <w:rStyle w:val="49"/>
          <w:rFonts w:hint="eastAsia" w:ascii="宋体" w:hAnsi="宋体" w:eastAsia="宋体" w:cs="宋体"/>
          <w:i w:val="0"/>
          <w:iCs w:val="0"/>
          <w:caps w:val="0"/>
          <w:color w:val="333333"/>
          <w:spacing w:val="0"/>
          <w:sz w:val="21"/>
          <w:szCs w:val="21"/>
          <w:highlight w:val="none"/>
          <w:u w:val="none"/>
          <w:shd w:val="clear" w:color="auto" w:fill="FFFFFF"/>
          <w:vertAlign w:val="superscript"/>
        </w:rPr>
        <w:t>1</w:t>
      </w:r>
      <w:r>
        <w:rPr>
          <w:rFonts w:hint="eastAsia" w:ascii="宋体" w:hAnsi="宋体" w:eastAsia="宋体" w:cs="宋体"/>
          <w:i w:val="0"/>
          <w:iCs w:val="0"/>
          <w:caps w:val="0"/>
          <w:color w:val="333333"/>
          <w:spacing w:val="0"/>
          <w:sz w:val="21"/>
          <w:szCs w:val="21"/>
          <w:highlight w:val="none"/>
          <w:shd w:val="clear" w:color="auto" w:fill="FFFFFF"/>
        </w:rPr>
        <w:t>，生产厂为</w:t>
      </w:r>
      <w:r>
        <w:rPr>
          <w:rStyle w:val="49"/>
          <w:rFonts w:hint="eastAsia" w:ascii="宋体" w:hAnsi="宋体" w:eastAsia="宋体" w:cs="宋体"/>
          <w:i w:val="0"/>
          <w:iCs w:val="0"/>
          <w:caps w:val="0"/>
          <w:color w:val="333333"/>
          <w:spacing w:val="0"/>
          <w:sz w:val="21"/>
          <w:szCs w:val="21"/>
          <w:highlight w:val="none"/>
          <w:u w:val="single"/>
          <w:shd w:val="clear" w:color="auto" w:fill="FFFFFF"/>
        </w:rPr>
        <w:t>（厂名）</w:t>
      </w:r>
      <w:r>
        <w:rPr>
          <w:rStyle w:val="49"/>
          <w:rFonts w:hint="eastAsia" w:ascii="宋体" w:hAnsi="宋体" w:eastAsia="宋体" w:cs="宋体"/>
          <w:i w:val="0"/>
          <w:iCs w:val="0"/>
          <w:caps w:val="0"/>
          <w:color w:val="333333"/>
          <w:spacing w:val="0"/>
          <w:sz w:val="21"/>
          <w:szCs w:val="21"/>
          <w:highlight w:val="none"/>
          <w:u w:val="none"/>
          <w:shd w:val="clear" w:color="auto" w:fill="FFFFFF"/>
          <w:vertAlign w:val="superscript"/>
        </w:rPr>
        <w:t>2</w:t>
      </w:r>
      <w:r>
        <w:rPr>
          <w:rFonts w:hint="eastAsia" w:ascii="宋体" w:hAnsi="宋体" w:eastAsia="宋体" w:cs="宋体"/>
          <w:i w:val="0"/>
          <w:iCs w:val="0"/>
          <w:caps w:val="0"/>
          <w:color w:val="333333"/>
          <w:spacing w:val="0"/>
          <w:sz w:val="21"/>
          <w:szCs w:val="21"/>
          <w:highlight w:val="none"/>
          <w:shd w:val="clear" w:color="auto" w:fill="FFFFFF"/>
        </w:rPr>
        <w:t>，厂址为</w:t>
      </w:r>
      <w:r>
        <w:rPr>
          <w:rStyle w:val="49"/>
          <w:rFonts w:hint="eastAsia" w:ascii="宋体" w:hAnsi="宋体" w:eastAsia="宋体" w:cs="宋体"/>
          <w:i w:val="0"/>
          <w:iCs w:val="0"/>
          <w:caps w:val="0"/>
          <w:color w:val="333333"/>
          <w:spacing w:val="0"/>
          <w:sz w:val="21"/>
          <w:szCs w:val="21"/>
          <w:highlight w:val="none"/>
          <w:u w:val="single"/>
          <w:shd w:val="clear" w:color="auto" w:fill="FFFFFF"/>
        </w:rPr>
        <w:t>（生产厂址）</w:t>
      </w:r>
      <w:r>
        <w:rPr>
          <w:rFonts w:hint="eastAsia" w:ascii="宋体" w:hAnsi="宋体" w:eastAsia="宋体" w:cs="宋体"/>
          <w:i w:val="0"/>
          <w:iCs w:val="0"/>
          <w:caps w:val="0"/>
          <w:color w:val="333333"/>
          <w:spacing w:val="0"/>
          <w:sz w:val="21"/>
          <w:szCs w:val="21"/>
          <w:highlight w:val="none"/>
          <w:shd w:val="clear" w:color="auto" w:fill="FFFFFF"/>
        </w:rPr>
        <w:t>。</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（产品名称1）</w:t>
      </w:r>
      <w:r>
        <w:rPr>
          <w:rFonts w:hint="eastAsia" w:ascii="宋体" w:hAnsi="宋体" w:eastAsia="宋体" w:cs="宋体"/>
          <w:i w:val="0"/>
          <w:iCs w:val="0"/>
          <w:caps w:val="0"/>
          <w:color w:val="333333"/>
          <w:spacing w:val="0"/>
          <w:sz w:val="21"/>
          <w:szCs w:val="21"/>
          <w:highlight w:val="none"/>
          <w:shd w:val="clear" w:color="auto" w:fill="FFFFFF"/>
        </w:rPr>
        <w:t>的中国境内生产的组件成本占比≥</w:t>
      </w:r>
      <w:r>
        <w:rPr>
          <w:rStyle w:val="49"/>
          <w:rFonts w:hint="eastAsia" w:ascii="宋体" w:hAnsi="宋体" w:eastAsia="宋体" w:cs="宋体"/>
          <w:i w:val="0"/>
          <w:iCs w:val="0"/>
          <w:caps w:val="0"/>
          <w:color w:val="333333"/>
          <w:spacing w:val="0"/>
          <w:sz w:val="21"/>
          <w:szCs w:val="21"/>
          <w:highlight w:val="none"/>
          <w:u w:val="single"/>
          <w:shd w:val="clear" w:color="auto" w:fill="FFFFFF"/>
        </w:rPr>
        <w:t>（规定比例）</w:t>
      </w:r>
      <w:r>
        <w:rPr>
          <w:rStyle w:val="49"/>
          <w:rFonts w:hint="eastAsia" w:ascii="宋体" w:hAnsi="宋体" w:eastAsia="宋体" w:cs="宋体"/>
          <w:i w:val="0"/>
          <w:iCs w:val="0"/>
          <w:caps w:val="0"/>
          <w:color w:val="333333"/>
          <w:spacing w:val="0"/>
          <w:sz w:val="21"/>
          <w:szCs w:val="21"/>
          <w:highlight w:val="none"/>
          <w:u w:val="none"/>
          <w:shd w:val="clear" w:color="auto" w:fill="FFFFFF"/>
          <w:vertAlign w:val="superscript"/>
        </w:rPr>
        <w:t>3</w:t>
      </w:r>
      <w:r>
        <w:rPr>
          <w:rFonts w:hint="eastAsia" w:ascii="宋体" w:hAnsi="宋体" w:eastAsia="宋体" w:cs="宋体"/>
          <w:i w:val="0"/>
          <w:iCs w:val="0"/>
          <w:caps w:val="0"/>
          <w:color w:val="333333"/>
          <w:spacing w:val="0"/>
          <w:sz w:val="21"/>
          <w:szCs w:val="21"/>
          <w:highlight w:val="none"/>
          <w:shd w:val="clear" w:color="auto" w:fill="FFFFFF"/>
        </w:rPr>
        <w:t>。</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（产品名称1）</w:t>
      </w:r>
      <w:r>
        <w:rPr>
          <w:rFonts w:hint="eastAsia" w:ascii="宋体" w:hAnsi="宋体" w:eastAsia="宋体" w:cs="宋体"/>
          <w:i w:val="0"/>
          <w:iCs w:val="0"/>
          <w:caps w:val="0"/>
          <w:color w:val="333333"/>
          <w:spacing w:val="0"/>
          <w:sz w:val="21"/>
          <w:szCs w:val="21"/>
          <w:highlight w:val="none"/>
          <w:shd w:val="clear" w:color="auto" w:fill="FFFFFF"/>
        </w:rPr>
        <w:t>的</w:t>
      </w:r>
      <w:r>
        <w:rPr>
          <w:rStyle w:val="49"/>
          <w:rFonts w:hint="eastAsia" w:ascii="宋体" w:hAnsi="宋体" w:eastAsia="宋体" w:cs="宋体"/>
          <w:i w:val="0"/>
          <w:iCs w:val="0"/>
          <w:caps w:val="0"/>
          <w:color w:val="333333"/>
          <w:spacing w:val="0"/>
          <w:sz w:val="21"/>
          <w:szCs w:val="21"/>
          <w:highlight w:val="none"/>
          <w:u w:val="single"/>
          <w:shd w:val="clear" w:color="auto" w:fill="FFFFFF"/>
        </w:rPr>
        <w:t>（关键组件）</w:t>
      </w:r>
      <w:r>
        <w:rPr>
          <w:rStyle w:val="49"/>
          <w:rFonts w:hint="eastAsia" w:ascii="宋体" w:hAnsi="宋体" w:eastAsia="宋体" w:cs="宋体"/>
          <w:i w:val="0"/>
          <w:iCs w:val="0"/>
          <w:caps w:val="0"/>
          <w:color w:val="333333"/>
          <w:spacing w:val="0"/>
          <w:sz w:val="21"/>
          <w:szCs w:val="21"/>
          <w:highlight w:val="none"/>
          <w:u w:val="none"/>
          <w:shd w:val="clear" w:color="auto" w:fill="FFFFFF"/>
          <w:vertAlign w:val="superscript"/>
        </w:rPr>
        <w:t>4</w:t>
      </w:r>
      <w:r>
        <w:rPr>
          <w:rFonts w:hint="eastAsia" w:ascii="宋体" w:hAnsi="宋体" w:eastAsia="宋体" w:cs="宋体"/>
          <w:i w:val="0"/>
          <w:iCs w:val="0"/>
          <w:caps w:val="0"/>
          <w:color w:val="333333"/>
          <w:spacing w:val="0"/>
          <w:sz w:val="21"/>
          <w:szCs w:val="21"/>
          <w:highlight w:val="none"/>
          <w:shd w:val="clear" w:color="auto" w:fill="FFFFFF"/>
        </w:rPr>
        <w:t>在中国境内生产。</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（产品名称1）</w:t>
      </w:r>
      <w:r>
        <w:rPr>
          <w:rFonts w:hint="eastAsia" w:ascii="宋体" w:hAnsi="宋体" w:eastAsia="宋体" w:cs="宋体"/>
          <w:i w:val="0"/>
          <w:iCs w:val="0"/>
          <w:caps w:val="0"/>
          <w:color w:val="333333"/>
          <w:spacing w:val="0"/>
          <w:sz w:val="21"/>
          <w:szCs w:val="21"/>
          <w:highlight w:val="none"/>
          <w:shd w:val="clear" w:color="auto" w:fill="FFFFFF"/>
        </w:rPr>
        <w:t>的</w:t>
      </w:r>
      <w:r>
        <w:rPr>
          <w:rStyle w:val="49"/>
          <w:rFonts w:hint="eastAsia" w:ascii="宋体" w:hAnsi="宋体" w:eastAsia="宋体" w:cs="宋体"/>
          <w:i w:val="0"/>
          <w:iCs w:val="0"/>
          <w:caps w:val="0"/>
          <w:color w:val="333333"/>
          <w:spacing w:val="0"/>
          <w:sz w:val="21"/>
          <w:szCs w:val="21"/>
          <w:highlight w:val="none"/>
          <w:u w:val="single"/>
          <w:shd w:val="clear" w:color="auto" w:fill="FFFFFF"/>
        </w:rPr>
        <w:t>（关键工序）</w:t>
      </w:r>
      <w:r>
        <w:rPr>
          <w:rStyle w:val="49"/>
          <w:rFonts w:hint="eastAsia" w:ascii="宋体" w:hAnsi="宋体" w:eastAsia="宋体" w:cs="宋体"/>
          <w:i w:val="0"/>
          <w:iCs w:val="0"/>
          <w:caps w:val="0"/>
          <w:color w:val="333333"/>
          <w:spacing w:val="0"/>
          <w:sz w:val="21"/>
          <w:szCs w:val="21"/>
          <w:highlight w:val="none"/>
          <w:u w:val="none"/>
          <w:shd w:val="clear" w:color="auto" w:fill="FFFFFF"/>
          <w:vertAlign w:val="superscript"/>
        </w:rPr>
        <w:t>5</w:t>
      </w:r>
      <w:r>
        <w:rPr>
          <w:rFonts w:hint="eastAsia" w:ascii="宋体" w:hAnsi="宋体" w:eastAsia="宋体" w:cs="宋体"/>
          <w:i w:val="0"/>
          <w:iCs w:val="0"/>
          <w:caps w:val="0"/>
          <w:color w:val="333333"/>
          <w:spacing w:val="0"/>
          <w:sz w:val="21"/>
          <w:szCs w:val="21"/>
          <w:highlight w:val="none"/>
          <w:shd w:val="clear" w:color="auto" w:fill="FFFFFF"/>
        </w:rPr>
        <w:t>在中国境内完成。</w:t>
      </w:r>
    </w:p>
    <w:p w14:paraId="349A4AC2">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2.</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（产品名称2）</w:t>
      </w:r>
      <w:r>
        <w:rPr>
          <w:rFonts w:hint="eastAsia" w:ascii="宋体" w:hAnsi="宋体" w:eastAsia="宋体" w:cs="宋体"/>
          <w:i w:val="0"/>
          <w:iCs w:val="0"/>
          <w:caps w:val="0"/>
          <w:color w:val="333333"/>
          <w:spacing w:val="0"/>
          <w:sz w:val="21"/>
          <w:szCs w:val="21"/>
          <w:highlight w:val="none"/>
          <w:shd w:val="clear" w:color="auto" w:fill="FFFFFF"/>
        </w:rPr>
        <w:t>，生产厂为</w:t>
      </w:r>
      <w:r>
        <w:rPr>
          <w:rStyle w:val="49"/>
          <w:rFonts w:hint="eastAsia" w:ascii="宋体" w:hAnsi="宋体" w:eastAsia="宋体" w:cs="宋体"/>
          <w:i w:val="0"/>
          <w:iCs w:val="0"/>
          <w:caps w:val="0"/>
          <w:color w:val="333333"/>
          <w:spacing w:val="0"/>
          <w:sz w:val="21"/>
          <w:szCs w:val="21"/>
          <w:highlight w:val="none"/>
          <w:u w:val="single"/>
          <w:shd w:val="clear" w:color="auto" w:fill="FFFFFF"/>
        </w:rPr>
        <w:t>（厂名）</w:t>
      </w:r>
      <w:r>
        <w:rPr>
          <w:rFonts w:hint="eastAsia" w:ascii="宋体" w:hAnsi="宋体" w:eastAsia="宋体" w:cs="宋体"/>
          <w:i w:val="0"/>
          <w:iCs w:val="0"/>
          <w:caps w:val="0"/>
          <w:color w:val="333333"/>
          <w:spacing w:val="0"/>
          <w:sz w:val="21"/>
          <w:szCs w:val="21"/>
          <w:highlight w:val="none"/>
          <w:shd w:val="clear" w:color="auto" w:fill="FFFFFF"/>
        </w:rPr>
        <w:t>，厂址为</w:t>
      </w:r>
      <w:r>
        <w:rPr>
          <w:rStyle w:val="49"/>
          <w:rFonts w:hint="eastAsia" w:ascii="宋体" w:hAnsi="宋体" w:eastAsia="宋体" w:cs="宋体"/>
          <w:i w:val="0"/>
          <w:iCs w:val="0"/>
          <w:caps w:val="0"/>
          <w:color w:val="333333"/>
          <w:spacing w:val="0"/>
          <w:sz w:val="21"/>
          <w:szCs w:val="21"/>
          <w:highlight w:val="none"/>
          <w:u w:val="single"/>
          <w:shd w:val="clear" w:color="auto" w:fill="FFFFFF"/>
        </w:rPr>
        <w:t>（生产厂址）</w:t>
      </w:r>
      <w:r>
        <w:rPr>
          <w:rFonts w:hint="eastAsia" w:ascii="宋体" w:hAnsi="宋体" w:eastAsia="宋体" w:cs="宋体"/>
          <w:i w:val="0"/>
          <w:iCs w:val="0"/>
          <w:caps w:val="0"/>
          <w:color w:val="333333"/>
          <w:spacing w:val="0"/>
          <w:sz w:val="21"/>
          <w:szCs w:val="21"/>
          <w:highlight w:val="none"/>
          <w:shd w:val="clear" w:color="auto" w:fill="FFFFFF"/>
        </w:rPr>
        <w:t>。</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（产品名称2）</w:t>
      </w:r>
      <w:r>
        <w:rPr>
          <w:rFonts w:hint="eastAsia" w:ascii="宋体" w:hAnsi="宋体" w:eastAsia="宋体" w:cs="宋体"/>
          <w:i w:val="0"/>
          <w:iCs w:val="0"/>
          <w:caps w:val="0"/>
          <w:color w:val="333333"/>
          <w:spacing w:val="0"/>
          <w:sz w:val="21"/>
          <w:szCs w:val="21"/>
          <w:highlight w:val="none"/>
          <w:shd w:val="clear" w:color="auto" w:fill="FFFFFF"/>
        </w:rPr>
        <w:t>的中国境内生产的组件成本占比≥</w:t>
      </w:r>
      <w:r>
        <w:rPr>
          <w:rStyle w:val="49"/>
          <w:rFonts w:hint="eastAsia" w:ascii="宋体" w:hAnsi="宋体" w:eastAsia="宋体" w:cs="宋体"/>
          <w:i w:val="0"/>
          <w:iCs w:val="0"/>
          <w:caps w:val="0"/>
          <w:color w:val="333333"/>
          <w:spacing w:val="0"/>
          <w:sz w:val="21"/>
          <w:szCs w:val="21"/>
          <w:highlight w:val="none"/>
          <w:u w:val="single"/>
          <w:shd w:val="clear" w:color="auto" w:fill="FFFFFF"/>
        </w:rPr>
        <w:t>（规定比例）</w:t>
      </w:r>
      <w:r>
        <w:rPr>
          <w:rFonts w:hint="eastAsia" w:ascii="宋体" w:hAnsi="宋体" w:eastAsia="宋体" w:cs="宋体"/>
          <w:i w:val="0"/>
          <w:iCs w:val="0"/>
          <w:caps w:val="0"/>
          <w:color w:val="333333"/>
          <w:spacing w:val="0"/>
          <w:sz w:val="21"/>
          <w:szCs w:val="21"/>
          <w:highlight w:val="none"/>
          <w:shd w:val="clear" w:color="auto" w:fill="FFFFFF"/>
        </w:rPr>
        <w:t>。</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（产品名称2）</w:t>
      </w:r>
      <w:r>
        <w:rPr>
          <w:rFonts w:hint="eastAsia" w:ascii="宋体" w:hAnsi="宋体" w:eastAsia="宋体" w:cs="宋体"/>
          <w:i w:val="0"/>
          <w:iCs w:val="0"/>
          <w:caps w:val="0"/>
          <w:color w:val="333333"/>
          <w:spacing w:val="0"/>
          <w:sz w:val="21"/>
          <w:szCs w:val="21"/>
          <w:highlight w:val="none"/>
          <w:shd w:val="clear" w:color="auto" w:fill="FFFFFF"/>
        </w:rPr>
        <w:t>的</w:t>
      </w:r>
      <w:r>
        <w:rPr>
          <w:rStyle w:val="49"/>
          <w:rFonts w:hint="eastAsia" w:ascii="宋体" w:hAnsi="宋体" w:eastAsia="宋体" w:cs="宋体"/>
          <w:i w:val="0"/>
          <w:iCs w:val="0"/>
          <w:caps w:val="0"/>
          <w:color w:val="333333"/>
          <w:spacing w:val="0"/>
          <w:sz w:val="21"/>
          <w:szCs w:val="21"/>
          <w:highlight w:val="none"/>
          <w:u w:val="single"/>
          <w:shd w:val="clear" w:color="auto" w:fill="FFFFFF"/>
        </w:rPr>
        <w:t>（关键组件）</w:t>
      </w:r>
      <w:r>
        <w:rPr>
          <w:rFonts w:hint="eastAsia" w:ascii="宋体" w:hAnsi="宋体" w:eastAsia="宋体" w:cs="宋体"/>
          <w:i w:val="0"/>
          <w:iCs w:val="0"/>
          <w:caps w:val="0"/>
          <w:color w:val="333333"/>
          <w:spacing w:val="0"/>
          <w:sz w:val="21"/>
          <w:szCs w:val="21"/>
          <w:highlight w:val="none"/>
          <w:shd w:val="clear" w:color="auto" w:fill="FFFFFF"/>
        </w:rPr>
        <w:t>在中国境内生产。</w:t>
      </w:r>
      <w:r>
        <w:rPr>
          <w:rStyle w:val="49"/>
          <w:rFonts w:hint="eastAsia" w:ascii="宋体" w:hAnsi="宋体" w:eastAsia="宋体" w:cs="宋体"/>
          <w:i w:val="0"/>
          <w:iCs w:val="0"/>
          <w:caps w:val="0"/>
          <w:color w:val="333333"/>
          <w:spacing w:val="0"/>
          <w:sz w:val="21"/>
          <w:szCs w:val="21"/>
          <w:highlight w:val="none"/>
          <w:u w:val="single"/>
          <w:shd w:val="clear" w:color="auto" w:fill="FFFFFF"/>
        </w:rPr>
        <w:t>（产品名称2）</w:t>
      </w:r>
      <w:r>
        <w:rPr>
          <w:rFonts w:hint="eastAsia" w:ascii="宋体" w:hAnsi="宋体" w:eastAsia="宋体" w:cs="宋体"/>
          <w:i w:val="0"/>
          <w:iCs w:val="0"/>
          <w:caps w:val="0"/>
          <w:color w:val="333333"/>
          <w:spacing w:val="0"/>
          <w:sz w:val="21"/>
          <w:szCs w:val="21"/>
          <w:highlight w:val="none"/>
          <w:shd w:val="clear" w:color="auto" w:fill="FFFFFF"/>
        </w:rPr>
        <w:t>的</w:t>
      </w:r>
      <w:r>
        <w:rPr>
          <w:rStyle w:val="49"/>
          <w:rFonts w:hint="eastAsia" w:ascii="宋体" w:hAnsi="宋体" w:eastAsia="宋体" w:cs="宋体"/>
          <w:i w:val="0"/>
          <w:iCs w:val="0"/>
          <w:caps w:val="0"/>
          <w:color w:val="333333"/>
          <w:spacing w:val="0"/>
          <w:sz w:val="21"/>
          <w:szCs w:val="21"/>
          <w:highlight w:val="none"/>
          <w:u w:val="single"/>
          <w:shd w:val="clear" w:color="auto" w:fill="FFFFFF"/>
        </w:rPr>
        <w:t>（关键工序）</w:t>
      </w:r>
      <w:r>
        <w:rPr>
          <w:rFonts w:hint="eastAsia" w:ascii="宋体" w:hAnsi="宋体" w:eastAsia="宋体" w:cs="宋体"/>
          <w:i w:val="0"/>
          <w:iCs w:val="0"/>
          <w:caps w:val="0"/>
          <w:color w:val="333333"/>
          <w:spacing w:val="0"/>
          <w:sz w:val="21"/>
          <w:szCs w:val="21"/>
          <w:highlight w:val="none"/>
          <w:shd w:val="clear" w:color="auto" w:fill="FFFFFF"/>
        </w:rPr>
        <w:t>在中国境内完成。</w:t>
      </w:r>
    </w:p>
    <w:p w14:paraId="16599F93">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shd w:val="clear" w:color="auto" w:fill="FFFFFF"/>
        </w:rPr>
      </w:pPr>
      <w:r>
        <w:rPr>
          <w:rFonts w:hint="eastAsia" w:ascii="宋体" w:hAnsi="宋体" w:eastAsia="宋体" w:cs="宋体"/>
          <w:i w:val="0"/>
          <w:iCs w:val="0"/>
          <w:caps w:val="0"/>
          <w:color w:val="333333"/>
          <w:spacing w:val="0"/>
          <w:sz w:val="21"/>
          <w:szCs w:val="21"/>
          <w:highlight w:val="none"/>
          <w:shd w:val="clear" w:color="auto" w:fill="FFFFFF"/>
        </w:rPr>
        <w:t>……</w:t>
      </w:r>
    </w:p>
    <w:p w14:paraId="5EB348CE">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shd w:val="clear" w:color="auto" w:fill="FFFFFF"/>
          <w:lang w:eastAsia="zh-CN"/>
        </w:rPr>
      </w:pPr>
      <w:r>
        <w:rPr>
          <w:rFonts w:hint="eastAsia" w:ascii="宋体" w:hAnsi="宋体" w:eastAsia="宋体" w:cs="宋体"/>
          <w:i w:val="0"/>
          <w:iCs w:val="0"/>
          <w:caps w:val="0"/>
          <w:color w:val="333333"/>
          <w:spacing w:val="0"/>
          <w:sz w:val="21"/>
          <w:szCs w:val="21"/>
          <w:highlight w:val="none"/>
          <w:shd w:val="clear" w:color="auto" w:fill="FFFFFF"/>
          <w:lang w:eastAsia="zh-CN"/>
        </w:rPr>
        <w:t>根据成本测算，</w:t>
      </w:r>
      <w:r>
        <w:rPr>
          <w:rFonts w:hint="eastAsia" w:ascii="宋体" w:hAnsi="宋体" w:eastAsia="宋体" w:cs="宋体"/>
          <w:i w:val="0"/>
          <w:iCs w:val="0"/>
          <w:caps w:val="0"/>
          <w:color w:val="333333"/>
          <w:spacing w:val="0"/>
          <w:sz w:val="21"/>
          <w:szCs w:val="21"/>
          <w:highlight w:val="none"/>
          <w:shd w:val="clear" w:color="auto" w:fill="FFFFFF"/>
        </w:rPr>
        <w:t>本公司（单位）为</w:t>
      </w:r>
      <w:r>
        <w:rPr>
          <w:rFonts w:hint="eastAsia" w:ascii="宋体" w:hAnsi="宋体" w:eastAsia="宋体" w:cs="宋体"/>
          <w:i w:val="0"/>
          <w:iCs w:val="0"/>
          <w:caps w:val="0"/>
          <w:color w:val="333333"/>
          <w:spacing w:val="0"/>
          <w:sz w:val="21"/>
          <w:szCs w:val="21"/>
          <w:highlight w:val="none"/>
          <w:shd w:val="clear" w:color="auto" w:fill="FFFFFF"/>
          <w:lang w:eastAsia="zh-CN"/>
        </w:rPr>
        <w:t>本</w:t>
      </w:r>
      <w:r>
        <w:rPr>
          <w:rFonts w:hint="eastAsia" w:ascii="宋体" w:hAnsi="宋体" w:eastAsia="宋体" w:cs="宋体"/>
          <w:i w:val="0"/>
          <w:iCs w:val="0"/>
          <w:caps w:val="0"/>
          <w:color w:val="333333"/>
          <w:spacing w:val="0"/>
          <w:sz w:val="21"/>
          <w:szCs w:val="21"/>
          <w:highlight w:val="none"/>
          <w:shd w:val="clear" w:color="auto" w:fill="FFFFFF"/>
        </w:rPr>
        <w:t>采购项目</w:t>
      </w:r>
      <w:r>
        <w:rPr>
          <w:rFonts w:hint="eastAsia" w:ascii="宋体" w:hAnsi="宋体" w:eastAsia="宋体" w:cs="宋体"/>
          <w:i w:val="0"/>
          <w:iCs w:val="0"/>
          <w:caps w:val="0"/>
          <w:color w:val="333333"/>
          <w:spacing w:val="0"/>
          <w:sz w:val="21"/>
          <w:szCs w:val="21"/>
          <w:highlight w:val="none"/>
          <w:shd w:val="clear" w:color="auto" w:fill="FFFFFF"/>
          <w:lang w:eastAsia="zh-CN"/>
        </w:rPr>
        <w:t>本</w:t>
      </w:r>
      <w:r>
        <w:rPr>
          <w:rFonts w:hint="eastAsia" w:ascii="宋体" w:hAnsi="宋体" w:eastAsia="宋体" w:cs="宋体"/>
          <w:i w:val="0"/>
          <w:iCs w:val="0"/>
          <w:caps w:val="0"/>
          <w:color w:val="333333"/>
          <w:spacing w:val="0"/>
          <w:sz w:val="21"/>
          <w:szCs w:val="21"/>
          <w:highlight w:val="none"/>
          <w:shd w:val="clear" w:color="auto" w:fill="FFFFFF"/>
        </w:rPr>
        <w:t>采购包提供的符合本国产品标准的产品成本之和占本公司（单位）提供的全部产品成本之和的比例达到80%以上</w:t>
      </w:r>
      <w:r>
        <w:rPr>
          <w:rFonts w:hint="eastAsia" w:ascii="宋体" w:hAnsi="宋体" w:eastAsia="宋体" w:cs="宋体"/>
          <w:i w:val="0"/>
          <w:iCs w:val="0"/>
          <w:caps w:val="0"/>
          <w:color w:val="333333"/>
          <w:spacing w:val="0"/>
          <w:sz w:val="21"/>
          <w:szCs w:val="21"/>
          <w:highlight w:val="none"/>
          <w:shd w:val="clear" w:color="auto" w:fill="FFFFFF"/>
          <w:lang w:eastAsia="zh-CN"/>
        </w:rPr>
        <w:t>。</w:t>
      </w:r>
    </w:p>
    <w:p w14:paraId="402A336C">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本公司（单位）对上述声明内容的真实性负责。如有虚假，愿承担相应法律责任。</w:t>
      </w:r>
    </w:p>
    <w:p w14:paraId="79857510">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0"/>
        <w:rPr>
          <w:rFonts w:hint="eastAsia" w:ascii="宋体" w:hAnsi="宋体" w:eastAsia="宋体" w:cs="宋体"/>
          <w:i w:val="0"/>
          <w:iCs w:val="0"/>
          <w:caps w:val="0"/>
          <w:color w:val="333333"/>
          <w:spacing w:val="0"/>
          <w:sz w:val="21"/>
          <w:szCs w:val="21"/>
          <w:highlight w:val="none"/>
        </w:rPr>
      </w:pPr>
    </w:p>
    <w:p w14:paraId="0F084B30">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0"/>
        <w:jc w:val="right"/>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公司（单位）名称（盖章）：　        </w:t>
      </w:r>
    </w:p>
    <w:p w14:paraId="39DE7169">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0"/>
        <w:jc w:val="right"/>
        <w:rPr>
          <w:rFonts w:hint="eastAsia" w:ascii="宋体" w:hAnsi="宋体" w:eastAsia="宋体" w:cs="宋体"/>
          <w:i w:val="0"/>
          <w:iCs w:val="0"/>
          <w:caps w:val="0"/>
          <w:color w:val="333333"/>
          <w:spacing w:val="0"/>
          <w:sz w:val="24"/>
          <w:szCs w:val="24"/>
          <w:highlight w:val="none"/>
        </w:rPr>
      </w:pPr>
      <w:r>
        <w:rPr>
          <w:rFonts w:hint="eastAsia" w:ascii="宋体" w:hAnsi="宋体" w:eastAsia="宋体" w:cs="宋体"/>
          <w:i w:val="0"/>
          <w:iCs w:val="0"/>
          <w:caps w:val="0"/>
          <w:color w:val="333333"/>
          <w:spacing w:val="0"/>
          <w:sz w:val="21"/>
          <w:szCs w:val="21"/>
          <w:highlight w:val="none"/>
          <w:shd w:val="clear" w:color="auto" w:fill="FFFFFF"/>
        </w:rPr>
        <w:t>日期：　     年　  月　  日    </w:t>
      </w:r>
      <w:r>
        <w:rPr>
          <w:rFonts w:hint="eastAsia" w:ascii="宋体" w:hAnsi="宋体" w:eastAsia="宋体" w:cs="宋体"/>
          <w:i w:val="0"/>
          <w:iCs w:val="0"/>
          <w:caps w:val="0"/>
          <w:color w:val="333333"/>
          <w:spacing w:val="0"/>
          <w:sz w:val="24"/>
          <w:szCs w:val="24"/>
          <w:highlight w:val="none"/>
          <w:shd w:val="clear" w:color="auto" w:fill="FFFFFF"/>
        </w:rPr>
        <w:t>     </w:t>
      </w:r>
    </w:p>
    <w:p w14:paraId="201AB00A">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shd w:val="clear" w:color="auto" w:fill="FFFFFF"/>
        </w:rPr>
      </w:pPr>
    </w:p>
    <w:p w14:paraId="10056415">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1.产品如有型号，请在“产品名称”栏一并填写。</w:t>
      </w:r>
    </w:p>
    <w:p w14:paraId="13FBA32A">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2.生产厂名与厂址应与生产厂营业执照载明的相关信息保持一致。</w:t>
      </w:r>
    </w:p>
    <w:p w14:paraId="52BB8F62">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3.该产品的中国境内生产的组件成本占比相关要求</w:t>
      </w:r>
      <w:r>
        <w:rPr>
          <w:rFonts w:hint="eastAsia" w:ascii="宋体" w:hAnsi="宋体" w:eastAsia="宋体" w:cs="宋体"/>
          <w:i w:val="0"/>
          <w:iCs w:val="0"/>
          <w:caps w:val="0"/>
          <w:color w:val="333333"/>
          <w:spacing w:val="0"/>
          <w:sz w:val="21"/>
          <w:szCs w:val="21"/>
          <w:highlight w:val="none"/>
          <w:shd w:val="clear" w:color="auto" w:fill="FFFFFF"/>
          <w:lang w:eastAsia="zh-CN"/>
        </w:rPr>
        <w:t>暂未</w:t>
      </w:r>
      <w:r>
        <w:rPr>
          <w:rFonts w:hint="eastAsia" w:ascii="宋体" w:hAnsi="宋体" w:eastAsia="宋体" w:cs="宋体"/>
          <w:i w:val="0"/>
          <w:iCs w:val="0"/>
          <w:caps w:val="0"/>
          <w:color w:val="333333"/>
          <w:spacing w:val="0"/>
          <w:sz w:val="21"/>
          <w:szCs w:val="21"/>
          <w:highlight w:val="none"/>
          <w:shd w:val="clear" w:color="auto" w:fill="FFFFFF"/>
        </w:rPr>
        <w:t>实施，“规定比例”栏可不填。</w:t>
      </w:r>
    </w:p>
    <w:p w14:paraId="6CC679E1">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rPr>
      </w:pPr>
      <w:r>
        <w:rPr>
          <w:rFonts w:hint="eastAsia" w:ascii="宋体" w:hAnsi="宋体" w:eastAsia="宋体" w:cs="宋体"/>
          <w:i w:val="0"/>
          <w:iCs w:val="0"/>
          <w:caps w:val="0"/>
          <w:color w:val="333333"/>
          <w:spacing w:val="0"/>
          <w:sz w:val="21"/>
          <w:szCs w:val="21"/>
          <w:highlight w:val="none"/>
          <w:shd w:val="clear" w:color="auto" w:fill="FFFFFF"/>
        </w:rPr>
        <w:t>4.该产品的关键组件要求</w:t>
      </w:r>
      <w:r>
        <w:rPr>
          <w:rFonts w:hint="eastAsia" w:ascii="宋体" w:hAnsi="宋体" w:eastAsia="宋体" w:cs="宋体"/>
          <w:i w:val="0"/>
          <w:iCs w:val="0"/>
          <w:caps w:val="0"/>
          <w:color w:val="333333"/>
          <w:spacing w:val="0"/>
          <w:sz w:val="21"/>
          <w:szCs w:val="21"/>
          <w:highlight w:val="none"/>
          <w:shd w:val="clear" w:color="auto" w:fill="FFFFFF"/>
          <w:lang w:eastAsia="zh-CN"/>
        </w:rPr>
        <w:t>暂未</w:t>
      </w:r>
      <w:r>
        <w:rPr>
          <w:rFonts w:hint="eastAsia" w:ascii="宋体" w:hAnsi="宋体" w:eastAsia="宋体" w:cs="宋体"/>
          <w:i w:val="0"/>
          <w:iCs w:val="0"/>
          <w:caps w:val="0"/>
          <w:color w:val="333333"/>
          <w:spacing w:val="0"/>
          <w:sz w:val="21"/>
          <w:szCs w:val="21"/>
          <w:highlight w:val="none"/>
          <w:shd w:val="clear" w:color="auto" w:fill="FFFFFF"/>
        </w:rPr>
        <w:t>实施，“关键组件”栏可不填。</w:t>
      </w:r>
    </w:p>
    <w:p w14:paraId="30F48841">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0" w:right="0" w:firstLine="420"/>
        <w:rPr>
          <w:rFonts w:hint="eastAsia" w:ascii="宋体" w:hAnsi="宋体" w:eastAsia="宋体" w:cs="宋体"/>
          <w:i w:val="0"/>
          <w:iCs w:val="0"/>
          <w:caps w:val="0"/>
          <w:color w:val="333333"/>
          <w:spacing w:val="0"/>
          <w:sz w:val="21"/>
          <w:szCs w:val="21"/>
          <w:highlight w:val="none"/>
          <w:shd w:val="clear" w:color="auto" w:fill="FFFFFF"/>
        </w:rPr>
      </w:pPr>
      <w:r>
        <w:rPr>
          <w:rFonts w:hint="eastAsia" w:ascii="宋体" w:hAnsi="宋体" w:eastAsia="宋体" w:cs="宋体"/>
          <w:i w:val="0"/>
          <w:iCs w:val="0"/>
          <w:caps w:val="0"/>
          <w:color w:val="333333"/>
          <w:spacing w:val="0"/>
          <w:sz w:val="21"/>
          <w:szCs w:val="21"/>
          <w:highlight w:val="none"/>
          <w:shd w:val="clear" w:color="auto" w:fill="FFFFFF"/>
        </w:rPr>
        <w:t>5.该产品的关键工序要求</w:t>
      </w:r>
      <w:r>
        <w:rPr>
          <w:rFonts w:hint="eastAsia" w:ascii="宋体" w:hAnsi="宋体" w:eastAsia="宋体" w:cs="宋体"/>
          <w:i w:val="0"/>
          <w:iCs w:val="0"/>
          <w:caps w:val="0"/>
          <w:color w:val="333333"/>
          <w:spacing w:val="0"/>
          <w:sz w:val="21"/>
          <w:szCs w:val="21"/>
          <w:highlight w:val="none"/>
          <w:shd w:val="clear" w:color="auto" w:fill="FFFFFF"/>
          <w:lang w:eastAsia="zh-CN"/>
        </w:rPr>
        <w:t>暂未</w:t>
      </w:r>
      <w:r>
        <w:rPr>
          <w:rFonts w:hint="eastAsia" w:ascii="宋体" w:hAnsi="宋体" w:eastAsia="宋体" w:cs="宋体"/>
          <w:i w:val="0"/>
          <w:iCs w:val="0"/>
          <w:caps w:val="0"/>
          <w:color w:val="333333"/>
          <w:spacing w:val="0"/>
          <w:sz w:val="21"/>
          <w:szCs w:val="21"/>
          <w:highlight w:val="none"/>
          <w:shd w:val="clear" w:color="auto" w:fill="FFFFFF"/>
        </w:rPr>
        <w:t>实施，“关键工序”栏可不填。</w:t>
      </w:r>
    </w:p>
    <w:p w14:paraId="5C7B6BCF">
      <w:pPr>
        <w:pStyle w:val="3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right="0"/>
        <w:rPr>
          <w:rFonts w:hint="eastAsia" w:ascii="宋体" w:hAnsi="宋体" w:eastAsia="宋体" w:cs="宋体"/>
          <w:i w:val="0"/>
          <w:iCs w:val="0"/>
          <w:caps w:val="0"/>
          <w:color w:val="FF0000"/>
          <w:spacing w:val="0"/>
          <w:sz w:val="21"/>
          <w:szCs w:val="21"/>
          <w:highlight w:val="none"/>
          <w:shd w:val="clear" w:color="auto" w:fill="FFFFFF"/>
          <w:lang w:eastAsia="zh-CN"/>
        </w:rPr>
      </w:pPr>
      <w:r>
        <w:rPr>
          <w:rFonts w:hint="eastAsia" w:ascii="宋体" w:hAnsi="宋体" w:eastAsia="宋体" w:cs="宋体"/>
          <w:i w:val="0"/>
          <w:iCs w:val="0"/>
          <w:caps w:val="0"/>
          <w:color w:val="333333"/>
          <w:spacing w:val="0"/>
          <w:sz w:val="21"/>
          <w:szCs w:val="21"/>
          <w:highlight w:val="none"/>
          <w:shd w:val="clear" w:color="auto" w:fill="FFFFFF"/>
          <w:lang w:eastAsia="zh-CN"/>
        </w:rPr>
        <w:t>注：</w:t>
      </w:r>
      <w:r>
        <w:rPr>
          <w:rFonts w:hint="eastAsia" w:ascii="宋体" w:hAnsi="宋体" w:eastAsia="宋体" w:cs="宋体"/>
          <w:i w:val="0"/>
          <w:iCs w:val="0"/>
          <w:caps w:val="0"/>
          <w:color w:val="FF0000"/>
          <w:spacing w:val="0"/>
          <w:sz w:val="21"/>
          <w:szCs w:val="21"/>
          <w:highlight w:val="none"/>
          <w:shd w:val="clear" w:color="auto" w:fill="FFFFFF"/>
          <w:lang w:val="en-US" w:eastAsia="zh-CN"/>
        </w:rPr>
        <w:t>1.</w:t>
      </w:r>
      <w:r>
        <w:rPr>
          <w:rFonts w:hint="eastAsia" w:ascii="宋体" w:hAnsi="宋体" w:eastAsia="宋体" w:cs="宋体"/>
          <w:i w:val="0"/>
          <w:iCs w:val="0"/>
          <w:caps w:val="0"/>
          <w:color w:val="FF0000"/>
          <w:spacing w:val="0"/>
          <w:sz w:val="21"/>
          <w:szCs w:val="21"/>
          <w:highlight w:val="none"/>
          <w:shd w:val="clear" w:color="auto" w:fill="FFFFFF"/>
          <w:lang w:eastAsia="zh-CN"/>
        </w:rPr>
        <w:t>未提供《关于符合本国产品标准的声明函》的，不享受本国产品支持政策，不享受价格折扣；为本采购项目本采购包提供的符合本国产品标准的产品成本之和占本公司（单位）提供的全部产品成本之和的比例未达到80%的，可不提供本《声明函》。</w:t>
      </w:r>
    </w:p>
    <w:p w14:paraId="08C6C391">
      <w:pPr>
        <w:pStyle w:val="3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Chars="0" w:right="0" w:rightChars="0"/>
        <w:rPr>
          <w:rFonts w:hint="eastAsia" w:ascii="宋体" w:hAnsi="宋体" w:eastAsia="宋体" w:cs="宋体"/>
          <w:i w:val="0"/>
          <w:iCs w:val="0"/>
          <w:caps w:val="0"/>
          <w:color w:val="333333"/>
          <w:spacing w:val="0"/>
          <w:sz w:val="21"/>
          <w:szCs w:val="21"/>
          <w:highlight w:val="none"/>
          <w:shd w:val="clear" w:color="auto" w:fill="FFFFFF"/>
          <w:lang w:val="en-US" w:eastAsia="zh-CN"/>
        </w:rPr>
      </w:pPr>
      <w:r>
        <w:rPr>
          <w:rFonts w:hint="eastAsia" w:ascii="宋体" w:hAnsi="宋体" w:eastAsia="宋体" w:cs="宋体"/>
          <w:i w:val="0"/>
          <w:iCs w:val="0"/>
          <w:caps w:val="0"/>
          <w:color w:val="333333"/>
          <w:spacing w:val="0"/>
          <w:sz w:val="21"/>
          <w:szCs w:val="21"/>
          <w:highlight w:val="none"/>
          <w:shd w:val="clear" w:color="auto" w:fill="FFFFFF"/>
          <w:lang w:val="en-US" w:eastAsia="zh-CN"/>
        </w:rPr>
        <w:t>2.供应商应充分理解《国务院办公厅关于在政府采购中实施本国产品标准及相关政策的通知》（国办发〔2025〕34号）关于本国产品的定义，供应商提供虚假《声明函》、虚假证明文件谋取中标、成交的，依照《中华人民共和国政府采购法》等法律法规规定追究相应责任。</w:t>
      </w:r>
    </w:p>
    <w:p w14:paraId="325026D7">
      <w:pPr>
        <w:pStyle w:val="3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Chars="0" w:right="0" w:rightChars="0"/>
        <w:rPr>
          <w:rFonts w:hint="eastAsia" w:ascii="宋体" w:hAnsi="宋体" w:eastAsia="宋体" w:cs="宋体"/>
          <w:i w:val="0"/>
          <w:iCs w:val="0"/>
          <w:caps w:val="0"/>
          <w:color w:val="333333"/>
          <w:spacing w:val="0"/>
          <w:sz w:val="21"/>
          <w:szCs w:val="21"/>
          <w:highlight w:val="none"/>
          <w:shd w:val="clear" w:color="auto" w:fill="FFFFFF"/>
          <w:lang w:val="en-US" w:eastAsia="zh-CN"/>
        </w:rPr>
      </w:pPr>
      <w:r>
        <w:rPr>
          <w:rFonts w:hint="eastAsia" w:ascii="宋体" w:hAnsi="宋体" w:eastAsia="宋体" w:cs="宋体"/>
          <w:i w:val="0"/>
          <w:iCs w:val="0"/>
          <w:caps w:val="0"/>
          <w:color w:val="333333"/>
          <w:spacing w:val="0"/>
          <w:sz w:val="21"/>
          <w:szCs w:val="21"/>
          <w:highlight w:val="none"/>
          <w:shd w:val="clear" w:color="auto" w:fill="FFFFFF"/>
          <w:lang w:val="en-US" w:eastAsia="zh-CN"/>
        </w:rPr>
        <w:t>3.本国产品应当符合以下条件：</w:t>
      </w:r>
    </w:p>
    <w:p w14:paraId="7B326DC7">
      <w:pPr>
        <w:pStyle w:val="3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Chars="0" w:right="0" w:rightChars="0"/>
        <w:rPr>
          <w:rFonts w:hint="eastAsia" w:ascii="宋体" w:hAnsi="宋体" w:eastAsia="宋体" w:cs="宋体"/>
          <w:i w:val="0"/>
          <w:iCs w:val="0"/>
          <w:caps w:val="0"/>
          <w:color w:val="333333"/>
          <w:spacing w:val="0"/>
          <w:sz w:val="21"/>
          <w:szCs w:val="21"/>
          <w:highlight w:val="none"/>
          <w:shd w:val="clear" w:color="auto" w:fill="FFFFFF"/>
          <w:lang w:val="en-US" w:eastAsia="zh-CN"/>
        </w:rPr>
      </w:pPr>
      <w:r>
        <w:rPr>
          <w:rFonts w:hint="eastAsia" w:ascii="宋体" w:hAnsi="宋体" w:eastAsia="宋体" w:cs="宋体"/>
          <w:i w:val="0"/>
          <w:iCs w:val="0"/>
          <w:caps w:val="0"/>
          <w:color w:val="333333"/>
          <w:spacing w:val="0"/>
          <w:sz w:val="21"/>
          <w:szCs w:val="21"/>
          <w:highlight w:val="none"/>
          <w:shd w:val="clear" w:color="auto" w:fill="FFFFFF"/>
          <w:lang w:val="en-US" w:eastAsia="zh-CN"/>
        </w:rPr>
        <w:t>（一）在中国境内生产</w:t>
      </w:r>
    </w:p>
    <w:p w14:paraId="69CBEBF3">
      <w:pPr>
        <w:pStyle w:val="3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Chars="0" w:right="0" w:rightChars="0"/>
        <w:rPr>
          <w:rFonts w:hint="eastAsia" w:ascii="宋体" w:hAnsi="宋体" w:eastAsia="宋体" w:cs="宋体"/>
          <w:i w:val="0"/>
          <w:iCs w:val="0"/>
          <w:caps w:val="0"/>
          <w:color w:val="333333"/>
          <w:spacing w:val="0"/>
          <w:sz w:val="21"/>
          <w:szCs w:val="21"/>
          <w:highlight w:val="none"/>
          <w:shd w:val="clear" w:color="auto" w:fill="FFFFFF"/>
          <w:lang w:val="en-US" w:eastAsia="zh-CN"/>
        </w:rPr>
      </w:pPr>
      <w:r>
        <w:rPr>
          <w:rFonts w:hint="eastAsia" w:ascii="宋体" w:hAnsi="宋体" w:eastAsia="宋体" w:cs="宋体"/>
          <w:i w:val="0"/>
          <w:iCs w:val="0"/>
          <w:caps w:val="0"/>
          <w:color w:val="333333"/>
          <w:spacing w:val="0"/>
          <w:sz w:val="21"/>
          <w:szCs w:val="21"/>
          <w:highlight w:val="none"/>
          <w:shd w:val="clear" w:color="auto" w:fill="FFFFFF"/>
          <w:lang w:val="en-US" w:eastAsia="zh-CN"/>
        </w:rPr>
        <w:t>产品应当在中国境内生产，即在中华人民共和国关境内实现从原材料、组件到产品的属性改变。</w:t>
      </w:r>
    </w:p>
    <w:p w14:paraId="15ADAF05">
      <w:pPr>
        <w:pStyle w:val="3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Chars="0" w:right="0" w:rightChars="0"/>
        <w:rPr>
          <w:rFonts w:hint="eastAsia" w:ascii="宋体" w:hAnsi="宋体" w:eastAsia="宋体" w:cs="宋体"/>
          <w:i w:val="0"/>
          <w:iCs w:val="0"/>
          <w:caps w:val="0"/>
          <w:color w:val="333333"/>
          <w:spacing w:val="0"/>
          <w:sz w:val="21"/>
          <w:szCs w:val="21"/>
          <w:highlight w:val="none"/>
          <w:shd w:val="clear" w:color="auto" w:fill="FFFFFF"/>
          <w:lang w:val="en-US" w:eastAsia="zh-CN"/>
        </w:rPr>
      </w:pPr>
      <w:r>
        <w:rPr>
          <w:rFonts w:hint="eastAsia" w:ascii="宋体" w:hAnsi="宋体" w:eastAsia="宋体" w:cs="宋体"/>
          <w:i w:val="0"/>
          <w:iCs w:val="0"/>
          <w:caps w:val="0"/>
          <w:color w:val="333333"/>
          <w:spacing w:val="0"/>
          <w:sz w:val="21"/>
          <w:szCs w:val="21"/>
          <w:highlight w:val="none"/>
          <w:shd w:val="clear" w:color="auto" w:fill="FFFFFF"/>
          <w:lang w:val="en-US" w:eastAsia="zh-CN"/>
        </w:rPr>
        <w:t>属性改变是指经过制造、加工或者组装等工序，产生完全不同于原材料、组件的新产品，并具有新的名称和特征（用途）。</w:t>
      </w:r>
    </w:p>
    <w:p w14:paraId="758374C8">
      <w:pPr>
        <w:pStyle w:val="38"/>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spacing w:before="30" w:beforeAutospacing="0" w:after="30" w:afterAutospacing="0"/>
        <w:ind w:leftChars="0" w:right="0" w:rightChars="0"/>
        <w:rPr>
          <w:rFonts w:hint="eastAsia" w:ascii="宋体" w:hAnsi="宋体" w:eastAsia="宋体" w:cs="宋体"/>
          <w:i w:val="0"/>
          <w:iCs w:val="0"/>
          <w:caps w:val="0"/>
          <w:color w:val="333333"/>
          <w:spacing w:val="0"/>
          <w:sz w:val="21"/>
          <w:szCs w:val="21"/>
          <w:highlight w:val="none"/>
          <w:shd w:val="clear" w:color="auto" w:fill="FFFFFF"/>
          <w:lang w:val="en-US" w:eastAsia="zh-CN"/>
        </w:rPr>
      </w:pPr>
      <w:r>
        <w:rPr>
          <w:rFonts w:hint="eastAsia" w:ascii="宋体" w:hAnsi="宋体" w:eastAsia="宋体" w:cs="宋体"/>
          <w:i w:val="0"/>
          <w:iCs w:val="0"/>
          <w:caps w:val="0"/>
          <w:color w:val="333333"/>
          <w:spacing w:val="0"/>
          <w:sz w:val="21"/>
          <w:szCs w:val="21"/>
          <w:highlight w:val="none"/>
          <w:shd w:val="clear" w:color="auto" w:fill="FFFFFF"/>
          <w:lang w:val="en-US" w:eastAsia="zh-CN"/>
        </w:rPr>
        <w:t>属性改变不包括以下细微操作：</w:t>
      </w:r>
    </w:p>
    <w:p w14:paraId="13D026CD">
      <w:pPr>
        <w:rPr>
          <w:rFonts w:ascii="宋体" w:hAnsi="宋体"/>
          <w:szCs w:val="21"/>
          <w:highlight w:val="none"/>
        </w:rPr>
      </w:pPr>
      <w:r>
        <w:rPr>
          <w:rFonts w:hint="eastAsia" w:ascii="宋体" w:hAnsi="宋体" w:eastAsia="宋体" w:cs="宋体"/>
          <w:i w:val="0"/>
          <w:iCs w:val="0"/>
          <w:caps w:val="0"/>
          <w:color w:val="333333"/>
          <w:spacing w:val="0"/>
          <w:sz w:val="21"/>
          <w:szCs w:val="21"/>
          <w:highlight w:val="none"/>
          <w:shd w:val="clear" w:color="auto" w:fill="FFFFFF"/>
          <w:lang w:val="en-US" w:eastAsia="zh-CN"/>
        </w:rPr>
        <w:t>（1）为确保产品在运输或者储存期间保持某种状态而进行的操作；（2）为产品运输或者销售进行的包装或者展示；（3）在产品或者其包装上粘贴或者印刷品牌、标志、标识以及其他用于区别的标记；（4）简单的上漆、磨光和分装；（5）其他不属于属性改变的情形。</w:t>
      </w:r>
      <w:r>
        <w:rPr>
          <w:rFonts w:hint="eastAsia" w:ascii="宋体" w:hAnsi="宋体"/>
          <w:szCs w:val="21"/>
          <w:highlight w:val="none"/>
        </w:rPr>
        <w:br w:type="page"/>
      </w:r>
    </w:p>
    <w:p w14:paraId="5335176B">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b/>
          <w:bCs/>
          <w:kern w:val="0"/>
          <w:sz w:val="32"/>
          <w:szCs w:val="32"/>
          <w:highlight w:val="none"/>
          <w:lang w:val="en-US" w:eastAsia="zh-CN" w:bidi="ar-SA"/>
        </w:rPr>
      </w:pPr>
      <w:r>
        <w:rPr>
          <w:rFonts w:hint="eastAsia" w:ascii="微软雅黑" w:hAnsi="微软雅黑" w:eastAsia="微软雅黑" w:cs="微软雅黑"/>
          <w:b/>
          <w:bCs/>
          <w:color w:val="3D4B64"/>
          <w:kern w:val="0"/>
          <w:sz w:val="32"/>
          <w:szCs w:val="32"/>
          <w:highlight w:val="none"/>
          <w:shd w:val="clear" w:color="auto" w:fill="FFFFFF"/>
          <w:lang w:val="en-US" w:eastAsia="zh-CN" w:bidi="ar-SA"/>
        </w:rPr>
        <w:t xml:space="preserve">附表1：本项目所投中型企业产品清单（第包） </w:t>
      </w:r>
    </w:p>
    <w:p w14:paraId="79D78F06">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b/>
          <w:bCs/>
          <w:kern w:val="0"/>
          <w:sz w:val="32"/>
          <w:szCs w:val="32"/>
          <w:highlight w:val="none"/>
          <w:lang w:val="en-US" w:eastAsia="zh-CN" w:bidi="ar-SA"/>
        </w:rPr>
      </w:pPr>
      <w:r>
        <w:rPr>
          <w:rFonts w:hint="eastAsia" w:ascii="微软雅黑" w:hAnsi="微软雅黑" w:eastAsia="微软雅黑" w:cs="微软雅黑"/>
          <w:b/>
          <w:bCs/>
          <w:color w:val="3D4B64"/>
          <w:kern w:val="0"/>
          <w:sz w:val="32"/>
          <w:szCs w:val="32"/>
          <w:highlight w:val="none"/>
          <w:shd w:val="clear" w:color="auto" w:fill="FFFFFF"/>
          <w:lang w:val="en-US" w:eastAsia="zh-CN" w:bidi="ar-SA"/>
        </w:rPr>
        <w:t xml:space="preserve">  </w:t>
      </w:r>
    </w:p>
    <w:tbl>
      <w:tblPr>
        <w:tblStyle w:val="43"/>
        <w:tblW w:w="35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00"/>
        <w:gridCol w:w="1237"/>
        <w:gridCol w:w="1310"/>
        <w:gridCol w:w="1237"/>
        <w:gridCol w:w="1237"/>
      </w:tblGrid>
      <w:tr w14:paraId="74F50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0" w:hRule="atLeast"/>
          <w:jc w:val="center"/>
        </w:trPr>
        <w:tc>
          <w:tcPr>
            <w:tcW w:w="846" w:type="dxa"/>
            <w:vAlign w:val="center"/>
          </w:tcPr>
          <w:p w14:paraId="19B1E16D">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品目号</w:t>
            </w:r>
          </w:p>
        </w:tc>
        <w:tc>
          <w:tcPr>
            <w:tcW w:w="1309" w:type="dxa"/>
            <w:vAlign w:val="center"/>
          </w:tcPr>
          <w:p w14:paraId="5234569C">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产品名称</w:t>
            </w:r>
          </w:p>
        </w:tc>
        <w:tc>
          <w:tcPr>
            <w:tcW w:w="1386" w:type="dxa"/>
            <w:vAlign w:val="center"/>
          </w:tcPr>
          <w:p w14:paraId="7A8D4671">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价格(元)</w:t>
            </w:r>
          </w:p>
        </w:tc>
        <w:tc>
          <w:tcPr>
            <w:tcW w:w="1309" w:type="dxa"/>
            <w:vAlign w:val="center"/>
          </w:tcPr>
          <w:p w14:paraId="6DFD5239">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产品所在页码</w:t>
            </w:r>
          </w:p>
        </w:tc>
        <w:tc>
          <w:tcPr>
            <w:tcW w:w="1309" w:type="dxa"/>
            <w:vAlign w:val="center"/>
          </w:tcPr>
          <w:p w14:paraId="20181DEF">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备注</w:t>
            </w:r>
          </w:p>
        </w:tc>
      </w:tr>
      <w:tr w14:paraId="05D83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46" w:type="dxa"/>
            <w:vAlign w:val="center"/>
          </w:tcPr>
          <w:p w14:paraId="76E72C3F">
            <w:pPr>
              <w:keepNext w:val="0"/>
              <w:keepLines w:val="0"/>
              <w:widowControl/>
              <w:suppressLineNumbers w:val="0"/>
              <w:spacing w:before="100" w:beforeAutospacing="1" w:after="100" w:afterAutospacing="1" w:line="390" w:lineRule="atLeast"/>
              <w:jc w:val="center"/>
              <w:rPr>
                <w:rFonts w:ascii="宋体" w:hAnsi="宋体" w:eastAsia="宋体" w:cs="宋体"/>
                <w:kern w:val="0"/>
                <w:sz w:val="24"/>
                <w:szCs w:val="24"/>
                <w:highlight w:val="none"/>
                <w:lang w:val="en-US" w:eastAsia="zh-CN" w:bidi="ar-SA"/>
              </w:rPr>
            </w:pPr>
          </w:p>
        </w:tc>
        <w:tc>
          <w:tcPr>
            <w:tcW w:w="1309" w:type="dxa"/>
            <w:vAlign w:val="center"/>
          </w:tcPr>
          <w:p w14:paraId="41D9AAFC">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86" w:type="dxa"/>
            <w:vAlign w:val="center"/>
          </w:tcPr>
          <w:p w14:paraId="60587E3D">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4369C7DF">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4EA431CA">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r>
      <w:tr w14:paraId="35269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46" w:type="dxa"/>
            <w:vAlign w:val="center"/>
          </w:tcPr>
          <w:p w14:paraId="56CAA8B5">
            <w:pPr>
              <w:keepNext w:val="0"/>
              <w:keepLines w:val="0"/>
              <w:widowControl/>
              <w:suppressLineNumbers w:val="0"/>
              <w:spacing w:before="100" w:beforeAutospacing="1" w:after="100" w:afterAutospacing="1" w:line="390" w:lineRule="atLeast"/>
              <w:jc w:val="center"/>
              <w:rPr>
                <w:rFonts w:ascii="宋体" w:hAnsi="宋体" w:eastAsia="宋体" w:cs="宋体"/>
                <w:kern w:val="0"/>
                <w:sz w:val="24"/>
                <w:szCs w:val="24"/>
                <w:highlight w:val="none"/>
                <w:lang w:val="en-US" w:eastAsia="zh-CN" w:bidi="ar-SA"/>
              </w:rPr>
            </w:pPr>
          </w:p>
        </w:tc>
        <w:tc>
          <w:tcPr>
            <w:tcW w:w="1309" w:type="dxa"/>
            <w:vAlign w:val="center"/>
          </w:tcPr>
          <w:p w14:paraId="0547E4D0">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86" w:type="dxa"/>
            <w:vAlign w:val="center"/>
          </w:tcPr>
          <w:p w14:paraId="60159531">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271A5F0E">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0D5758D5">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r>
    </w:tbl>
    <w:p w14:paraId="1387F7E9">
      <w:pPr>
        <w:rPr>
          <w:vanish/>
          <w:sz w:val="24"/>
          <w:szCs w:val="24"/>
          <w:highlight w:val="none"/>
        </w:rPr>
      </w:pPr>
    </w:p>
    <w:tbl>
      <w:tblPr>
        <w:tblStyle w:val="43"/>
        <w:tblW w:w="35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144"/>
        <w:gridCol w:w="3677"/>
      </w:tblGrid>
      <w:tr w14:paraId="4130B2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2269" w:type="dxa"/>
            <w:tcBorders>
              <w:top w:val="single" w:color="auto" w:sz="4" w:space="0"/>
              <w:left w:val="single" w:color="auto" w:sz="4" w:space="0"/>
              <w:bottom w:val="single" w:color="auto" w:sz="4" w:space="0"/>
              <w:right w:val="single" w:color="auto" w:sz="4" w:space="0"/>
            </w:tcBorders>
            <w:vAlign w:val="center"/>
          </w:tcPr>
          <w:p w14:paraId="1244BF9B">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 xml:space="preserve">产品总价(元) </w:t>
            </w:r>
          </w:p>
        </w:tc>
        <w:tc>
          <w:tcPr>
            <w:tcW w:w="3890" w:type="dxa"/>
            <w:tcBorders>
              <w:top w:val="single" w:color="auto" w:sz="4" w:space="0"/>
              <w:left w:val="single" w:color="auto" w:sz="4" w:space="0"/>
              <w:bottom w:val="single" w:color="auto" w:sz="4" w:space="0"/>
              <w:right w:val="single" w:color="auto" w:sz="4" w:space="0"/>
            </w:tcBorders>
            <w:vAlign w:val="center"/>
          </w:tcPr>
          <w:p w14:paraId="5DA64EE9">
            <w:pPr>
              <w:keepNext w:val="0"/>
              <w:keepLines w:val="0"/>
              <w:widowControl/>
              <w:suppressLineNumbers w:val="0"/>
              <w:spacing w:before="0" w:beforeAutospacing="0" w:after="0" w:afterAutospacing="0" w:line="390" w:lineRule="atLeast"/>
              <w:ind w:left="0" w:right="0"/>
              <w:jc w:val="left"/>
              <w:rPr>
                <w:rFonts w:hint="eastAsia" w:ascii="微软雅黑" w:hAnsi="微软雅黑" w:eastAsia="微软雅黑" w:cs="微软雅黑"/>
                <w:color w:val="3D4B64"/>
                <w:sz w:val="19"/>
                <w:szCs w:val="19"/>
                <w:highlight w:val="none"/>
              </w:rPr>
            </w:pPr>
          </w:p>
        </w:tc>
      </w:tr>
    </w:tbl>
    <w:p w14:paraId="08512758">
      <w:pPr>
        <w:rPr>
          <w:vanish/>
          <w:sz w:val="24"/>
          <w:szCs w:val="24"/>
          <w:highlight w:val="none"/>
        </w:rPr>
      </w:pPr>
    </w:p>
    <w:tbl>
      <w:tblPr>
        <w:tblStyle w:val="4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6"/>
        <w:gridCol w:w="6"/>
        <w:gridCol w:w="6"/>
        <w:gridCol w:w="6"/>
        <w:gridCol w:w="6"/>
      </w:tblGrid>
      <w:tr w14:paraId="08DBA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hidden/>
        </w:trPr>
        <w:tc>
          <w:tcPr>
            <w:tcW w:w="6" w:type="dxa"/>
            <w:tcMar>
              <w:top w:w="0" w:type="dxa"/>
              <w:left w:w="0" w:type="dxa"/>
              <w:bottom w:w="0" w:type="dxa"/>
              <w:right w:w="0" w:type="dxa"/>
            </w:tcMar>
            <w:vAlign w:val="center"/>
          </w:tcPr>
          <w:p w14:paraId="36409961">
            <w:pPr>
              <w:keepNext w:val="0"/>
              <w:keepLines w:val="0"/>
              <w:widowControl/>
              <w:suppressLineNumbers w:val="0"/>
              <w:spacing w:before="100" w:beforeAutospacing="1" w:after="100" w:afterAutospacing="1" w:line="390" w:lineRule="atLeast"/>
              <w:jc w:val="center"/>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6EC8EFD8">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7012898E">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32451CEC">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10F642BE">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r>
    </w:tbl>
    <w:p w14:paraId="476A24F1">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kern w:val="0"/>
          <w:sz w:val="24"/>
          <w:szCs w:val="24"/>
          <w:highlight w:val="none"/>
          <w:lang w:val="en-US" w:eastAsia="zh-CN" w:bidi="ar-SA"/>
        </w:rPr>
      </w:pPr>
      <w:r>
        <w:rPr>
          <w:rFonts w:hint="eastAsia" w:ascii="微软雅黑" w:hAnsi="微软雅黑" w:eastAsia="微软雅黑" w:cs="微软雅黑"/>
          <w:color w:val="3D4B64"/>
          <w:kern w:val="0"/>
          <w:sz w:val="19"/>
          <w:szCs w:val="19"/>
          <w:highlight w:val="none"/>
          <w:shd w:val="clear" w:color="auto" w:fill="FFFFFF"/>
          <w:lang w:val="en-US" w:eastAsia="zh-CN" w:bidi="ar-SA"/>
        </w:rPr>
        <w:t> </w:t>
      </w:r>
    </w:p>
    <w:p w14:paraId="2C7890B2">
      <w:pPr>
        <w:keepNext w:val="0"/>
        <w:keepLines w:val="0"/>
        <w:widowControl/>
        <w:suppressLineNumbers w:val="0"/>
        <w:wordWrap w:val="0"/>
        <w:spacing w:before="0" w:beforeAutospacing="0" w:after="0" w:afterAutospacing="0" w:line="240" w:lineRule="auto"/>
        <w:ind w:left="0" w:right="0"/>
        <w:jc w:val="left"/>
        <w:rPr>
          <w:rFonts w:ascii="黑体" w:hAnsi="宋体" w:eastAsia="黑体" w:cs="黑体"/>
          <w:kern w:val="0"/>
          <w:sz w:val="24"/>
          <w:szCs w:val="24"/>
          <w:highlight w:val="none"/>
          <w:lang w:val="en-US" w:eastAsia="zh-CN" w:bidi="ar-SA"/>
        </w:rPr>
      </w:pPr>
      <w:r>
        <w:rPr>
          <w:rFonts w:hint="eastAsia" w:ascii="黑体" w:hAnsi="宋体" w:eastAsia="黑体" w:cs="黑体"/>
          <w:color w:val="3D4B64"/>
          <w:kern w:val="0"/>
          <w:sz w:val="24"/>
          <w:szCs w:val="24"/>
          <w:highlight w:val="none"/>
          <w:shd w:val="clear" w:color="auto" w:fill="FFFFFF"/>
          <w:lang w:val="en-US" w:eastAsia="zh-CN" w:bidi="ar-SA"/>
        </w:rPr>
        <w:t>注：1、中型企业产品和小微型企业产品必须分别列表；2、投标时应提供此表，未按此要求提供的，评审时不予以考虑。</w:t>
      </w:r>
    </w:p>
    <w:p w14:paraId="044ECEE1">
      <w:pPr>
        <w:outlineLvl w:val="9"/>
        <w:rPr>
          <w:rFonts w:hint="eastAsia" w:ascii="黑体" w:hAnsi="黑体" w:eastAsia="黑体"/>
          <w:sz w:val="28"/>
          <w:szCs w:val="28"/>
          <w:highlight w:val="none"/>
        </w:rPr>
      </w:pPr>
    </w:p>
    <w:p w14:paraId="39E483FF">
      <w:pPr>
        <w:outlineLvl w:val="9"/>
        <w:rPr>
          <w:rFonts w:hint="eastAsia" w:ascii="黑体" w:hAnsi="黑体" w:eastAsia="黑体"/>
          <w:sz w:val="28"/>
          <w:szCs w:val="28"/>
          <w:highlight w:val="none"/>
        </w:rPr>
      </w:pPr>
    </w:p>
    <w:p w14:paraId="444AA42C">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b/>
          <w:bCs/>
          <w:kern w:val="0"/>
          <w:sz w:val="32"/>
          <w:szCs w:val="32"/>
          <w:highlight w:val="none"/>
          <w:lang w:val="en-US" w:eastAsia="zh-CN" w:bidi="ar-SA"/>
        </w:rPr>
      </w:pPr>
      <w:r>
        <w:rPr>
          <w:rFonts w:ascii="微软雅黑" w:hAnsi="微软雅黑" w:eastAsia="微软雅黑" w:cs="微软雅黑"/>
          <w:b/>
          <w:bCs/>
          <w:color w:val="3D4B64"/>
          <w:kern w:val="0"/>
          <w:sz w:val="32"/>
          <w:szCs w:val="32"/>
          <w:highlight w:val="none"/>
          <w:shd w:val="clear" w:color="auto" w:fill="FFFFFF"/>
          <w:lang w:val="en-US" w:eastAsia="zh-CN" w:bidi="ar-SA"/>
        </w:rPr>
        <w:t>附表</w:t>
      </w:r>
      <w:r>
        <w:rPr>
          <w:rFonts w:hint="eastAsia" w:ascii="微软雅黑" w:hAnsi="微软雅黑" w:eastAsia="微软雅黑" w:cs="微软雅黑"/>
          <w:b/>
          <w:bCs/>
          <w:color w:val="3D4B64"/>
          <w:kern w:val="0"/>
          <w:sz w:val="32"/>
          <w:szCs w:val="32"/>
          <w:highlight w:val="none"/>
          <w:shd w:val="clear" w:color="auto" w:fill="FFFFFF"/>
          <w:lang w:val="en-US" w:eastAsia="zh-CN" w:bidi="ar-SA"/>
        </w:rPr>
        <w:t>2</w:t>
      </w:r>
      <w:r>
        <w:rPr>
          <w:rFonts w:ascii="微软雅黑" w:hAnsi="微软雅黑" w:eastAsia="微软雅黑" w:cs="微软雅黑"/>
          <w:b/>
          <w:bCs/>
          <w:color w:val="3D4B64"/>
          <w:kern w:val="0"/>
          <w:sz w:val="32"/>
          <w:szCs w:val="32"/>
          <w:highlight w:val="none"/>
          <w:shd w:val="clear" w:color="auto" w:fill="FFFFFF"/>
          <w:lang w:val="en-US" w:eastAsia="zh-CN" w:bidi="ar-SA"/>
        </w:rPr>
        <w:t>：本项目所投小微企业产品清单（第</w:t>
      </w:r>
      <w:r>
        <w:rPr>
          <w:rFonts w:hint="eastAsia" w:ascii="微软雅黑" w:hAnsi="微软雅黑" w:eastAsia="微软雅黑" w:cs="微软雅黑"/>
          <w:b/>
          <w:bCs/>
          <w:color w:val="3D4B64"/>
          <w:kern w:val="0"/>
          <w:sz w:val="32"/>
          <w:szCs w:val="32"/>
          <w:highlight w:val="none"/>
          <w:shd w:val="clear" w:color="auto" w:fill="FFFFFF"/>
          <w:lang w:val="en-US" w:eastAsia="zh-CN" w:bidi="ar-SA"/>
        </w:rPr>
        <w:t xml:space="preserve">包） </w:t>
      </w:r>
    </w:p>
    <w:tbl>
      <w:tblPr>
        <w:tblStyle w:val="43"/>
        <w:tblpPr w:leftFromText="180" w:rightFromText="180" w:vertAnchor="text" w:horzAnchor="page" w:tblpX="2887" w:tblpY="615"/>
        <w:tblOverlap w:val="never"/>
        <w:tblW w:w="35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7"/>
        <w:gridCol w:w="1238"/>
        <w:gridCol w:w="1310"/>
        <w:gridCol w:w="1238"/>
        <w:gridCol w:w="1238"/>
      </w:tblGrid>
      <w:tr w14:paraId="54E3D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0" w:hRule="atLeast"/>
        </w:trPr>
        <w:tc>
          <w:tcPr>
            <w:tcW w:w="843" w:type="dxa"/>
            <w:vAlign w:val="center"/>
          </w:tcPr>
          <w:p w14:paraId="0B4BC472">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品目号</w:t>
            </w:r>
          </w:p>
        </w:tc>
        <w:tc>
          <w:tcPr>
            <w:tcW w:w="1310" w:type="dxa"/>
            <w:vAlign w:val="center"/>
          </w:tcPr>
          <w:p w14:paraId="27B92CC8">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产品名称</w:t>
            </w:r>
          </w:p>
        </w:tc>
        <w:tc>
          <w:tcPr>
            <w:tcW w:w="1386" w:type="dxa"/>
            <w:vAlign w:val="center"/>
          </w:tcPr>
          <w:p w14:paraId="71737C44">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价格(元)</w:t>
            </w:r>
          </w:p>
        </w:tc>
        <w:tc>
          <w:tcPr>
            <w:tcW w:w="1310" w:type="dxa"/>
            <w:vAlign w:val="center"/>
          </w:tcPr>
          <w:p w14:paraId="7F885367">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产品所在页码</w:t>
            </w:r>
          </w:p>
        </w:tc>
        <w:tc>
          <w:tcPr>
            <w:tcW w:w="1310" w:type="dxa"/>
            <w:vAlign w:val="center"/>
          </w:tcPr>
          <w:p w14:paraId="2B79C51B">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备注</w:t>
            </w:r>
          </w:p>
        </w:tc>
      </w:tr>
      <w:tr w14:paraId="038F4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843" w:type="dxa"/>
            <w:vAlign w:val="center"/>
          </w:tcPr>
          <w:p w14:paraId="35CFBD7F">
            <w:pPr>
              <w:keepNext w:val="0"/>
              <w:keepLines w:val="0"/>
              <w:widowControl/>
              <w:suppressLineNumbers w:val="0"/>
              <w:spacing w:before="100" w:beforeAutospacing="1" w:after="100" w:afterAutospacing="1" w:line="390" w:lineRule="atLeast"/>
              <w:jc w:val="center"/>
              <w:rPr>
                <w:rFonts w:ascii="宋体" w:hAnsi="宋体" w:eastAsia="宋体" w:cs="宋体"/>
                <w:kern w:val="0"/>
                <w:sz w:val="24"/>
                <w:szCs w:val="24"/>
                <w:highlight w:val="none"/>
                <w:lang w:val="en-US" w:eastAsia="zh-CN" w:bidi="ar-SA"/>
              </w:rPr>
            </w:pPr>
          </w:p>
        </w:tc>
        <w:tc>
          <w:tcPr>
            <w:tcW w:w="1310" w:type="dxa"/>
            <w:vAlign w:val="center"/>
          </w:tcPr>
          <w:p w14:paraId="47356785">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86" w:type="dxa"/>
            <w:vAlign w:val="center"/>
          </w:tcPr>
          <w:p w14:paraId="519C984D">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10" w:type="dxa"/>
            <w:vAlign w:val="center"/>
          </w:tcPr>
          <w:p w14:paraId="65A7F39E">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10" w:type="dxa"/>
            <w:vAlign w:val="center"/>
          </w:tcPr>
          <w:p w14:paraId="544F4520">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r>
      <w:tr w14:paraId="13F5B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843" w:type="dxa"/>
            <w:vAlign w:val="center"/>
          </w:tcPr>
          <w:p w14:paraId="08A0722B">
            <w:pPr>
              <w:keepNext w:val="0"/>
              <w:keepLines w:val="0"/>
              <w:widowControl/>
              <w:suppressLineNumbers w:val="0"/>
              <w:spacing w:before="100" w:beforeAutospacing="1" w:after="100" w:afterAutospacing="1" w:line="390" w:lineRule="atLeast"/>
              <w:jc w:val="center"/>
              <w:rPr>
                <w:rFonts w:ascii="宋体" w:hAnsi="宋体" w:eastAsia="宋体" w:cs="宋体"/>
                <w:kern w:val="0"/>
                <w:sz w:val="24"/>
                <w:szCs w:val="24"/>
                <w:highlight w:val="none"/>
                <w:lang w:val="en-US" w:eastAsia="zh-CN" w:bidi="ar-SA"/>
              </w:rPr>
            </w:pPr>
          </w:p>
        </w:tc>
        <w:tc>
          <w:tcPr>
            <w:tcW w:w="1310" w:type="dxa"/>
            <w:vAlign w:val="center"/>
          </w:tcPr>
          <w:p w14:paraId="1BC80B7C">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86" w:type="dxa"/>
            <w:vAlign w:val="center"/>
          </w:tcPr>
          <w:p w14:paraId="637AEF5B">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10" w:type="dxa"/>
            <w:vAlign w:val="center"/>
          </w:tcPr>
          <w:p w14:paraId="54C2B29D">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10" w:type="dxa"/>
            <w:vAlign w:val="center"/>
          </w:tcPr>
          <w:p w14:paraId="6431333A">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r>
    </w:tbl>
    <w:p w14:paraId="3019CDF0">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b/>
          <w:bCs/>
          <w:kern w:val="0"/>
          <w:sz w:val="32"/>
          <w:szCs w:val="32"/>
          <w:highlight w:val="none"/>
          <w:lang w:val="en-US" w:eastAsia="zh-CN" w:bidi="ar-SA"/>
        </w:rPr>
      </w:pPr>
      <w:r>
        <w:rPr>
          <w:rFonts w:hint="eastAsia" w:ascii="微软雅黑" w:hAnsi="微软雅黑" w:eastAsia="微软雅黑" w:cs="微软雅黑"/>
          <w:b/>
          <w:bCs/>
          <w:color w:val="3D4B64"/>
          <w:kern w:val="0"/>
          <w:sz w:val="32"/>
          <w:szCs w:val="32"/>
          <w:highlight w:val="none"/>
          <w:shd w:val="clear" w:color="auto" w:fill="FFFFFF"/>
          <w:lang w:val="en-US" w:eastAsia="zh-CN" w:bidi="ar-SA"/>
        </w:rPr>
        <w:t xml:space="preserve">  </w:t>
      </w:r>
    </w:p>
    <w:p w14:paraId="492CA770">
      <w:pPr>
        <w:rPr>
          <w:vanish/>
          <w:sz w:val="24"/>
          <w:szCs w:val="24"/>
          <w:highlight w:val="none"/>
        </w:rPr>
      </w:pPr>
    </w:p>
    <w:tbl>
      <w:tblPr>
        <w:tblStyle w:val="43"/>
        <w:tblW w:w="34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173"/>
        <w:gridCol w:w="3643"/>
      </w:tblGrid>
      <w:tr w14:paraId="60868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2299" w:type="dxa"/>
            <w:tcBorders>
              <w:top w:val="single" w:color="auto" w:sz="4" w:space="0"/>
              <w:left w:val="single" w:color="auto" w:sz="4" w:space="0"/>
              <w:bottom w:val="single" w:color="auto" w:sz="4" w:space="0"/>
              <w:right w:val="single" w:color="auto" w:sz="4" w:space="0"/>
            </w:tcBorders>
            <w:vAlign w:val="center"/>
          </w:tcPr>
          <w:p w14:paraId="2DE9E565">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 xml:space="preserve">产品总价(元) </w:t>
            </w:r>
          </w:p>
        </w:tc>
        <w:tc>
          <w:tcPr>
            <w:tcW w:w="3854" w:type="dxa"/>
            <w:tcBorders>
              <w:top w:val="single" w:color="auto" w:sz="4" w:space="0"/>
              <w:left w:val="single" w:color="auto" w:sz="4" w:space="0"/>
              <w:bottom w:val="single" w:color="auto" w:sz="4" w:space="0"/>
              <w:right w:val="single" w:color="auto" w:sz="4" w:space="0"/>
            </w:tcBorders>
            <w:vAlign w:val="center"/>
          </w:tcPr>
          <w:p w14:paraId="7CA419D7">
            <w:pPr>
              <w:keepNext w:val="0"/>
              <w:keepLines w:val="0"/>
              <w:widowControl/>
              <w:suppressLineNumbers w:val="0"/>
              <w:spacing w:before="0" w:beforeAutospacing="0" w:after="0" w:afterAutospacing="0" w:line="390" w:lineRule="atLeast"/>
              <w:ind w:left="0" w:right="0"/>
              <w:jc w:val="left"/>
              <w:rPr>
                <w:rFonts w:hint="eastAsia" w:ascii="微软雅黑" w:hAnsi="微软雅黑" w:eastAsia="微软雅黑" w:cs="微软雅黑"/>
                <w:color w:val="3D4B64"/>
                <w:sz w:val="19"/>
                <w:szCs w:val="19"/>
                <w:highlight w:val="none"/>
              </w:rPr>
            </w:pPr>
          </w:p>
        </w:tc>
      </w:tr>
    </w:tbl>
    <w:p w14:paraId="274FFB6D">
      <w:pPr>
        <w:rPr>
          <w:vanish/>
          <w:sz w:val="24"/>
          <w:szCs w:val="24"/>
          <w:highlight w:val="none"/>
        </w:rPr>
      </w:pPr>
    </w:p>
    <w:tbl>
      <w:tblPr>
        <w:tblStyle w:val="4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6"/>
        <w:gridCol w:w="6"/>
        <w:gridCol w:w="6"/>
        <w:gridCol w:w="6"/>
        <w:gridCol w:w="6"/>
      </w:tblGrid>
      <w:tr w14:paraId="4B801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hidden/>
        </w:trPr>
        <w:tc>
          <w:tcPr>
            <w:tcW w:w="6" w:type="dxa"/>
            <w:tcMar>
              <w:top w:w="0" w:type="dxa"/>
              <w:left w:w="0" w:type="dxa"/>
              <w:bottom w:w="0" w:type="dxa"/>
              <w:right w:w="0" w:type="dxa"/>
            </w:tcMar>
            <w:vAlign w:val="center"/>
          </w:tcPr>
          <w:p w14:paraId="692818AE">
            <w:pPr>
              <w:keepNext w:val="0"/>
              <w:keepLines w:val="0"/>
              <w:widowControl/>
              <w:suppressLineNumbers w:val="0"/>
              <w:spacing w:before="100" w:beforeAutospacing="1" w:after="100" w:afterAutospacing="1" w:line="390" w:lineRule="atLeast"/>
              <w:jc w:val="center"/>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698E7DBF">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2D99FE2F">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781E5FF8">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6CE4E3D7">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r>
    </w:tbl>
    <w:p w14:paraId="4622E7DD">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kern w:val="0"/>
          <w:sz w:val="24"/>
          <w:szCs w:val="24"/>
          <w:highlight w:val="none"/>
          <w:lang w:val="en-US" w:eastAsia="zh-CN" w:bidi="ar-SA"/>
        </w:rPr>
      </w:pPr>
      <w:r>
        <w:rPr>
          <w:rFonts w:hint="eastAsia" w:ascii="微软雅黑" w:hAnsi="微软雅黑" w:eastAsia="微软雅黑" w:cs="微软雅黑"/>
          <w:color w:val="3D4B64"/>
          <w:kern w:val="0"/>
          <w:sz w:val="19"/>
          <w:szCs w:val="19"/>
          <w:highlight w:val="none"/>
          <w:shd w:val="clear" w:color="auto" w:fill="FFFFFF"/>
          <w:lang w:val="en-US" w:eastAsia="zh-CN" w:bidi="ar-SA"/>
        </w:rPr>
        <w:t> </w:t>
      </w:r>
    </w:p>
    <w:p w14:paraId="751BF03E">
      <w:pPr>
        <w:keepNext w:val="0"/>
        <w:keepLines w:val="0"/>
        <w:widowControl/>
        <w:suppressLineNumbers w:val="0"/>
        <w:wordWrap w:val="0"/>
        <w:spacing w:before="0" w:beforeAutospacing="0" w:after="0" w:afterAutospacing="0" w:line="240" w:lineRule="auto"/>
        <w:ind w:left="0" w:right="0"/>
        <w:jc w:val="left"/>
        <w:rPr>
          <w:rFonts w:ascii="黑体" w:hAnsi="宋体" w:eastAsia="黑体" w:cs="黑体"/>
          <w:kern w:val="0"/>
          <w:sz w:val="24"/>
          <w:szCs w:val="24"/>
          <w:highlight w:val="none"/>
          <w:lang w:val="en-US" w:eastAsia="zh-CN" w:bidi="ar-SA"/>
        </w:rPr>
      </w:pPr>
      <w:r>
        <w:rPr>
          <w:rFonts w:hint="eastAsia" w:ascii="黑体" w:hAnsi="宋体" w:eastAsia="黑体" w:cs="黑体"/>
          <w:color w:val="3D4B64"/>
          <w:kern w:val="0"/>
          <w:sz w:val="24"/>
          <w:szCs w:val="24"/>
          <w:highlight w:val="none"/>
          <w:shd w:val="clear" w:color="auto" w:fill="FFFFFF"/>
          <w:lang w:val="en-US" w:eastAsia="zh-CN" w:bidi="ar-SA"/>
        </w:rPr>
        <w:t>注：1、中型企业产品和小微型企业产品必须分别列表；2、投标时应提供此表，未按此要求提供的，评审时不予以考虑。</w:t>
      </w:r>
    </w:p>
    <w:p w14:paraId="4F113024">
      <w:pPr>
        <w:keepNext w:val="0"/>
        <w:keepLines w:val="0"/>
        <w:widowControl/>
        <w:suppressLineNumbers w:val="0"/>
        <w:wordWrap w:val="0"/>
        <w:spacing w:before="0" w:beforeAutospacing="0" w:after="0" w:afterAutospacing="0" w:line="390" w:lineRule="atLeast"/>
        <w:ind w:left="0" w:right="0"/>
        <w:jc w:val="center"/>
        <w:rPr>
          <w:rFonts w:hint="eastAsia" w:ascii="微软雅黑" w:hAnsi="微软雅黑" w:eastAsia="微软雅黑" w:cs="微软雅黑"/>
          <w:color w:val="3D4B64"/>
          <w:kern w:val="0"/>
          <w:sz w:val="19"/>
          <w:szCs w:val="19"/>
          <w:highlight w:val="none"/>
          <w:shd w:val="clear" w:color="auto" w:fill="FFFFFF"/>
          <w:lang w:val="en-US" w:eastAsia="zh-CN" w:bidi="ar-SA"/>
        </w:rPr>
      </w:pPr>
    </w:p>
    <w:p w14:paraId="6C2A04E0">
      <w:pPr>
        <w:keepNext w:val="0"/>
        <w:keepLines w:val="0"/>
        <w:widowControl/>
        <w:suppressLineNumbers w:val="0"/>
        <w:wordWrap w:val="0"/>
        <w:spacing w:before="0" w:beforeAutospacing="0" w:after="0" w:afterAutospacing="0" w:line="390" w:lineRule="atLeast"/>
        <w:ind w:left="0" w:right="0"/>
        <w:jc w:val="center"/>
        <w:rPr>
          <w:rFonts w:hint="eastAsia" w:ascii="微软雅黑" w:hAnsi="微软雅黑" w:eastAsia="微软雅黑" w:cs="微软雅黑"/>
          <w:color w:val="3D4B64"/>
          <w:kern w:val="0"/>
          <w:sz w:val="19"/>
          <w:szCs w:val="19"/>
          <w:highlight w:val="none"/>
          <w:shd w:val="clear" w:color="auto" w:fill="FFFFFF"/>
          <w:lang w:val="en-US" w:eastAsia="zh-CN" w:bidi="ar-SA"/>
        </w:rPr>
      </w:pPr>
    </w:p>
    <w:p w14:paraId="2A69E422">
      <w:pPr>
        <w:keepNext w:val="0"/>
        <w:keepLines w:val="0"/>
        <w:widowControl/>
        <w:suppressLineNumbers w:val="0"/>
        <w:wordWrap w:val="0"/>
        <w:spacing w:before="0" w:beforeAutospacing="0" w:after="0" w:afterAutospacing="0" w:line="390" w:lineRule="atLeast"/>
        <w:ind w:left="0" w:right="0"/>
        <w:jc w:val="center"/>
        <w:rPr>
          <w:rFonts w:hint="eastAsia" w:ascii="微软雅黑" w:hAnsi="微软雅黑" w:eastAsia="微软雅黑" w:cs="微软雅黑"/>
          <w:color w:val="3D4B64"/>
          <w:kern w:val="0"/>
          <w:sz w:val="19"/>
          <w:szCs w:val="19"/>
          <w:highlight w:val="none"/>
          <w:shd w:val="clear" w:color="auto" w:fill="FFFFFF"/>
          <w:lang w:val="en-US" w:eastAsia="zh-CN" w:bidi="ar-SA"/>
        </w:rPr>
      </w:pPr>
    </w:p>
    <w:p w14:paraId="5428A92A">
      <w:pPr>
        <w:keepNext w:val="0"/>
        <w:keepLines w:val="0"/>
        <w:widowControl/>
        <w:suppressLineNumbers w:val="0"/>
        <w:wordWrap w:val="0"/>
        <w:spacing w:before="0" w:beforeAutospacing="0" w:after="0" w:afterAutospacing="0" w:line="390" w:lineRule="atLeast"/>
        <w:ind w:left="0" w:right="0"/>
        <w:jc w:val="center"/>
        <w:rPr>
          <w:rFonts w:hint="eastAsia" w:ascii="微软雅黑" w:hAnsi="微软雅黑" w:eastAsia="微软雅黑" w:cs="微软雅黑"/>
          <w:color w:val="3D4B64"/>
          <w:kern w:val="0"/>
          <w:sz w:val="19"/>
          <w:szCs w:val="19"/>
          <w:highlight w:val="none"/>
          <w:shd w:val="clear" w:color="auto" w:fill="FFFFFF"/>
          <w:lang w:val="en-US" w:eastAsia="zh-CN" w:bidi="ar-SA"/>
        </w:rPr>
      </w:pPr>
    </w:p>
    <w:p w14:paraId="1D4A2C18">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b/>
          <w:bCs/>
          <w:kern w:val="0"/>
          <w:sz w:val="32"/>
          <w:szCs w:val="32"/>
          <w:highlight w:val="none"/>
          <w:lang w:val="en-US" w:eastAsia="zh-CN" w:bidi="ar-SA"/>
        </w:rPr>
      </w:pPr>
      <w:r>
        <w:rPr>
          <w:rFonts w:hint="eastAsia" w:ascii="微软雅黑" w:hAnsi="微软雅黑" w:eastAsia="微软雅黑" w:cs="微软雅黑"/>
          <w:color w:val="3D4B64"/>
          <w:kern w:val="0"/>
          <w:sz w:val="19"/>
          <w:szCs w:val="19"/>
          <w:highlight w:val="none"/>
          <w:shd w:val="clear" w:color="auto" w:fill="FFFFFF"/>
          <w:lang w:val="en-US" w:eastAsia="zh-CN" w:bidi="ar-SA"/>
        </w:rPr>
        <w:t> </w:t>
      </w:r>
      <w:r>
        <w:rPr>
          <w:rFonts w:ascii="微软雅黑" w:hAnsi="微软雅黑" w:eastAsia="微软雅黑" w:cs="微软雅黑"/>
          <w:b/>
          <w:bCs/>
          <w:color w:val="3D4B64"/>
          <w:kern w:val="0"/>
          <w:sz w:val="32"/>
          <w:szCs w:val="32"/>
          <w:highlight w:val="none"/>
          <w:shd w:val="clear" w:color="auto" w:fill="FFFFFF"/>
          <w:lang w:val="en-US" w:eastAsia="zh-CN" w:bidi="ar-SA"/>
        </w:rPr>
        <w:t>附表</w:t>
      </w:r>
      <w:r>
        <w:rPr>
          <w:rFonts w:hint="eastAsia" w:ascii="微软雅黑" w:hAnsi="微软雅黑" w:eastAsia="微软雅黑" w:cs="微软雅黑"/>
          <w:b/>
          <w:bCs/>
          <w:color w:val="3D4B64"/>
          <w:kern w:val="0"/>
          <w:sz w:val="32"/>
          <w:szCs w:val="32"/>
          <w:highlight w:val="none"/>
          <w:shd w:val="clear" w:color="auto" w:fill="FFFFFF"/>
          <w:lang w:val="en-US" w:eastAsia="zh-CN" w:bidi="ar-SA"/>
        </w:rPr>
        <w:t>3</w:t>
      </w:r>
      <w:r>
        <w:rPr>
          <w:rFonts w:ascii="微软雅黑" w:hAnsi="微软雅黑" w:eastAsia="微软雅黑" w:cs="微软雅黑"/>
          <w:b/>
          <w:bCs/>
          <w:color w:val="3D4B64"/>
          <w:kern w:val="0"/>
          <w:sz w:val="32"/>
          <w:szCs w:val="32"/>
          <w:highlight w:val="none"/>
          <w:shd w:val="clear" w:color="auto" w:fill="FFFFFF"/>
          <w:lang w:val="en-US" w:eastAsia="zh-CN" w:bidi="ar-SA"/>
        </w:rPr>
        <w:t>：本项目所投残疾人福利性单位产品清单（第</w:t>
      </w:r>
      <w:r>
        <w:rPr>
          <w:rFonts w:hint="eastAsia" w:ascii="微软雅黑" w:hAnsi="微软雅黑" w:eastAsia="微软雅黑" w:cs="微软雅黑"/>
          <w:b/>
          <w:bCs/>
          <w:color w:val="3D4B64"/>
          <w:kern w:val="0"/>
          <w:sz w:val="32"/>
          <w:szCs w:val="32"/>
          <w:highlight w:val="none"/>
          <w:shd w:val="clear" w:color="auto" w:fill="FFFFFF"/>
          <w:lang w:val="en-US" w:eastAsia="zh-CN" w:bidi="ar-SA"/>
        </w:rPr>
        <w:t xml:space="preserve">包） </w:t>
      </w:r>
    </w:p>
    <w:p w14:paraId="22A063F7">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b/>
          <w:bCs/>
          <w:kern w:val="0"/>
          <w:sz w:val="32"/>
          <w:szCs w:val="32"/>
          <w:highlight w:val="none"/>
          <w:lang w:val="en-US" w:eastAsia="zh-CN" w:bidi="ar-SA"/>
        </w:rPr>
      </w:pPr>
      <w:r>
        <w:rPr>
          <w:rFonts w:hint="eastAsia" w:ascii="微软雅黑" w:hAnsi="微软雅黑" w:eastAsia="微软雅黑" w:cs="微软雅黑"/>
          <w:b/>
          <w:bCs/>
          <w:color w:val="3D4B64"/>
          <w:kern w:val="0"/>
          <w:sz w:val="32"/>
          <w:szCs w:val="32"/>
          <w:highlight w:val="none"/>
          <w:shd w:val="clear" w:color="auto" w:fill="FFFFFF"/>
          <w:lang w:val="en-US" w:eastAsia="zh-CN" w:bidi="ar-SA"/>
        </w:rPr>
        <w:t xml:space="preserve">  </w:t>
      </w:r>
    </w:p>
    <w:tbl>
      <w:tblPr>
        <w:tblStyle w:val="43"/>
        <w:tblW w:w="35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00"/>
        <w:gridCol w:w="1237"/>
        <w:gridCol w:w="1310"/>
        <w:gridCol w:w="1237"/>
        <w:gridCol w:w="1237"/>
      </w:tblGrid>
      <w:tr w14:paraId="0F8FA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0" w:hRule="atLeast"/>
          <w:jc w:val="center"/>
        </w:trPr>
        <w:tc>
          <w:tcPr>
            <w:tcW w:w="846" w:type="dxa"/>
            <w:vAlign w:val="center"/>
          </w:tcPr>
          <w:p w14:paraId="1BD77A94">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品目号</w:t>
            </w:r>
          </w:p>
        </w:tc>
        <w:tc>
          <w:tcPr>
            <w:tcW w:w="1309" w:type="dxa"/>
            <w:vAlign w:val="center"/>
          </w:tcPr>
          <w:p w14:paraId="0D60349F">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产品名称</w:t>
            </w:r>
          </w:p>
        </w:tc>
        <w:tc>
          <w:tcPr>
            <w:tcW w:w="1386" w:type="dxa"/>
            <w:vAlign w:val="center"/>
          </w:tcPr>
          <w:p w14:paraId="20E58E61">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价格(元)</w:t>
            </w:r>
          </w:p>
        </w:tc>
        <w:tc>
          <w:tcPr>
            <w:tcW w:w="1309" w:type="dxa"/>
            <w:vAlign w:val="center"/>
          </w:tcPr>
          <w:p w14:paraId="59ED61D3">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产品所在页码</w:t>
            </w:r>
          </w:p>
        </w:tc>
        <w:tc>
          <w:tcPr>
            <w:tcW w:w="1309" w:type="dxa"/>
            <w:vAlign w:val="center"/>
          </w:tcPr>
          <w:p w14:paraId="16D17519">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备注</w:t>
            </w:r>
          </w:p>
        </w:tc>
      </w:tr>
      <w:tr w14:paraId="4E231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46" w:type="dxa"/>
            <w:vAlign w:val="center"/>
          </w:tcPr>
          <w:p w14:paraId="69D870F3">
            <w:pPr>
              <w:keepNext w:val="0"/>
              <w:keepLines w:val="0"/>
              <w:widowControl/>
              <w:suppressLineNumbers w:val="0"/>
              <w:spacing w:before="100" w:beforeAutospacing="1" w:after="100" w:afterAutospacing="1" w:line="390" w:lineRule="atLeast"/>
              <w:jc w:val="center"/>
              <w:rPr>
                <w:rFonts w:ascii="宋体" w:hAnsi="宋体" w:eastAsia="宋体" w:cs="宋体"/>
                <w:kern w:val="0"/>
                <w:sz w:val="24"/>
                <w:szCs w:val="24"/>
                <w:highlight w:val="none"/>
                <w:lang w:val="en-US" w:eastAsia="zh-CN" w:bidi="ar-SA"/>
              </w:rPr>
            </w:pPr>
          </w:p>
        </w:tc>
        <w:tc>
          <w:tcPr>
            <w:tcW w:w="1309" w:type="dxa"/>
            <w:vAlign w:val="center"/>
          </w:tcPr>
          <w:p w14:paraId="4025B640">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86" w:type="dxa"/>
            <w:vAlign w:val="center"/>
          </w:tcPr>
          <w:p w14:paraId="6DDC894E">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7AC4B7B4">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62617A29">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r>
      <w:tr w14:paraId="6A98C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46" w:type="dxa"/>
            <w:vAlign w:val="center"/>
          </w:tcPr>
          <w:p w14:paraId="7C0146F4">
            <w:pPr>
              <w:keepNext w:val="0"/>
              <w:keepLines w:val="0"/>
              <w:widowControl/>
              <w:suppressLineNumbers w:val="0"/>
              <w:spacing w:before="100" w:beforeAutospacing="1" w:after="100" w:afterAutospacing="1" w:line="390" w:lineRule="atLeast"/>
              <w:jc w:val="center"/>
              <w:rPr>
                <w:rFonts w:ascii="宋体" w:hAnsi="宋体" w:eastAsia="宋体" w:cs="宋体"/>
                <w:kern w:val="0"/>
                <w:sz w:val="24"/>
                <w:szCs w:val="24"/>
                <w:highlight w:val="none"/>
                <w:lang w:val="en-US" w:eastAsia="zh-CN" w:bidi="ar-SA"/>
              </w:rPr>
            </w:pPr>
          </w:p>
        </w:tc>
        <w:tc>
          <w:tcPr>
            <w:tcW w:w="1309" w:type="dxa"/>
            <w:vAlign w:val="center"/>
          </w:tcPr>
          <w:p w14:paraId="1A8C55A0">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86" w:type="dxa"/>
            <w:vAlign w:val="center"/>
          </w:tcPr>
          <w:p w14:paraId="3D8478A9">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606C28BE">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c>
          <w:tcPr>
            <w:tcW w:w="1309" w:type="dxa"/>
            <w:vAlign w:val="center"/>
          </w:tcPr>
          <w:p w14:paraId="5C594489">
            <w:pPr>
              <w:keepNext w:val="0"/>
              <w:keepLines w:val="0"/>
              <w:widowControl/>
              <w:suppressLineNumbers w:val="0"/>
              <w:spacing w:before="100" w:beforeAutospacing="1" w:after="100" w:afterAutospacing="1" w:line="390" w:lineRule="atLeast"/>
              <w:jc w:val="both"/>
              <w:rPr>
                <w:rFonts w:ascii="宋体" w:hAnsi="宋体" w:eastAsia="宋体" w:cs="宋体"/>
                <w:kern w:val="0"/>
                <w:sz w:val="24"/>
                <w:szCs w:val="24"/>
                <w:highlight w:val="none"/>
                <w:lang w:val="en-US" w:eastAsia="zh-CN" w:bidi="ar-SA"/>
              </w:rPr>
            </w:pPr>
          </w:p>
        </w:tc>
      </w:tr>
    </w:tbl>
    <w:p w14:paraId="4DA1D027">
      <w:pPr>
        <w:rPr>
          <w:vanish/>
          <w:sz w:val="24"/>
          <w:szCs w:val="24"/>
          <w:highlight w:val="none"/>
        </w:rPr>
      </w:pPr>
    </w:p>
    <w:tbl>
      <w:tblPr>
        <w:tblStyle w:val="43"/>
        <w:tblW w:w="35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144"/>
        <w:gridCol w:w="3677"/>
      </w:tblGrid>
      <w:tr w14:paraId="2A5976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2269" w:type="dxa"/>
            <w:tcBorders>
              <w:top w:val="single" w:color="auto" w:sz="4" w:space="0"/>
              <w:left w:val="single" w:color="auto" w:sz="4" w:space="0"/>
              <w:bottom w:val="single" w:color="auto" w:sz="4" w:space="0"/>
              <w:right w:val="single" w:color="auto" w:sz="4" w:space="0"/>
            </w:tcBorders>
            <w:vAlign w:val="center"/>
          </w:tcPr>
          <w:p w14:paraId="5D776479">
            <w:pPr>
              <w:keepNext w:val="0"/>
              <w:keepLines w:val="0"/>
              <w:widowControl/>
              <w:suppressLineNumbers w:val="0"/>
              <w:spacing w:before="0" w:beforeAutospacing="0" w:after="0" w:afterAutospacing="0" w:line="390" w:lineRule="atLeast"/>
              <w:ind w:left="0" w:right="0"/>
              <w:jc w:val="center"/>
              <w:rPr>
                <w:rFonts w:hint="eastAsia" w:ascii="微软雅黑" w:hAnsi="微软雅黑" w:eastAsia="微软雅黑" w:cs="微软雅黑"/>
                <w:color w:val="3D4B64"/>
                <w:sz w:val="19"/>
                <w:szCs w:val="19"/>
                <w:highlight w:val="none"/>
              </w:rPr>
            </w:pPr>
            <w:r>
              <w:rPr>
                <w:rFonts w:hint="eastAsia" w:ascii="微软雅黑" w:hAnsi="微软雅黑" w:eastAsia="微软雅黑" w:cs="微软雅黑"/>
                <w:color w:val="3D4B64"/>
                <w:kern w:val="2"/>
                <w:sz w:val="19"/>
                <w:szCs w:val="19"/>
                <w:highlight w:val="none"/>
                <w:lang w:val="en-US" w:eastAsia="zh-CN" w:bidi="ar"/>
              </w:rPr>
              <w:t xml:space="preserve">产品总价(元) </w:t>
            </w:r>
          </w:p>
        </w:tc>
        <w:tc>
          <w:tcPr>
            <w:tcW w:w="3890" w:type="dxa"/>
            <w:tcBorders>
              <w:top w:val="single" w:color="auto" w:sz="4" w:space="0"/>
              <w:left w:val="single" w:color="auto" w:sz="4" w:space="0"/>
              <w:bottom w:val="single" w:color="auto" w:sz="4" w:space="0"/>
              <w:right w:val="single" w:color="auto" w:sz="4" w:space="0"/>
            </w:tcBorders>
            <w:vAlign w:val="center"/>
          </w:tcPr>
          <w:p w14:paraId="7D64C316">
            <w:pPr>
              <w:keepNext w:val="0"/>
              <w:keepLines w:val="0"/>
              <w:widowControl/>
              <w:suppressLineNumbers w:val="0"/>
              <w:spacing w:before="0" w:beforeAutospacing="0" w:after="0" w:afterAutospacing="0" w:line="390" w:lineRule="atLeast"/>
              <w:ind w:left="0" w:right="0"/>
              <w:jc w:val="left"/>
              <w:rPr>
                <w:rFonts w:hint="eastAsia" w:ascii="微软雅黑" w:hAnsi="微软雅黑" w:eastAsia="微软雅黑" w:cs="微软雅黑"/>
                <w:color w:val="3D4B64"/>
                <w:sz w:val="19"/>
                <w:szCs w:val="19"/>
                <w:highlight w:val="none"/>
              </w:rPr>
            </w:pPr>
          </w:p>
        </w:tc>
      </w:tr>
    </w:tbl>
    <w:p w14:paraId="712DA97C">
      <w:pPr>
        <w:rPr>
          <w:vanish/>
          <w:sz w:val="24"/>
          <w:szCs w:val="24"/>
          <w:highlight w:val="none"/>
        </w:rPr>
      </w:pPr>
    </w:p>
    <w:tbl>
      <w:tblPr>
        <w:tblStyle w:val="4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6"/>
        <w:gridCol w:w="6"/>
        <w:gridCol w:w="6"/>
        <w:gridCol w:w="6"/>
        <w:gridCol w:w="6"/>
      </w:tblGrid>
      <w:tr w14:paraId="76E55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hidden/>
        </w:trPr>
        <w:tc>
          <w:tcPr>
            <w:tcW w:w="6" w:type="dxa"/>
            <w:tcMar>
              <w:top w:w="0" w:type="dxa"/>
              <w:left w:w="0" w:type="dxa"/>
              <w:bottom w:w="0" w:type="dxa"/>
              <w:right w:w="0" w:type="dxa"/>
            </w:tcMar>
            <w:vAlign w:val="center"/>
          </w:tcPr>
          <w:p w14:paraId="4E210649">
            <w:pPr>
              <w:keepNext w:val="0"/>
              <w:keepLines w:val="0"/>
              <w:widowControl/>
              <w:suppressLineNumbers w:val="0"/>
              <w:spacing w:before="100" w:beforeAutospacing="1" w:after="100" w:afterAutospacing="1" w:line="390" w:lineRule="atLeast"/>
              <w:jc w:val="center"/>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4F41C862">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709C649B">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4F403C0C">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c>
          <w:tcPr>
            <w:tcW w:w="6" w:type="dxa"/>
            <w:tcMar>
              <w:top w:w="0" w:type="dxa"/>
              <w:left w:w="0" w:type="dxa"/>
              <w:bottom w:w="0" w:type="dxa"/>
              <w:right w:w="0" w:type="dxa"/>
            </w:tcMar>
            <w:vAlign w:val="center"/>
          </w:tcPr>
          <w:p w14:paraId="7F159ACA">
            <w:pPr>
              <w:keepNext w:val="0"/>
              <w:keepLines w:val="0"/>
              <w:widowControl/>
              <w:suppressLineNumbers w:val="0"/>
              <w:spacing w:before="100" w:beforeAutospacing="1" w:after="100" w:afterAutospacing="1" w:line="390" w:lineRule="atLeast"/>
              <w:jc w:val="both"/>
              <w:rPr>
                <w:rFonts w:ascii="宋体" w:hAnsi="宋体" w:eastAsia="宋体" w:cs="宋体"/>
                <w:vanish/>
                <w:kern w:val="0"/>
                <w:sz w:val="24"/>
                <w:szCs w:val="24"/>
                <w:highlight w:val="none"/>
                <w:lang w:val="en-US" w:eastAsia="zh-CN" w:bidi="ar-SA"/>
              </w:rPr>
            </w:pPr>
          </w:p>
        </w:tc>
      </w:tr>
    </w:tbl>
    <w:p w14:paraId="20CEC7B8">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kern w:val="0"/>
          <w:sz w:val="24"/>
          <w:szCs w:val="24"/>
          <w:highlight w:val="none"/>
          <w:lang w:val="en-US" w:eastAsia="zh-CN" w:bidi="ar-SA"/>
        </w:rPr>
      </w:pPr>
      <w:r>
        <w:rPr>
          <w:rFonts w:hint="eastAsia" w:ascii="微软雅黑" w:hAnsi="微软雅黑" w:eastAsia="微软雅黑" w:cs="微软雅黑"/>
          <w:color w:val="3D4B64"/>
          <w:kern w:val="0"/>
          <w:sz w:val="19"/>
          <w:szCs w:val="19"/>
          <w:highlight w:val="none"/>
          <w:shd w:val="clear" w:color="auto" w:fill="FFFFFF"/>
          <w:lang w:val="en-US" w:eastAsia="zh-CN" w:bidi="ar-SA"/>
        </w:rPr>
        <w:t> </w:t>
      </w:r>
    </w:p>
    <w:p w14:paraId="0448DDD0">
      <w:pPr>
        <w:keepNext w:val="0"/>
        <w:keepLines w:val="0"/>
        <w:widowControl/>
        <w:suppressLineNumbers w:val="0"/>
        <w:wordWrap w:val="0"/>
        <w:spacing w:before="0" w:beforeAutospacing="0" w:after="0" w:afterAutospacing="0" w:line="240" w:lineRule="auto"/>
        <w:ind w:left="0" w:right="0"/>
        <w:jc w:val="left"/>
        <w:rPr>
          <w:rFonts w:ascii="黑体" w:hAnsi="宋体" w:eastAsia="黑体" w:cs="黑体"/>
          <w:kern w:val="0"/>
          <w:sz w:val="24"/>
          <w:szCs w:val="24"/>
          <w:highlight w:val="none"/>
          <w:lang w:val="en-US" w:eastAsia="zh-CN" w:bidi="ar-SA"/>
        </w:rPr>
      </w:pPr>
      <w:r>
        <w:rPr>
          <w:rFonts w:hint="eastAsia" w:ascii="黑体" w:hAnsi="宋体" w:eastAsia="黑体" w:cs="黑体"/>
          <w:color w:val="3D4B64"/>
          <w:kern w:val="0"/>
          <w:sz w:val="24"/>
          <w:szCs w:val="24"/>
          <w:highlight w:val="none"/>
          <w:shd w:val="clear" w:color="auto" w:fill="FFFFFF"/>
          <w:lang w:val="en-US" w:eastAsia="zh-CN" w:bidi="ar-SA"/>
        </w:rPr>
        <w:t>注：1、投标时应提供此表，未按此要求提供的，评审时不予以考虑。</w:t>
      </w:r>
    </w:p>
    <w:p w14:paraId="5CA17094">
      <w:pPr>
        <w:keepNext w:val="0"/>
        <w:keepLines w:val="0"/>
        <w:widowControl/>
        <w:suppressLineNumbers w:val="0"/>
        <w:wordWrap w:val="0"/>
        <w:spacing w:before="0" w:beforeAutospacing="0" w:after="0" w:afterAutospacing="0" w:line="390" w:lineRule="atLeast"/>
        <w:ind w:left="0" w:right="0"/>
        <w:jc w:val="center"/>
        <w:rPr>
          <w:rFonts w:ascii="宋体" w:hAnsi="宋体" w:eastAsia="宋体" w:cs="宋体"/>
          <w:kern w:val="0"/>
          <w:sz w:val="24"/>
          <w:szCs w:val="24"/>
          <w:highlight w:val="none"/>
          <w:lang w:val="en-US" w:eastAsia="zh-CN" w:bidi="ar-SA"/>
        </w:rPr>
      </w:pPr>
    </w:p>
    <w:p w14:paraId="672EAF26">
      <w:pPr>
        <w:rPr>
          <w:rFonts w:ascii="微软雅黑" w:hAnsi="微软雅黑" w:eastAsia="微软雅黑" w:cs="微软雅黑"/>
          <w:b/>
          <w:bCs/>
          <w:color w:val="3D4B64"/>
          <w:sz w:val="32"/>
          <w:szCs w:val="32"/>
          <w:highlight w:val="none"/>
          <w:shd w:val="clear" w:color="auto" w:fill="FFFFFF"/>
        </w:rPr>
      </w:pPr>
      <w:r>
        <w:rPr>
          <w:rFonts w:ascii="微软雅黑" w:hAnsi="微软雅黑" w:eastAsia="微软雅黑" w:cs="微软雅黑"/>
          <w:b/>
          <w:bCs/>
          <w:color w:val="3D4B64"/>
          <w:sz w:val="32"/>
          <w:szCs w:val="32"/>
          <w:highlight w:val="none"/>
          <w:shd w:val="clear" w:color="auto" w:fill="FFFFFF"/>
        </w:rPr>
        <w:br w:type="page"/>
      </w:r>
    </w:p>
    <w:p w14:paraId="61C11285">
      <w:pPr>
        <w:pStyle w:val="38"/>
        <w:wordWrap w:val="0"/>
        <w:spacing w:before="0" w:beforeAutospacing="0" w:after="0" w:afterAutospacing="0" w:line="390" w:lineRule="atLeast"/>
        <w:jc w:val="center"/>
        <w:rPr>
          <w:b/>
          <w:bCs/>
          <w:sz w:val="32"/>
          <w:szCs w:val="32"/>
          <w:highlight w:val="none"/>
        </w:rPr>
      </w:pPr>
      <w:r>
        <w:rPr>
          <w:rFonts w:ascii="微软雅黑" w:hAnsi="微软雅黑" w:eastAsia="微软雅黑" w:cs="微软雅黑"/>
          <w:b/>
          <w:bCs/>
          <w:color w:val="3D4B64"/>
          <w:sz w:val="32"/>
          <w:szCs w:val="32"/>
          <w:highlight w:val="none"/>
          <w:shd w:val="clear" w:color="auto" w:fill="FFFFFF"/>
        </w:rPr>
        <w:t>附表</w:t>
      </w:r>
      <w:r>
        <w:rPr>
          <w:rFonts w:hint="eastAsia" w:ascii="微软雅黑" w:hAnsi="微软雅黑" w:eastAsia="微软雅黑" w:cs="微软雅黑"/>
          <w:b/>
          <w:bCs/>
          <w:color w:val="3D4B64"/>
          <w:sz w:val="32"/>
          <w:szCs w:val="32"/>
          <w:highlight w:val="none"/>
          <w:shd w:val="clear" w:color="auto" w:fill="FFFFFF"/>
          <w:lang w:val="en-US" w:eastAsia="zh-CN"/>
        </w:rPr>
        <w:t>4</w:t>
      </w:r>
      <w:r>
        <w:rPr>
          <w:rFonts w:ascii="微软雅黑" w:hAnsi="微软雅黑" w:eastAsia="微软雅黑" w:cs="微软雅黑"/>
          <w:b/>
          <w:bCs/>
          <w:color w:val="3D4B64"/>
          <w:sz w:val="32"/>
          <w:szCs w:val="32"/>
          <w:highlight w:val="none"/>
          <w:shd w:val="clear" w:color="auto" w:fill="FFFFFF"/>
        </w:rPr>
        <w:t>：本项目所投节能或环境标志产品（第</w:t>
      </w:r>
      <w:r>
        <w:rPr>
          <w:rFonts w:hint="eastAsia" w:ascii="微软雅黑" w:hAnsi="微软雅黑" w:eastAsia="微软雅黑" w:cs="微软雅黑"/>
          <w:b/>
          <w:bCs/>
          <w:color w:val="3D4B64"/>
          <w:sz w:val="32"/>
          <w:szCs w:val="32"/>
          <w:highlight w:val="none"/>
          <w:u w:val="single"/>
          <w:shd w:val="clear" w:color="auto" w:fill="FFFFFF"/>
        </w:rPr>
        <w:t xml:space="preserve"> </w:t>
      </w:r>
      <w:r>
        <w:rPr>
          <w:rFonts w:hint="eastAsia" w:ascii="微软雅黑" w:hAnsi="微软雅黑" w:eastAsia="微软雅黑" w:cs="微软雅黑"/>
          <w:b/>
          <w:bCs/>
          <w:color w:val="3D4B64"/>
          <w:sz w:val="32"/>
          <w:szCs w:val="32"/>
          <w:highlight w:val="none"/>
          <w:shd w:val="clear" w:color="auto" w:fill="FFFFFF"/>
        </w:rPr>
        <w:t>包）</w:t>
      </w:r>
    </w:p>
    <w:p w14:paraId="397F6F94">
      <w:pPr>
        <w:pStyle w:val="38"/>
        <w:wordWrap w:val="0"/>
        <w:spacing w:before="0" w:beforeAutospacing="0" w:after="0" w:afterAutospacing="0" w:line="390" w:lineRule="atLeast"/>
        <w:jc w:val="center"/>
        <w:rPr>
          <w:b/>
          <w:bCs/>
          <w:sz w:val="32"/>
          <w:szCs w:val="32"/>
          <w:highlight w:val="none"/>
        </w:rPr>
      </w:pPr>
      <w:r>
        <w:rPr>
          <w:rFonts w:hint="eastAsia" w:ascii="微软雅黑" w:hAnsi="微软雅黑" w:eastAsia="微软雅黑" w:cs="微软雅黑"/>
          <w:b/>
          <w:bCs/>
          <w:color w:val="3D4B64"/>
          <w:sz w:val="32"/>
          <w:szCs w:val="32"/>
          <w:highlight w:val="none"/>
          <w:shd w:val="clear" w:color="auto" w:fill="FFFFFF"/>
        </w:rPr>
        <w:t xml:space="preserve">  </w:t>
      </w:r>
    </w:p>
    <w:tbl>
      <w:tblPr>
        <w:tblStyle w:val="43"/>
        <w:tblW w:w="92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20"/>
        <w:gridCol w:w="3240"/>
        <w:gridCol w:w="1620"/>
        <w:gridCol w:w="1620"/>
        <w:gridCol w:w="1180"/>
      </w:tblGrid>
      <w:tr w14:paraId="58619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8" w:hRule="atLeast"/>
          <w:jc w:val="center"/>
        </w:trPr>
        <w:tc>
          <w:tcPr>
            <w:tcW w:w="1620" w:type="dxa"/>
            <w:shd w:val="clear" w:color="auto" w:fill="auto"/>
            <w:vAlign w:val="center"/>
          </w:tcPr>
          <w:p w14:paraId="4059DCF4">
            <w:pPr>
              <w:widowControl/>
              <w:spacing w:line="390" w:lineRule="atLeast"/>
              <w:jc w:val="center"/>
              <w:rPr>
                <w:rFonts w:hint="eastAsia" w:ascii="微软雅黑" w:hAnsi="微软雅黑" w:eastAsia="微软雅黑" w:cs="微软雅黑"/>
                <w:color w:val="3D4B64"/>
                <w:sz w:val="19"/>
                <w:szCs w:val="19"/>
                <w:highlight w:val="none"/>
                <w:lang w:eastAsia="zh-CN"/>
              </w:rPr>
            </w:pPr>
            <w:r>
              <w:rPr>
                <w:rFonts w:hint="eastAsia" w:ascii="微软雅黑" w:hAnsi="微软雅黑" w:eastAsia="微软雅黑" w:cs="微软雅黑"/>
                <w:color w:val="3D4B64"/>
                <w:sz w:val="19"/>
                <w:szCs w:val="19"/>
                <w:highlight w:val="none"/>
                <w:lang w:eastAsia="zh-CN" w:bidi="ar"/>
              </w:rPr>
              <w:t>序号</w:t>
            </w:r>
          </w:p>
        </w:tc>
        <w:tc>
          <w:tcPr>
            <w:tcW w:w="3240" w:type="dxa"/>
            <w:shd w:val="clear" w:color="auto" w:fill="auto"/>
            <w:vAlign w:val="center"/>
          </w:tcPr>
          <w:p w14:paraId="7C75E58B">
            <w:pPr>
              <w:widowControl/>
              <w:spacing w:line="390" w:lineRule="atLeast"/>
              <w:jc w:val="center"/>
              <w:rPr>
                <w:rFonts w:ascii="微软雅黑" w:hAnsi="微软雅黑" w:eastAsia="微软雅黑" w:cs="微软雅黑"/>
                <w:color w:val="3D4B64"/>
                <w:sz w:val="19"/>
                <w:szCs w:val="19"/>
                <w:highlight w:val="none"/>
              </w:rPr>
            </w:pPr>
            <w:r>
              <w:rPr>
                <w:rFonts w:hint="eastAsia" w:ascii="微软雅黑" w:hAnsi="微软雅黑" w:eastAsia="微软雅黑" w:cs="微软雅黑"/>
                <w:color w:val="3D4B64"/>
                <w:sz w:val="19"/>
                <w:szCs w:val="19"/>
                <w:highlight w:val="none"/>
                <w:lang w:bidi="ar"/>
              </w:rPr>
              <w:t>产品名称</w:t>
            </w:r>
          </w:p>
        </w:tc>
        <w:tc>
          <w:tcPr>
            <w:tcW w:w="1620" w:type="dxa"/>
            <w:shd w:val="clear" w:color="auto" w:fill="auto"/>
            <w:vAlign w:val="center"/>
          </w:tcPr>
          <w:p w14:paraId="17342423">
            <w:pPr>
              <w:widowControl/>
              <w:spacing w:line="390" w:lineRule="atLeast"/>
              <w:jc w:val="center"/>
              <w:rPr>
                <w:rFonts w:ascii="微软雅黑" w:hAnsi="微软雅黑" w:eastAsia="微软雅黑" w:cs="微软雅黑"/>
                <w:color w:val="3D4B64"/>
                <w:sz w:val="19"/>
                <w:szCs w:val="19"/>
                <w:highlight w:val="none"/>
              </w:rPr>
            </w:pPr>
            <w:r>
              <w:rPr>
                <w:rFonts w:hint="eastAsia" w:ascii="微软雅黑" w:hAnsi="微软雅黑" w:eastAsia="微软雅黑" w:cs="微软雅黑"/>
                <w:color w:val="3D4B64"/>
                <w:sz w:val="19"/>
                <w:szCs w:val="19"/>
                <w:highlight w:val="none"/>
                <w:lang w:bidi="ar"/>
              </w:rPr>
              <w:t>价格(元)</w:t>
            </w:r>
          </w:p>
        </w:tc>
        <w:tc>
          <w:tcPr>
            <w:tcW w:w="1620" w:type="dxa"/>
            <w:shd w:val="clear" w:color="auto" w:fill="auto"/>
            <w:vAlign w:val="center"/>
          </w:tcPr>
          <w:p w14:paraId="39F5FD01">
            <w:pPr>
              <w:widowControl/>
              <w:spacing w:line="390" w:lineRule="atLeast"/>
              <w:jc w:val="center"/>
              <w:rPr>
                <w:rFonts w:ascii="微软雅黑" w:hAnsi="微软雅黑" w:eastAsia="微软雅黑" w:cs="微软雅黑"/>
                <w:color w:val="3D4B64"/>
                <w:sz w:val="19"/>
                <w:szCs w:val="19"/>
                <w:highlight w:val="none"/>
              </w:rPr>
            </w:pPr>
            <w:r>
              <w:rPr>
                <w:rFonts w:hint="eastAsia" w:ascii="微软雅黑" w:hAnsi="微软雅黑" w:eastAsia="微软雅黑" w:cs="微软雅黑"/>
                <w:color w:val="3D4B64"/>
                <w:sz w:val="19"/>
                <w:szCs w:val="19"/>
                <w:highlight w:val="none"/>
                <w:lang w:bidi="ar"/>
              </w:rPr>
              <w:t xml:space="preserve">类型 （节能/环境标志） </w:t>
            </w:r>
          </w:p>
        </w:tc>
        <w:tc>
          <w:tcPr>
            <w:tcW w:w="1180" w:type="dxa"/>
            <w:shd w:val="clear" w:color="auto" w:fill="auto"/>
            <w:vAlign w:val="center"/>
          </w:tcPr>
          <w:p w14:paraId="6EA4F57A">
            <w:pPr>
              <w:widowControl/>
              <w:spacing w:line="390" w:lineRule="atLeast"/>
              <w:jc w:val="center"/>
              <w:rPr>
                <w:rFonts w:ascii="微软雅黑" w:hAnsi="微软雅黑" w:eastAsia="微软雅黑" w:cs="微软雅黑"/>
                <w:color w:val="3D4B64"/>
                <w:sz w:val="19"/>
                <w:szCs w:val="19"/>
                <w:highlight w:val="none"/>
              </w:rPr>
            </w:pPr>
            <w:r>
              <w:rPr>
                <w:rFonts w:hint="eastAsia" w:ascii="微软雅黑" w:hAnsi="微软雅黑" w:eastAsia="微软雅黑" w:cs="微软雅黑"/>
                <w:color w:val="3D4B64"/>
                <w:sz w:val="19"/>
                <w:szCs w:val="19"/>
                <w:highlight w:val="none"/>
                <w:lang w:bidi="ar"/>
              </w:rPr>
              <w:t>备注</w:t>
            </w:r>
          </w:p>
        </w:tc>
      </w:tr>
      <w:tr w14:paraId="584BC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6" w:hRule="atLeast"/>
          <w:jc w:val="center"/>
        </w:trPr>
        <w:tc>
          <w:tcPr>
            <w:tcW w:w="9280" w:type="dxa"/>
            <w:gridSpan w:val="5"/>
            <w:shd w:val="clear" w:color="auto" w:fill="auto"/>
            <w:vAlign w:val="center"/>
          </w:tcPr>
          <w:p w14:paraId="35E7103E">
            <w:pPr>
              <w:pStyle w:val="38"/>
              <w:spacing w:line="390" w:lineRule="atLeast"/>
              <w:jc w:val="center"/>
              <w:rPr>
                <w:rFonts w:hint="eastAsia" w:eastAsia="宋体"/>
                <w:highlight w:val="none"/>
                <w:lang w:eastAsia="zh-CN"/>
              </w:rPr>
            </w:pPr>
            <w:r>
              <w:rPr>
                <w:rFonts w:hint="eastAsia"/>
                <w:highlight w:val="none"/>
                <w:lang w:eastAsia="zh-CN"/>
              </w:rPr>
              <w:t>强制采购节能产品部分</w:t>
            </w:r>
          </w:p>
        </w:tc>
      </w:tr>
      <w:tr w14:paraId="18E20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6" w:hRule="atLeast"/>
          <w:jc w:val="center"/>
        </w:trPr>
        <w:tc>
          <w:tcPr>
            <w:tcW w:w="0" w:type="auto"/>
            <w:shd w:val="clear" w:color="auto" w:fill="auto"/>
            <w:vAlign w:val="center"/>
          </w:tcPr>
          <w:p w14:paraId="70B66811">
            <w:pPr>
              <w:pStyle w:val="38"/>
              <w:spacing w:line="390" w:lineRule="atLeast"/>
              <w:jc w:val="center"/>
              <w:rPr>
                <w:highlight w:val="none"/>
              </w:rPr>
            </w:pPr>
          </w:p>
        </w:tc>
        <w:tc>
          <w:tcPr>
            <w:tcW w:w="0" w:type="auto"/>
            <w:shd w:val="clear" w:color="auto" w:fill="auto"/>
            <w:vAlign w:val="center"/>
          </w:tcPr>
          <w:p w14:paraId="01E43D15">
            <w:pPr>
              <w:pStyle w:val="38"/>
              <w:spacing w:line="390" w:lineRule="atLeast"/>
              <w:jc w:val="both"/>
              <w:rPr>
                <w:highlight w:val="none"/>
              </w:rPr>
            </w:pPr>
          </w:p>
        </w:tc>
        <w:tc>
          <w:tcPr>
            <w:tcW w:w="0" w:type="auto"/>
            <w:shd w:val="clear" w:color="auto" w:fill="auto"/>
            <w:vAlign w:val="center"/>
          </w:tcPr>
          <w:p w14:paraId="7D7009C7">
            <w:pPr>
              <w:pStyle w:val="38"/>
              <w:spacing w:line="390" w:lineRule="atLeast"/>
              <w:jc w:val="both"/>
              <w:rPr>
                <w:highlight w:val="none"/>
              </w:rPr>
            </w:pPr>
          </w:p>
        </w:tc>
        <w:tc>
          <w:tcPr>
            <w:tcW w:w="0" w:type="auto"/>
            <w:shd w:val="clear" w:color="auto" w:fill="auto"/>
            <w:vAlign w:val="center"/>
          </w:tcPr>
          <w:p w14:paraId="40740900">
            <w:pPr>
              <w:pStyle w:val="38"/>
              <w:spacing w:line="390" w:lineRule="atLeast"/>
              <w:jc w:val="both"/>
              <w:rPr>
                <w:highlight w:val="none"/>
              </w:rPr>
            </w:pPr>
          </w:p>
        </w:tc>
        <w:tc>
          <w:tcPr>
            <w:tcW w:w="1180" w:type="dxa"/>
            <w:shd w:val="clear" w:color="auto" w:fill="auto"/>
            <w:vAlign w:val="center"/>
          </w:tcPr>
          <w:p w14:paraId="1C9C9F05">
            <w:pPr>
              <w:pStyle w:val="38"/>
              <w:spacing w:line="390" w:lineRule="atLeast"/>
              <w:jc w:val="both"/>
              <w:rPr>
                <w:highlight w:val="none"/>
              </w:rPr>
            </w:pPr>
          </w:p>
        </w:tc>
      </w:tr>
      <w:tr w14:paraId="2DB59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6" w:hRule="atLeast"/>
          <w:jc w:val="center"/>
        </w:trPr>
        <w:tc>
          <w:tcPr>
            <w:tcW w:w="0" w:type="auto"/>
            <w:shd w:val="clear" w:color="auto" w:fill="auto"/>
            <w:vAlign w:val="center"/>
          </w:tcPr>
          <w:p w14:paraId="6E5D64D2">
            <w:pPr>
              <w:pStyle w:val="38"/>
              <w:spacing w:line="390" w:lineRule="atLeast"/>
              <w:jc w:val="center"/>
              <w:rPr>
                <w:highlight w:val="none"/>
              </w:rPr>
            </w:pPr>
          </w:p>
        </w:tc>
        <w:tc>
          <w:tcPr>
            <w:tcW w:w="0" w:type="auto"/>
            <w:shd w:val="clear" w:color="auto" w:fill="auto"/>
            <w:vAlign w:val="center"/>
          </w:tcPr>
          <w:p w14:paraId="3D37EC67">
            <w:pPr>
              <w:pStyle w:val="38"/>
              <w:spacing w:line="390" w:lineRule="atLeast"/>
              <w:jc w:val="both"/>
              <w:rPr>
                <w:highlight w:val="none"/>
              </w:rPr>
            </w:pPr>
          </w:p>
        </w:tc>
        <w:tc>
          <w:tcPr>
            <w:tcW w:w="0" w:type="auto"/>
            <w:shd w:val="clear" w:color="auto" w:fill="auto"/>
            <w:vAlign w:val="center"/>
          </w:tcPr>
          <w:p w14:paraId="5AB5AFD8">
            <w:pPr>
              <w:pStyle w:val="38"/>
              <w:spacing w:line="390" w:lineRule="atLeast"/>
              <w:jc w:val="both"/>
              <w:rPr>
                <w:highlight w:val="none"/>
              </w:rPr>
            </w:pPr>
          </w:p>
        </w:tc>
        <w:tc>
          <w:tcPr>
            <w:tcW w:w="0" w:type="auto"/>
            <w:shd w:val="clear" w:color="auto" w:fill="auto"/>
            <w:vAlign w:val="center"/>
          </w:tcPr>
          <w:p w14:paraId="1670D1AA">
            <w:pPr>
              <w:pStyle w:val="38"/>
              <w:spacing w:line="390" w:lineRule="atLeast"/>
              <w:jc w:val="both"/>
              <w:rPr>
                <w:highlight w:val="none"/>
              </w:rPr>
            </w:pPr>
          </w:p>
        </w:tc>
        <w:tc>
          <w:tcPr>
            <w:tcW w:w="1180" w:type="dxa"/>
            <w:shd w:val="clear" w:color="auto" w:fill="auto"/>
            <w:vAlign w:val="center"/>
          </w:tcPr>
          <w:p w14:paraId="6FC0C08E">
            <w:pPr>
              <w:pStyle w:val="38"/>
              <w:spacing w:line="390" w:lineRule="atLeast"/>
              <w:jc w:val="both"/>
              <w:rPr>
                <w:highlight w:val="none"/>
              </w:rPr>
            </w:pPr>
          </w:p>
        </w:tc>
      </w:tr>
      <w:tr w14:paraId="35A4C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6" w:hRule="atLeast"/>
          <w:jc w:val="center"/>
        </w:trPr>
        <w:tc>
          <w:tcPr>
            <w:tcW w:w="0" w:type="auto"/>
            <w:shd w:val="clear" w:color="auto" w:fill="auto"/>
            <w:vAlign w:val="center"/>
          </w:tcPr>
          <w:p w14:paraId="74EE0496">
            <w:pPr>
              <w:pStyle w:val="38"/>
              <w:spacing w:line="390" w:lineRule="atLeast"/>
              <w:jc w:val="center"/>
              <w:rPr>
                <w:highlight w:val="none"/>
              </w:rPr>
            </w:pPr>
          </w:p>
        </w:tc>
        <w:tc>
          <w:tcPr>
            <w:tcW w:w="0" w:type="auto"/>
            <w:shd w:val="clear" w:color="auto" w:fill="auto"/>
            <w:vAlign w:val="center"/>
          </w:tcPr>
          <w:p w14:paraId="1402FA55">
            <w:pPr>
              <w:pStyle w:val="38"/>
              <w:spacing w:line="390" w:lineRule="atLeast"/>
              <w:jc w:val="both"/>
              <w:rPr>
                <w:highlight w:val="none"/>
              </w:rPr>
            </w:pPr>
          </w:p>
        </w:tc>
        <w:tc>
          <w:tcPr>
            <w:tcW w:w="0" w:type="auto"/>
            <w:shd w:val="clear" w:color="auto" w:fill="auto"/>
            <w:vAlign w:val="center"/>
          </w:tcPr>
          <w:p w14:paraId="4BB4B485">
            <w:pPr>
              <w:pStyle w:val="38"/>
              <w:spacing w:line="390" w:lineRule="atLeast"/>
              <w:jc w:val="both"/>
              <w:rPr>
                <w:highlight w:val="none"/>
              </w:rPr>
            </w:pPr>
          </w:p>
        </w:tc>
        <w:tc>
          <w:tcPr>
            <w:tcW w:w="0" w:type="auto"/>
            <w:shd w:val="clear" w:color="auto" w:fill="auto"/>
            <w:vAlign w:val="center"/>
          </w:tcPr>
          <w:p w14:paraId="414C76BD">
            <w:pPr>
              <w:pStyle w:val="38"/>
              <w:spacing w:line="390" w:lineRule="atLeast"/>
              <w:jc w:val="both"/>
              <w:rPr>
                <w:highlight w:val="none"/>
              </w:rPr>
            </w:pPr>
          </w:p>
        </w:tc>
        <w:tc>
          <w:tcPr>
            <w:tcW w:w="1180" w:type="dxa"/>
            <w:shd w:val="clear" w:color="auto" w:fill="auto"/>
            <w:vAlign w:val="center"/>
          </w:tcPr>
          <w:p w14:paraId="04A3F029">
            <w:pPr>
              <w:pStyle w:val="38"/>
              <w:spacing w:line="390" w:lineRule="atLeast"/>
              <w:jc w:val="both"/>
              <w:rPr>
                <w:highlight w:val="none"/>
              </w:rPr>
            </w:pPr>
          </w:p>
        </w:tc>
      </w:tr>
      <w:tr w14:paraId="58B11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6" w:hRule="atLeast"/>
          <w:jc w:val="center"/>
        </w:trPr>
        <w:tc>
          <w:tcPr>
            <w:tcW w:w="0" w:type="auto"/>
            <w:shd w:val="clear" w:color="auto" w:fill="auto"/>
            <w:vAlign w:val="center"/>
          </w:tcPr>
          <w:p w14:paraId="30296664">
            <w:pPr>
              <w:pStyle w:val="38"/>
              <w:spacing w:line="390" w:lineRule="atLeast"/>
              <w:jc w:val="center"/>
              <w:rPr>
                <w:highlight w:val="none"/>
              </w:rPr>
            </w:pPr>
          </w:p>
        </w:tc>
        <w:tc>
          <w:tcPr>
            <w:tcW w:w="0" w:type="auto"/>
            <w:shd w:val="clear" w:color="auto" w:fill="auto"/>
            <w:vAlign w:val="center"/>
          </w:tcPr>
          <w:p w14:paraId="0DB18D25">
            <w:pPr>
              <w:pStyle w:val="38"/>
              <w:spacing w:line="390" w:lineRule="atLeast"/>
              <w:jc w:val="both"/>
              <w:rPr>
                <w:highlight w:val="none"/>
              </w:rPr>
            </w:pPr>
          </w:p>
        </w:tc>
        <w:tc>
          <w:tcPr>
            <w:tcW w:w="0" w:type="auto"/>
            <w:shd w:val="clear" w:color="auto" w:fill="auto"/>
            <w:vAlign w:val="center"/>
          </w:tcPr>
          <w:p w14:paraId="24BFACBC">
            <w:pPr>
              <w:pStyle w:val="38"/>
              <w:spacing w:line="390" w:lineRule="atLeast"/>
              <w:jc w:val="both"/>
              <w:rPr>
                <w:highlight w:val="none"/>
              </w:rPr>
            </w:pPr>
          </w:p>
        </w:tc>
        <w:tc>
          <w:tcPr>
            <w:tcW w:w="0" w:type="auto"/>
            <w:shd w:val="clear" w:color="auto" w:fill="auto"/>
            <w:vAlign w:val="center"/>
          </w:tcPr>
          <w:p w14:paraId="56EAF91A">
            <w:pPr>
              <w:pStyle w:val="38"/>
              <w:spacing w:line="390" w:lineRule="atLeast"/>
              <w:jc w:val="both"/>
              <w:rPr>
                <w:highlight w:val="none"/>
              </w:rPr>
            </w:pPr>
          </w:p>
        </w:tc>
        <w:tc>
          <w:tcPr>
            <w:tcW w:w="1180" w:type="dxa"/>
            <w:shd w:val="clear" w:color="auto" w:fill="auto"/>
            <w:vAlign w:val="center"/>
          </w:tcPr>
          <w:p w14:paraId="2CE02471">
            <w:pPr>
              <w:pStyle w:val="38"/>
              <w:spacing w:line="390" w:lineRule="atLeast"/>
              <w:jc w:val="both"/>
              <w:rPr>
                <w:highlight w:val="none"/>
              </w:rPr>
            </w:pPr>
          </w:p>
        </w:tc>
      </w:tr>
      <w:tr w14:paraId="72F66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6" w:hRule="atLeast"/>
          <w:jc w:val="center"/>
        </w:trPr>
        <w:tc>
          <w:tcPr>
            <w:tcW w:w="0" w:type="auto"/>
            <w:shd w:val="clear" w:color="auto" w:fill="auto"/>
            <w:vAlign w:val="center"/>
          </w:tcPr>
          <w:p w14:paraId="1EE79D72">
            <w:pPr>
              <w:pStyle w:val="38"/>
              <w:spacing w:line="390" w:lineRule="atLeast"/>
              <w:jc w:val="center"/>
              <w:rPr>
                <w:highlight w:val="none"/>
              </w:rPr>
            </w:pPr>
          </w:p>
        </w:tc>
        <w:tc>
          <w:tcPr>
            <w:tcW w:w="0" w:type="auto"/>
            <w:shd w:val="clear" w:color="auto" w:fill="auto"/>
            <w:vAlign w:val="center"/>
          </w:tcPr>
          <w:p w14:paraId="5338B1EE">
            <w:pPr>
              <w:pStyle w:val="38"/>
              <w:spacing w:line="390" w:lineRule="atLeast"/>
              <w:jc w:val="both"/>
              <w:rPr>
                <w:highlight w:val="none"/>
              </w:rPr>
            </w:pPr>
          </w:p>
        </w:tc>
        <w:tc>
          <w:tcPr>
            <w:tcW w:w="0" w:type="auto"/>
            <w:shd w:val="clear" w:color="auto" w:fill="auto"/>
            <w:vAlign w:val="center"/>
          </w:tcPr>
          <w:p w14:paraId="0B8C295A">
            <w:pPr>
              <w:pStyle w:val="38"/>
              <w:spacing w:line="390" w:lineRule="atLeast"/>
              <w:jc w:val="both"/>
              <w:rPr>
                <w:highlight w:val="none"/>
              </w:rPr>
            </w:pPr>
          </w:p>
        </w:tc>
        <w:tc>
          <w:tcPr>
            <w:tcW w:w="0" w:type="auto"/>
            <w:shd w:val="clear" w:color="auto" w:fill="auto"/>
            <w:vAlign w:val="center"/>
          </w:tcPr>
          <w:p w14:paraId="7EA240FD">
            <w:pPr>
              <w:pStyle w:val="38"/>
              <w:spacing w:line="390" w:lineRule="atLeast"/>
              <w:jc w:val="both"/>
              <w:rPr>
                <w:highlight w:val="none"/>
              </w:rPr>
            </w:pPr>
          </w:p>
        </w:tc>
        <w:tc>
          <w:tcPr>
            <w:tcW w:w="1180" w:type="dxa"/>
            <w:shd w:val="clear" w:color="auto" w:fill="auto"/>
            <w:vAlign w:val="center"/>
          </w:tcPr>
          <w:p w14:paraId="14F26726">
            <w:pPr>
              <w:pStyle w:val="38"/>
              <w:spacing w:line="390" w:lineRule="atLeast"/>
              <w:jc w:val="both"/>
              <w:rPr>
                <w:highlight w:val="none"/>
              </w:rPr>
            </w:pPr>
          </w:p>
        </w:tc>
      </w:tr>
    </w:tbl>
    <w:p w14:paraId="67E4F826">
      <w:pPr>
        <w:rPr>
          <w:vanish/>
          <w:sz w:val="24"/>
          <w:highlight w:val="none"/>
        </w:rPr>
      </w:pPr>
    </w:p>
    <w:tbl>
      <w:tblPr>
        <w:tblStyle w:val="43"/>
        <w:tblW w:w="9326" w:type="dxa"/>
        <w:jc w:val="center"/>
        <w:tblLayout w:type="autofit"/>
        <w:tblCellMar>
          <w:top w:w="0" w:type="dxa"/>
          <w:left w:w="0" w:type="dxa"/>
          <w:bottom w:w="0" w:type="dxa"/>
          <w:right w:w="0" w:type="dxa"/>
        </w:tblCellMar>
      </w:tblPr>
      <w:tblGrid>
        <w:gridCol w:w="1529"/>
        <w:gridCol w:w="3226"/>
        <w:gridCol w:w="978"/>
        <w:gridCol w:w="2268"/>
        <w:gridCol w:w="1325"/>
      </w:tblGrid>
      <w:tr w14:paraId="72031468">
        <w:tblPrEx>
          <w:tblCellMar>
            <w:top w:w="0" w:type="dxa"/>
            <w:left w:w="0" w:type="dxa"/>
            <w:bottom w:w="0" w:type="dxa"/>
            <w:right w:w="0" w:type="dxa"/>
          </w:tblCellMar>
        </w:tblPrEx>
        <w:trPr>
          <w:trHeight w:val="444" w:hRule="atLeast"/>
          <w:jc w:val="center"/>
        </w:trPr>
        <w:tc>
          <w:tcPr>
            <w:tcW w:w="573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1EE4BE29">
            <w:pPr>
              <w:widowControl/>
              <w:spacing w:line="390" w:lineRule="atLeast"/>
              <w:jc w:val="center"/>
              <w:rPr>
                <w:rFonts w:ascii="微软雅黑" w:hAnsi="微软雅黑" w:eastAsia="微软雅黑" w:cs="微软雅黑"/>
                <w:color w:val="3D4B64"/>
                <w:sz w:val="19"/>
                <w:szCs w:val="19"/>
                <w:highlight w:val="none"/>
              </w:rPr>
            </w:pPr>
            <w:r>
              <w:rPr>
                <w:rFonts w:hint="eastAsia" w:ascii="微软雅黑" w:hAnsi="微软雅黑" w:eastAsia="微软雅黑" w:cs="微软雅黑"/>
                <w:color w:val="3D4B64"/>
                <w:sz w:val="19"/>
                <w:szCs w:val="19"/>
                <w:highlight w:val="none"/>
                <w:lang w:bidi="ar"/>
              </w:rPr>
              <w:t xml:space="preserve">产品总价(元) </w:t>
            </w:r>
          </w:p>
        </w:tc>
        <w:tc>
          <w:tcPr>
            <w:tcW w:w="359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DF5819C">
            <w:pPr>
              <w:widowControl/>
              <w:spacing w:line="390" w:lineRule="atLeast"/>
              <w:jc w:val="left"/>
              <w:rPr>
                <w:rFonts w:ascii="微软雅黑" w:hAnsi="微软雅黑" w:eastAsia="微软雅黑" w:cs="微软雅黑"/>
                <w:color w:val="3D4B64"/>
                <w:sz w:val="19"/>
                <w:szCs w:val="19"/>
                <w:highlight w:val="none"/>
              </w:rPr>
            </w:pPr>
          </w:p>
        </w:tc>
      </w:tr>
      <w:tr w14:paraId="45519C42">
        <w:tblPrEx>
          <w:tblCellMar>
            <w:top w:w="0" w:type="dxa"/>
            <w:left w:w="0" w:type="dxa"/>
            <w:bottom w:w="0" w:type="dxa"/>
            <w:right w:w="0" w:type="dxa"/>
          </w:tblCellMar>
        </w:tblPrEx>
        <w:trPr>
          <w:trHeight w:val="444" w:hRule="atLeast"/>
          <w:jc w:val="center"/>
        </w:trPr>
        <w:tc>
          <w:tcPr>
            <w:tcW w:w="9326"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02DB0E14">
            <w:pPr>
              <w:widowControl/>
              <w:spacing w:line="390" w:lineRule="atLeast"/>
              <w:jc w:val="center"/>
              <w:rPr>
                <w:rFonts w:hint="eastAsia" w:ascii="微软雅黑" w:hAnsi="微软雅黑" w:eastAsia="微软雅黑" w:cs="微软雅黑"/>
                <w:color w:val="3D4B64"/>
                <w:sz w:val="19"/>
                <w:szCs w:val="19"/>
                <w:highlight w:val="none"/>
                <w:lang w:eastAsia="zh-CN"/>
              </w:rPr>
            </w:pPr>
            <w:r>
              <w:rPr>
                <w:rFonts w:hint="eastAsia" w:ascii="微软雅黑" w:hAnsi="微软雅黑" w:eastAsia="微软雅黑" w:cs="微软雅黑"/>
                <w:color w:val="3D4B64"/>
                <w:sz w:val="19"/>
                <w:szCs w:val="19"/>
                <w:highlight w:val="none"/>
                <w:lang w:eastAsia="zh-CN"/>
              </w:rPr>
              <w:t>非强制采购节能产品部分（仅此部分享受优先采购政策）</w:t>
            </w:r>
          </w:p>
        </w:tc>
      </w:tr>
      <w:tr w14:paraId="28FBAEE4">
        <w:tblPrEx>
          <w:tblCellMar>
            <w:top w:w="0" w:type="dxa"/>
            <w:left w:w="0" w:type="dxa"/>
            <w:bottom w:w="0" w:type="dxa"/>
            <w:right w:w="0" w:type="dxa"/>
          </w:tblCellMar>
        </w:tblPrEx>
        <w:trPr>
          <w:trHeight w:val="444" w:hRule="atLeast"/>
          <w:jc w:val="center"/>
        </w:trPr>
        <w:tc>
          <w:tcPr>
            <w:tcW w:w="1529" w:type="dxa"/>
            <w:tcBorders>
              <w:top w:val="single" w:color="auto" w:sz="4" w:space="0"/>
              <w:left w:val="single" w:color="auto" w:sz="4" w:space="0"/>
              <w:bottom w:val="single" w:color="auto" w:sz="4" w:space="0"/>
              <w:right w:val="single" w:color="auto" w:sz="4" w:space="0"/>
            </w:tcBorders>
            <w:shd w:val="clear" w:color="auto" w:fill="auto"/>
            <w:vAlign w:val="center"/>
          </w:tcPr>
          <w:p w14:paraId="692B3147">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3226" w:type="dxa"/>
            <w:tcBorders>
              <w:top w:val="single" w:color="auto" w:sz="4" w:space="0"/>
              <w:left w:val="single" w:color="auto" w:sz="4" w:space="0"/>
              <w:bottom w:val="single" w:color="auto" w:sz="4" w:space="0"/>
              <w:right w:val="single" w:color="auto" w:sz="4" w:space="0"/>
            </w:tcBorders>
            <w:shd w:val="clear" w:color="auto" w:fill="auto"/>
            <w:vAlign w:val="center"/>
          </w:tcPr>
          <w:p w14:paraId="4B8E7107">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978" w:type="dxa"/>
            <w:tcBorders>
              <w:top w:val="single" w:color="auto" w:sz="4" w:space="0"/>
              <w:left w:val="single" w:color="auto" w:sz="4" w:space="0"/>
              <w:bottom w:val="single" w:color="auto" w:sz="4" w:space="0"/>
              <w:right w:val="single" w:color="auto" w:sz="4" w:space="0"/>
            </w:tcBorders>
            <w:shd w:val="clear" w:color="auto" w:fill="auto"/>
            <w:vAlign w:val="center"/>
          </w:tcPr>
          <w:p w14:paraId="4D5DDD8F">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2268" w:type="dxa"/>
            <w:tcBorders>
              <w:top w:val="single" w:color="auto" w:sz="4" w:space="0"/>
              <w:left w:val="single" w:color="auto" w:sz="4" w:space="0"/>
              <w:bottom w:val="single" w:color="auto" w:sz="4" w:space="0"/>
              <w:right w:val="single" w:color="auto" w:sz="4" w:space="0"/>
            </w:tcBorders>
            <w:shd w:val="clear" w:color="auto" w:fill="auto"/>
            <w:vAlign w:val="center"/>
          </w:tcPr>
          <w:p w14:paraId="331CCE50">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1325" w:type="dxa"/>
            <w:tcBorders>
              <w:top w:val="single" w:color="auto" w:sz="4" w:space="0"/>
              <w:left w:val="single" w:color="auto" w:sz="4" w:space="0"/>
              <w:bottom w:val="single" w:color="auto" w:sz="4" w:space="0"/>
              <w:right w:val="single" w:color="auto" w:sz="4" w:space="0"/>
            </w:tcBorders>
            <w:shd w:val="clear" w:color="auto" w:fill="auto"/>
            <w:vAlign w:val="center"/>
          </w:tcPr>
          <w:p w14:paraId="37CA4B10">
            <w:pPr>
              <w:widowControl/>
              <w:spacing w:line="390" w:lineRule="atLeast"/>
              <w:jc w:val="center"/>
              <w:rPr>
                <w:rFonts w:hint="eastAsia" w:ascii="微软雅黑" w:hAnsi="微软雅黑" w:eastAsia="微软雅黑" w:cs="微软雅黑"/>
                <w:color w:val="3D4B64"/>
                <w:sz w:val="19"/>
                <w:szCs w:val="19"/>
                <w:highlight w:val="none"/>
                <w:lang w:eastAsia="zh-CN"/>
              </w:rPr>
            </w:pPr>
          </w:p>
        </w:tc>
      </w:tr>
      <w:tr w14:paraId="48C9C02E">
        <w:tblPrEx>
          <w:tblCellMar>
            <w:top w:w="0" w:type="dxa"/>
            <w:left w:w="0" w:type="dxa"/>
            <w:bottom w:w="0" w:type="dxa"/>
            <w:right w:w="0" w:type="dxa"/>
          </w:tblCellMar>
        </w:tblPrEx>
        <w:trPr>
          <w:trHeight w:val="444" w:hRule="atLeast"/>
          <w:jc w:val="center"/>
        </w:trPr>
        <w:tc>
          <w:tcPr>
            <w:tcW w:w="1529" w:type="dxa"/>
            <w:tcBorders>
              <w:top w:val="single" w:color="auto" w:sz="4" w:space="0"/>
              <w:left w:val="single" w:color="auto" w:sz="4" w:space="0"/>
              <w:bottom w:val="single" w:color="auto" w:sz="4" w:space="0"/>
              <w:right w:val="single" w:color="auto" w:sz="4" w:space="0"/>
            </w:tcBorders>
            <w:shd w:val="clear" w:color="auto" w:fill="auto"/>
            <w:vAlign w:val="center"/>
          </w:tcPr>
          <w:p w14:paraId="29FD3645">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3226" w:type="dxa"/>
            <w:tcBorders>
              <w:top w:val="single" w:color="auto" w:sz="4" w:space="0"/>
              <w:left w:val="single" w:color="auto" w:sz="4" w:space="0"/>
              <w:bottom w:val="single" w:color="auto" w:sz="4" w:space="0"/>
              <w:right w:val="single" w:color="auto" w:sz="4" w:space="0"/>
            </w:tcBorders>
            <w:shd w:val="clear" w:color="auto" w:fill="auto"/>
            <w:vAlign w:val="center"/>
          </w:tcPr>
          <w:p w14:paraId="70A2746C">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978" w:type="dxa"/>
            <w:tcBorders>
              <w:top w:val="single" w:color="auto" w:sz="4" w:space="0"/>
              <w:left w:val="single" w:color="auto" w:sz="4" w:space="0"/>
              <w:bottom w:val="single" w:color="auto" w:sz="4" w:space="0"/>
              <w:right w:val="single" w:color="auto" w:sz="4" w:space="0"/>
            </w:tcBorders>
            <w:shd w:val="clear" w:color="auto" w:fill="auto"/>
            <w:vAlign w:val="center"/>
          </w:tcPr>
          <w:p w14:paraId="59D642C1">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2268" w:type="dxa"/>
            <w:tcBorders>
              <w:top w:val="single" w:color="auto" w:sz="4" w:space="0"/>
              <w:left w:val="single" w:color="auto" w:sz="4" w:space="0"/>
              <w:bottom w:val="single" w:color="auto" w:sz="4" w:space="0"/>
              <w:right w:val="single" w:color="auto" w:sz="4" w:space="0"/>
            </w:tcBorders>
            <w:shd w:val="clear" w:color="auto" w:fill="auto"/>
            <w:vAlign w:val="center"/>
          </w:tcPr>
          <w:p w14:paraId="0CA57838">
            <w:pPr>
              <w:widowControl/>
              <w:spacing w:line="390" w:lineRule="atLeast"/>
              <w:jc w:val="center"/>
              <w:rPr>
                <w:rFonts w:hint="eastAsia" w:ascii="微软雅黑" w:hAnsi="微软雅黑" w:eastAsia="微软雅黑" w:cs="微软雅黑"/>
                <w:color w:val="3D4B64"/>
                <w:sz w:val="19"/>
                <w:szCs w:val="19"/>
                <w:highlight w:val="none"/>
                <w:lang w:eastAsia="zh-CN"/>
              </w:rPr>
            </w:pPr>
          </w:p>
        </w:tc>
        <w:tc>
          <w:tcPr>
            <w:tcW w:w="1325" w:type="dxa"/>
            <w:tcBorders>
              <w:top w:val="single" w:color="auto" w:sz="4" w:space="0"/>
              <w:left w:val="single" w:color="auto" w:sz="4" w:space="0"/>
              <w:bottom w:val="single" w:color="auto" w:sz="4" w:space="0"/>
              <w:right w:val="single" w:color="auto" w:sz="4" w:space="0"/>
            </w:tcBorders>
            <w:shd w:val="clear" w:color="auto" w:fill="auto"/>
            <w:vAlign w:val="center"/>
          </w:tcPr>
          <w:p w14:paraId="36AC2DEE">
            <w:pPr>
              <w:widowControl/>
              <w:spacing w:line="390" w:lineRule="atLeast"/>
              <w:jc w:val="center"/>
              <w:rPr>
                <w:rFonts w:hint="eastAsia" w:ascii="微软雅黑" w:hAnsi="微软雅黑" w:eastAsia="微软雅黑" w:cs="微软雅黑"/>
                <w:color w:val="3D4B64"/>
                <w:sz w:val="19"/>
                <w:szCs w:val="19"/>
                <w:highlight w:val="none"/>
                <w:lang w:eastAsia="zh-CN"/>
              </w:rPr>
            </w:pPr>
          </w:p>
        </w:tc>
      </w:tr>
      <w:tr w14:paraId="75371156">
        <w:tblPrEx>
          <w:tblCellMar>
            <w:top w:w="0" w:type="dxa"/>
            <w:left w:w="0" w:type="dxa"/>
            <w:bottom w:w="0" w:type="dxa"/>
            <w:right w:w="0" w:type="dxa"/>
          </w:tblCellMar>
        </w:tblPrEx>
        <w:trPr>
          <w:trHeight w:val="444" w:hRule="atLeast"/>
          <w:jc w:val="center"/>
        </w:trPr>
        <w:tc>
          <w:tcPr>
            <w:tcW w:w="573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77C6FA29">
            <w:pPr>
              <w:widowControl/>
              <w:spacing w:line="390" w:lineRule="atLeast"/>
              <w:jc w:val="center"/>
              <w:rPr>
                <w:rFonts w:hint="eastAsia" w:ascii="微软雅黑" w:hAnsi="微软雅黑" w:eastAsia="微软雅黑" w:cs="微软雅黑"/>
                <w:color w:val="3D4B64"/>
                <w:sz w:val="19"/>
                <w:szCs w:val="19"/>
                <w:highlight w:val="none"/>
                <w:lang w:eastAsia="zh-CN"/>
              </w:rPr>
            </w:pPr>
            <w:r>
              <w:rPr>
                <w:rFonts w:hint="eastAsia" w:ascii="微软雅黑" w:hAnsi="微软雅黑" w:eastAsia="微软雅黑" w:cs="微软雅黑"/>
                <w:color w:val="3D4B64"/>
                <w:sz w:val="19"/>
                <w:szCs w:val="19"/>
                <w:highlight w:val="none"/>
                <w:lang w:bidi="ar"/>
              </w:rPr>
              <w:t xml:space="preserve">产品总价(元) </w:t>
            </w:r>
          </w:p>
        </w:tc>
        <w:tc>
          <w:tcPr>
            <w:tcW w:w="359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AED3E63">
            <w:pPr>
              <w:widowControl/>
              <w:spacing w:line="390" w:lineRule="atLeast"/>
              <w:jc w:val="center"/>
              <w:rPr>
                <w:rFonts w:hint="eastAsia" w:ascii="微软雅黑" w:hAnsi="微软雅黑" w:eastAsia="微软雅黑" w:cs="微软雅黑"/>
                <w:color w:val="3D4B64"/>
                <w:sz w:val="19"/>
                <w:szCs w:val="19"/>
                <w:highlight w:val="none"/>
                <w:lang w:eastAsia="zh-CN"/>
              </w:rPr>
            </w:pPr>
          </w:p>
        </w:tc>
      </w:tr>
    </w:tbl>
    <w:p w14:paraId="738B5CDA">
      <w:pPr>
        <w:rPr>
          <w:vanish/>
          <w:sz w:val="24"/>
          <w:highlight w:val="none"/>
        </w:rPr>
      </w:pPr>
    </w:p>
    <w:tbl>
      <w:tblPr>
        <w:tblStyle w:val="43"/>
        <w:tblW w:w="9720" w:type="dxa"/>
        <w:jc w:val="center"/>
        <w:tblLayout w:type="autofit"/>
        <w:tblCellMar>
          <w:top w:w="15" w:type="dxa"/>
          <w:left w:w="15" w:type="dxa"/>
          <w:bottom w:w="15" w:type="dxa"/>
          <w:right w:w="15" w:type="dxa"/>
        </w:tblCellMar>
      </w:tblPr>
      <w:tblGrid>
        <w:gridCol w:w="1944"/>
        <w:gridCol w:w="1944"/>
        <w:gridCol w:w="1944"/>
        <w:gridCol w:w="1944"/>
        <w:gridCol w:w="1944"/>
      </w:tblGrid>
      <w:tr w14:paraId="3B61C509">
        <w:tblPrEx>
          <w:tblCellMar>
            <w:top w:w="15" w:type="dxa"/>
            <w:left w:w="15" w:type="dxa"/>
            <w:bottom w:w="15" w:type="dxa"/>
            <w:right w:w="15" w:type="dxa"/>
          </w:tblCellMar>
        </w:tblPrEx>
        <w:trPr>
          <w:jc w:val="center"/>
          <w:hidden/>
        </w:trPr>
        <w:tc>
          <w:tcPr>
            <w:tcW w:w="0" w:type="auto"/>
            <w:shd w:val="clear" w:color="auto" w:fill="auto"/>
            <w:tcMar>
              <w:top w:w="0" w:type="dxa"/>
              <w:left w:w="0" w:type="dxa"/>
              <w:bottom w:w="0" w:type="dxa"/>
              <w:right w:w="0" w:type="dxa"/>
            </w:tcMar>
            <w:vAlign w:val="center"/>
          </w:tcPr>
          <w:p w14:paraId="3F035127">
            <w:pPr>
              <w:pStyle w:val="38"/>
              <w:spacing w:line="390" w:lineRule="atLeast"/>
              <w:jc w:val="center"/>
              <w:rPr>
                <w:vanish/>
                <w:highlight w:val="none"/>
              </w:rPr>
            </w:pPr>
          </w:p>
        </w:tc>
        <w:tc>
          <w:tcPr>
            <w:tcW w:w="0" w:type="auto"/>
            <w:shd w:val="clear" w:color="auto" w:fill="auto"/>
            <w:tcMar>
              <w:top w:w="0" w:type="dxa"/>
              <w:left w:w="0" w:type="dxa"/>
              <w:bottom w:w="0" w:type="dxa"/>
              <w:right w:w="0" w:type="dxa"/>
            </w:tcMar>
            <w:vAlign w:val="center"/>
          </w:tcPr>
          <w:p w14:paraId="0E1C4057">
            <w:pPr>
              <w:pStyle w:val="38"/>
              <w:spacing w:line="390" w:lineRule="atLeast"/>
              <w:jc w:val="both"/>
              <w:rPr>
                <w:vanish/>
                <w:highlight w:val="none"/>
              </w:rPr>
            </w:pPr>
          </w:p>
        </w:tc>
        <w:tc>
          <w:tcPr>
            <w:tcW w:w="0" w:type="auto"/>
            <w:shd w:val="clear" w:color="auto" w:fill="auto"/>
            <w:tcMar>
              <w:top w:w="0" w:type="dxa"/>
              <w:left w:w="0" w:type="dxa"/>
              <w:bottom w:w="0" w:type="dxa"/>
              <w:right w:w="0" w:type="dxa"/>
            </w:tcMar>
            <w:vAlign w:val="center"/>
          </w:tcPr>
          <w:p w14:paraId="538260C5">
            <w:pPr>
              <w:pStyle w:val="38"/>
              <w:spacing w:line="390" w:lineRule="atLeast"/>
              <w:jc w:val="both"/>
              <w:rPr>
                <w:vanish/>
                <w:highlight w:val="none"/>
              </w:rPr>
            </w:pPr>
          </w:p>
        </w:tc>
        <w:tc>
          <w:tcPr>
            <w:tcW w:w="0" w:type="auto"/>
            <w:shd w:val="clear" w:color="auto" w:fill="auto"/>
            <w:tcMar>
              <w:top w:w="0" w:type="dxa"/>
              <w:left w:w="0" w:type="dxa"/>
              <w:bottom w:w="0" w:type="dxa"/>
              <w:right w:w="0" w:type="dxa"/>
            </w:tcMar>
            <w:vAlign w:val="center"/>
          </w:tcPr>
          <w:p w14:paraId="5E452267">
            <w:pPr>
              <w:pStyle w:val="38"/>
              <w:spacing w:line="390" w:lineRule="atLeast"/>
              <w:jc w:val="both"/>
              <w:rPr>
                <w:vanish/>
                <w:highlight w:val="none"/>
              </w:rPr>
            </w:pPr>
          </w:p>
        </w:tc>
        <w:tc>
          <w:tcPr>
            <w:tcW w:w="0" w:type="auto"/>
            <w:shd w:val="clear" w:color="auto" w:fill="auto"/>
            <w:tcMar>
              <w:top w:w="0" w:type="dxa"/>
              <w:left w:w="0" w:type="dxa"/>
              <w:bottom w:w="0" w:type="dxa"/>
              <w:right w:w="0" w:type="dxa"/>
            </w:tcMar>
            <w:vAlign w:val="center"/>
          </w:tcPr>
          <w:p w14:paraId="705ACDE8">
            <w:pPr>
              <w:pStyle w:val="38"/>
              <w:spacing w:line="390" w:lineRule="atLeast"/>
              <w:jc w:val="both"/>
              <w:rPr>
                <w:vanish/>
                <w:highlight w:val="none"/>
              </w:rPr>
            </w:pPr>
          </w:p>
        </w:tc>
      </w:tr>
    </w:tbl>
    <w:p w14:paraId="6BC40D12">
      <w:pPr>
        <w:pStyle w:val="38"/>
        <w:wordWrap w:val="0"/>
        <w:spacing w:before="0" w:beforeAutospacing="0" w:after="0" w:afterAutospacing="0" w:line="390" w:lineRule="atLeast"/>
        <w:jc w:val="center"/>
        <w:rPr>
          <w:highlight w:val="none"/>
        </w:rPr>
      </w:pPr>
      <w:r>
        <w:rPr>
          <w:rFonts w:hint="eastAsia" w:ascii="微软雅黑" w:hAnsi="微软雅黑" w:eastAsia="微软雅黑" w:cs="微软雅黑"/>
          <w:color w:val="3D4B64"/>
          <w:sz w:val="19"/>
          <w:szCs w:val="19"/>
          <w:highlight w:val="none"/>
          <w:shd w:val="clear" w:color="auto" w:fill="FFFFFF"/>
        </w:rPr>
        <w:t> </w:t>
      </w:r>
    </w:p>
    <w:p w14:paraId="239A4D21">
      <w:pPr>
        <w:pStyle w:val="38"/>
        <w:wordWrap w:val="0"/>
        <w:spacing w:before="0" w:beforeAutospacing="0" w:after="0" w:afterAutospacing="0"/>
        <w:rPr>
          <w:rFonts w:ascii="黑体" w:eastAsia="黑体" w:cs="黑体"/>
          <w:highlight w:val="none"/>
        </w:rPr>
      </w:pPr>
      <w:r>
        <w:rPr>
          <w:rFonts w:hint="eastAsia" w:ascii="黑体" w:eastAsia="黑体" w:cs="黑体"/>
          <w:color w:val="3D4B64"/>
          <w:highlight w:val="none"/>
          <w:shd w:val="clear" w:color="auto" w:fill="FFFFFF"/>
        </w:rPr>
        <w:t xml:space="preserve">注：投标时应提供此表，以上所列产品应提供认证证书复印件，未按此表要求提供的，评审时不予以考虑。 </w:t>
      </w:r>
    </w:p>
    <w:p w14:paraId="787D328F">
      <w:pPr>
        <w:pStyle w:val="69"/>
        <w:rPr>
          <w:rFonts w:ascii="宋体" w:hAnsi="宋体"/>
          <w:szCs w:val="21"/>
          <w:highlight w:val="none"/>
        </w:rPr>
      </w:pPr>
    </w:p>
    <w:p w14:paraId="773B55B5">
      <w:pPr>
        <w:pStyle w:val="69"/>
        <w:rPr>
          <w:rFonts w:ascii="宋体" w:hAnsi="宋体"/>
          <w:szCs w:val="21"/>
          <w:highlight w:val="none"/>
        </w:rPr>
      </w:pPr>
    </w:p>
    <w:p w14:paraId="2D1AB998">
      <w:pPr>
        <w:pStyle w:val="69"/>
        <w:rPr>
          <w:rFonts w:ascii="宋体" w:hAnsi="宋体"/>
          <w:szCs w:val="21"/>
          <w:highlight w:val="none"/>
        </w:rPr>
      </w:pPr>
    </w:p>
    <w:p w14:paraId="16AEB708">
      <w:pPr>
        <w:rPr>
          <w:rFonts w:ascii="宋体" w:hAnsi="宋体"/>
          <w:szCs w:val="21"/>
          <w:highlight w:val="none"/>
        </w:rPr>
      </w:pPr>
      <w:r>
        <w:rPr>
          <w:rFonts w:ascii="宋体" w:hAnsi="宋体"/>
          <w:szCs w:val="21"/>
          <w:highlight w:val="none"/>
        </w:rPr>
        <w:br w:type="page"/>
      </w:r>
    </w:p>
    <w:p w14:paraId="00800FE1">
      <w:pPr>
        <w:pStyle w:val="69"/>
        <w:rPr>
          <w:rFonts w:ascii="宋体" w:hAnsi="宋体"/>
          <w:szCs w:val="21"/>
          <w:highlight w:val="none"/>
        </w:rPr>
      </w:pPr>
    </w:p>
    <w:p w14:paraId="530A507D">
      <w:pPr>
        <w:spacing w:line="400" w:lineRule="exact"/>
        <w:jc w:val="center"/>
        <w:rPr>
          <w:highlight w:val="none"/>
        </w:rPr>
      </w:pPr>
      <w:r>
        <w:rPr>
          <w:rFonts w:hint="eastAsia" w:ascii="黑体" w:hAnsi="黑体" w:eastAsia="黑体" w:cs="黑体"/>
          <w:sz w:val="28"/>
          <w:szCs w:val="28"/>
          <w:highlight w:val="none"/>
        </w:rPr>
        <w:t>九、</w:t>
      </w:r>
      <w:r>
        <w:rPr>
          <w:rFonts w:ascii="黑体" w:hAnsi="黑体" w:eastAsia="黑体" w:cs="黑体"/>
          <w:sz w:val="28"/>
          <w:szCs w:val="28"/>
          <w:highlight w:val="none"/>
        </w:rPr>
        <w:t>招标文件规定的其他</w:t>
      </w:r>
      <w:r>
        <w:rPr>
          <w:rFonts w:hint="eastAsia" w:ascii="黑体" w:hAnsi="黑体" w:eastAsia="黑体" w:cs="黑体"/>
          <w:sz w:val="28"/>
          <w:szCs w:val="28"/>
          <w:highlight w:val="none"/>
        </w:rPr>
        <w:t>与本项目相关的</w:t>
      </w:r>
      <w:r>
        <w:rPr>
          <w:rFonts w:ascii="黑体" w:hAnsi="黑体" w:eastAsia="黑体" w:cs="黑体"/>
          <w:sz w:val="28"/>
          <w:szCs w:val="28"/>
          <w:highlight w:val="none"/>
        </w:rPr>
        <w:t>证明文件</w:t>
      </w:r>
    </w:p>
    <w:p w14:paraId="1008038F">
      <w:pPr>
        <w:rPr>
          <w:highlight w:val="none"/>
        </w:rPr>
      </w:pPr>
    </w:p>
    <w:p w14:paraId="7B454663">
      <w:pPr>
        <w:jc w:val="center"/>
        <w:rPr>
          <w:rFonts w:ascii="黑体" w:hAnsi="黑体" w:eastAsia="黑体" w:cs="黑体"/>
          <w:b/>
          <w:bCs/>
          <w:sz w:val="28"/>
          <w:szCs w:val="28"/>
          <w:highlight w:val="none"/>
        </w:rPr>
      </w:pPr>
    </w:p>
    <w:p w14:paraId="2E1311FD">
      <w:pPr>
        <w:pStyle w:val="71"/>
        <w:numPr>
          <w:ilvl w:val="1"/>
          <w:numId w:val="0"/>
        </w:numPr>
        <w:ind w:left="1134"/>
        <w:rPr>
          <w:highlight w:val="none"/>
        </w:rPr>
      </w:pPr>
    </w:p>
    <w:p w14:paraId="5E100A0E">
      <w:pPr>
        <w:pStyle w:val="73"/>
        <w:ind w:firstLine="562"/>
        <w:rPr>
          <w:rFonts w:ascii="黑体" w:hAnsi="黑体" w:eastAsia="黑体" w:cs="黑体"/>
          <w:b/>
          <w:bCs/>
          <w:sz w:val="28"/>
          <w:szCs w:val="28"/>
          <w:highlight w:val="none"/>
        </w:rPr>
      </w:pPr>
    </w:p>
    <w:p w14:paraId="3C25B571">
      <w:pPr>
        <w:pStyle w:val="73"/>
        <w:ind w:firstLine="562"/>
        <w:rPr>
          <w:rFonts w:ascii="黑体" w:hAnsi="黑体" w:eastAsia="黑体" w:cs="黑体"/>
          <w:b/>
          <w:bCs/>
          <w:sz w:val="28"/>
          <w:szCs w:val="28"/>
          <w:highlight w:val="none"/>
        </w:rPr>
      </w:pPr>
    </w:p>
    <w:p w14:paraId="5CB1C924">
      <w:pPr>
        <w:spacing w:before="156" w:line="360" w:lineRule="auto"/>
        <w:jc w:val="center"/>
        <w:rPr>
          <w:rFonts w:ascii="黑体" w:hAnsi="黑体" w:eastAsia="黑体" w:cs="黑体"/>
          <w:sz w:val="28"/>
          <w:szCs w:val="28"/>
          <w:highlight w:val="none"/>
        </w:rPr>
      </w:pPr>
    </w:p>
    <w:p w14:paraId="1333A00E">
      <w:pPr>
        <w:spacing w:before="156" w:line="360" w:lineRule="auto"/>
        <w:jc w:val="center"/>
        <w:rPr>
          <w:rFonts w:ascii="黑体" w:hAnsi="黑体" w:eastAsia="黑体" w:cs="黑体"/>
          <w:sz w:val="28"/>
          <w:szCs w:val="28"/>
          <w:highlight w:val="none"/>
        </w:rPr>
      </w:pPr>
    </w:p>
    <w:p w14:paraId="53DD5FBE">
      <w:pPr>
        <w:spacing w:before="156" w:line="360" w:lineRule="auto"/>
        <w:jc w:val="center"/>
        <w:rPr>
          <w:rFonts w:ascii="黑体" w:hAnsi="黑体" w:eastAsia="黑体" w:cs="黑体"/>
          <w:sz w:val="28"/>
          <w:szCs w:val="28"/>
          <w:highlight w:val="none"/>
        </w:rPr>
      </w:pPr>
    </w:p>
    <w:p w14:paraId="777E6E8F">
      <w:pPr>
        <w:spacing w:before="156" w:line="360" w:lineRule="auto"/>
        <w:jc w:val="center"/>
        <w:rPr>
          <w:rFonts w:ascii="黑体" w:hAnsi="黑体" w:eastAsia="黑体" w:cs="黑体"/>
          <w:sz w:val="28"/>
          <w:szCs w:val="28"/>
          <w:highlight w:val="none"/>
        </w:rPr>
      </w:pPr>
      <w:r>
        <w:rPr>
          <w:rFonts w:hint="eastAsia" w:ascii="黑体" w:hAnsi="黑体" w:eastAsia="黑体" w:cs="黑体"/>
          <w:sz w:val="28"/>
          <w:szCs w:val="28"/>
          <w:highlight w:val="none"/>
        </w:rPr>
        <w:t>十、进口产品经销或代理投标货物或为投标货物提供售后服务的证明文件</w:t>
      </w:r>
    </w:p>
    <w:p w14:paraId="43D2BD26">
      <w:pPr>
        <w:spacing w:line="360" w:lineRule="auto"/>
        <w:rPr>
          <w:highlight w:val="none"/>
        </w:rPr>
      </w:pPr>
      <w:r>
        <w:rPr>
          <w:szCs w:val="21"/>
          <w:highlight w:val="none"/>
        </w:rPr>
        <w:t xml:space="preserve">  </w:t>
      </w:r>
    </w:p>
    <w:p w14:paraId="5DE4C195">
      <w:pPr>
        <w:spacing w:before="156" w:line="360" w:lineRule="auto"/>
        <w:rPr>
          <w:highlight w:val="none"/>
        </w:rPr>
      </w:pPr>
      <w:r>
        <w:rPr>
          <w:rFonts w:ascii="仿宋_GB2312" w:hAnsi="仿宋_GB2312" w:eastAsia="仿宋_GB2312" w:cs="仿宋_GB2312"/>
          <w:b/>
          <w:bCs/>
          <w:szCs w:val="21"/>
          <w:highlight w:val="none"/>
        </w:rPr>
        <w:t>备注：</w:t>
      </w:r>
      <w:r>
        <w:rPr>
          <w:rFonts w:ascii="仿宋_GB2312" w:hAnsi="仿宋_GB2312" w:eastAsia="仿宋_GB2312" w:cs="仿宋_GB2312"/>
          <w:szCs w:val="21"/>
          <w:highlight w:val="none"/>
        </w:rPr>
        <w:t>提供（1）协议或授权函复印件；</w:t>
      </w:r>
      <w:r>
        <w:rPr>
          <w:szCs w:val="21"/>
          <w:highlight w:val="none"/>
        </w:rPr>
        <w:t xml:space="preserve"> </w:t>
      </w:r>
    </w:p>
    <w:p w14:paraId="623523BF">
      <w:pPr>
        <w:spacing w:before="156" w:line="360" w:lineRule="auto"/>
        <w:ind w:firstLine="1050" w:firstLineChars="500"/>
        <w:rPr>
          <w:rFonts w:ascii="仿宋_GB2312" w:hAnsi="仿宋_GB2312" w:eastAsia="仿宋_GB2312" w:cs="仿宋_GB2312"/>
          <w:szCs w:val="21"/>
          <w:highlight w:val="none"/>
        </w:rPr>
      </w:pPr>
      <w:r>
        <w:rPr>
          <w:rFonts w:ascii="仿宋_GB2312" w:hAnsi="仿宋_GB2312" w:eastAsia="仿宋_GB2312" w:cs="仿宋_GB2312"/>
          <w:szCs w:val="21"/>
          <w:highlight w:val="none"/>
        </w:rPr>
        <w:t>（2）制造商</w:t>
      </w:r>
      <w:r>
        <w:rPr>
          <w:rFonts w:hint="eastAsia" w:ascii="仿宋_GB2312" w:hAnsi="仿宋_GB2312" w:eastAsia="仿宋_GB2312" w:cs="仿宋_GB2312"/>
          <w:szCs w:val="21"/>
          <w:highlight w:val="none"/>
        </w:rPr>
        <w:t>或者国内总代的</w:t>
      </w:r>
      <w:r>
        <w:rPr>
          <w:rFonts w:ascii="仿宋_GB2312" w:hAnsi="仿宋_GB2312" w:eastAsia="仿宋_GB2312" w:cs="仿宋_GB2312"/>
          <w:szCs w:val="21"/>
          <w:highlight w:val="none"/>
        </w:rPr>
        <w:t xml:space="preserve">《营业执照》（副本）复印件。 </w:t>
      </w:r>
    </w:p>
    <w:p w14:paraId="768188AC">
      <w:pPr>
        <w:spacing w:before="156" w:line="360" w:lineRule="auto"/>
        <w:rPr>
          <w:rFonts w:ascii="仿宋_GB2312" w:hAnsi="仿宋_GB2312" w:eastAsia="仿宋_GB2312" w:cs="仿宋_GB2312"/>
          <w:szCs w:val="21"/>
          <w:highlight w:val="none"/>
        </w:rPr>
      </w:pPr>
    </w:p>
    <w:p w14:paraId="07D57312">
      <w:pPr>
        <w:rPr>
          <w:rFonts w:ascii="宋体"/>
          <w:szCs w:val="21"/>
          <w:highlight w:val="none"/>
        </w:rPr>
      </w:pPr>
    </w:p>
    <w:p w14:paraId="302610CD">
      <w:pPr>
        <w:jc w:val="center"/>
        <w:rPr>
          <w:rFonts w:asciiTheme="minorEastAsia" w:hAnsiTheme="minorEastAsia" w:eastAsiaTheme="minorEastAsia"/>
          <w:b/>
          <w:bCs/>
          <w:sz w:val="84"/>
          <w:szCs w:val="84"/>
          <w:highlight w:val="none"/>
        </w:rPr>
      </w:pPr>
      <w:r>
        <w:rPr>
          <w:rFonts w:hint="eastAsia" w:ascii="宋体" w:hAnsi="宋体"/>
          <w:szCs w:val="21"/>
          <w:highlight w:val="none"/>
        </w:rPr>
        <w:br w:type="page"/>
      </w:r>
      <w:r>
        <w:rPr>
          <w:rFonts w:hint="eastAsia" w:asciiTheme="minorEastAsia" w:hAnsiTheme="minorEastAsia" w:eastAsiaTheme="minorEastAsia"/>
          <w:b/>
          <w:bCs/>
          <w:sz w:val="84"/>
          <w:szCs w:val="84"/>
          <w:highlight w:val="none"/>
        </w:rPr>
        <w:t>政府采购</w:t>
      </w:r>
    </w:p>
    <w:p w14:paraId="0ACF2D68">
      <w:pPr>
        <w:adjustRightInd w:val="0"/>
        <w:snapToGrid w:val="0"/>
        <w:spacing w:line="360" w:lineRule="auto"/>
        <w:jc w:val="center"/>
        <w:rPr>
          <w:rFonts w:asciiTheme="minorEastAsia" w:hAnsiTheme="minorEastAsia" w:eastAsiaTheme="minorEastAsia"/>
          <w:b/>
          <w:bCs/>
          <w:sz w:val="84"/>
          <w:szCs w:val="84"/>
          <w:highlight w:val="none"/>
        </w:rPr>
      </w:pPr>
      <w:r>
        <w:rPr>
          <w:rFonts w:hint="eastAsia" w:asciiTheme="minorEastAsia" w:hAnsiTheme="minorEastAsia" w:eastAsiaTheme="minorEastAsia"/>
          <w:b/>
          <w:bCs/>
          <w:sz w:val="84"/>
          <w:szCs w:val="84"/>
          <w:highlight w:val="none"/>
        </w:rPr>
        <w:t>投 标 文 件</w:t>
      </w:r>
    </w:p>
    <w:p w14:paraId="41850038">
      <w:pPr>
        <w:adjustRightInd w:val="0"/>
        <w:snapToGrid w:val="0"/>
        <w:jc w:val="center"/>
        <w:rPr>
          <w:rFonts w:ascii="黑体" w:hAnsi="黑体" w:eastAsia="黑体"/>
          <w:sz w:val="44"/>
          <w:szCs w:val="44"/>
          <w:highlight w:val="none"/>
        </w:rPr>
      </w:pPr>
      <w:r>
        <w:rPr>
          <w:rFonts w:hint="eastAsia" w:ascii="黑体" w:hAnsi="黑体" w:eastAsia="黑体"/>
          <w:sz w:val="44"/>
          <w:szCs w:val="44"/>
          <w:highlight w:val="none"/>
        </w:rPr>
        <w:t>第三部分 技术文件</w:t>
      </w:r>
    </w:p>
    <w:p w14:paraId="69D2767A">
      <w:pPr>
        <w:adjustRightInd w:val="0"/>
        <w:snapToGrid w:val="0"/>
        <w:spacing w:line="360" w:lineRule="auto"/>
        <w:rPr>
          <w:rFonts w:asciiTheme="minorEastAsia" w:hAnsiTheme="minorEastAsia" w:eastAsiaTheme="minorEastAsia"/>
          <w:sz w:val="32"/>
          <w:szCs w:val="32"/>
          <w:highlight w:val="none"/>
        </w:rPr>
      </w:pPr>
    </w:p>
    <w:p w14:paraId="7ECEF813">
      <w:pPr>
        <w:pStyle w:val="23"/>
        <w:adjustRightInd w:val="0"/>
        <w:snapToGrid w:val="0"/>
        <w:spacing w:line="360" w:lineRule="auto"/>
        <w:ind w:firstLine="1988" w:firstLineChars="660"/>
        <w:rPr>
          <w:rFonts w:asciiTheme="minorEastAsia" w:hAnsiTheme="minorEastAsia" w:eastAsiaTheme="minorEastAsia"/>
          <w:b/>
          <w:bCs/>
          <w:sz w:val="30"/>
          <w:szCs w:val="30"/>
          <w:highlight w:val="none"/>
        </w:rPr>
      </w:pPr>
    </w:p>
    <w:p w14:paraId="064B7791">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采购项目名称：</w:t>
      </w:r>
    </w:p>
    <w:p w14:paraId="5AA0A846">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政府采购编号：</w:t>
      </w:r>
    </w:p>
    <w:p w14:paraId="4B43C17A">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项 目  编 号：</w:t>
      </w:r>
    </w:p>
    <w:p w14:paraId="3A19728A">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采购代理编号：</w:t>
      </w:r>
    </w:p>
    <w:p w14:paraId="5B4223DD">
      <w:pPr>
        <w:adjustRightInd w:val="0"/>
        <w:snapToGrid w:val="0"/>
        <w:spacing w:line="360" w:lineRule="auto"/>
        <w:ind w:firstLine="1124" w:firstLineChars="350"/>
        <w:rPr>
          <w:rFonts w:hAnsi="宋体"/>
          <w:b/>
          <w:sz w:val="32"/>
          <w:szCs w:val="32"/>
          <w:highlight w:val="none"/>
          <w:u w:val="single"/>
        </w:rPr>
      </w:pPr>
      <w:r>
        <w:rPr>
          <w:rFonts w:hint="eastAsia" w:hAnsi="宋体"/>
          <w:b/>
          <w:sz w:val="32"/>
          <w:szCs w:val="32"/>
          <w:highlight w:val="none"/>
        </w:rPr>
        <w:t>采   购   人：</w:t>
      </w:r>
    </w:p>
    <w:p w14:paraId="66E137A7">
      <w:pPr>
        <w:adjustRightInd w:val="0"/>
        <w:snapToGrid w:val="0"/>
        <w:spacing w:line="360" w:lineRule="auto"/>
        <w:ind w:firstLine="1124" w:firstLineChars="350"/>
        <w:rPr>
          <w:rFonts w:asciiTheme="minorEastAsia" w:hAnsiTheme="minorEastAsia" w:eastAsiaTheme="minorEastAsia"/>
          <w:b/>
          <w:bCs/>
          <w:sz w:val="30"/>
          <w:szCs w:val="30"/>
          <w:highlight w:val="none"/>
          <w:u w:val="single"/>
        </w:rPr>
      </w:pPr>
      <w:r>
        <w:rPr>
          <w:rFonts w:hint="eastAsia" w:ascii="宋体"/>
          <w:b/>
          <w:sz w:val="32"/>
          <w:szCs w:val="21"/>
          <w:highlight w:val="none"/>
        </w:rPr>
        <w:t>采购代理机构：</w:t>
      </w:r>
    </w:p>
    <w:p w14:paraId="341E6A2B">
      <w:pPr>
        <w:adjustRightInd w:val="0"/>
        <w:snapToGrid w:val="0"/>
        <w:spacing w:line="360" w:lineRule="auto"/>
        <w:rPr>
          <w:rFonts w:ascii="黑体" w:hAnsi="黑体" w:eastAsia="黑体"/>
          <w:sz w:val="30"/>
          <w:szCs w:val="30"/>
          <w:highlight w:val="none"/>
        </w:rPr>
      </w:pPr>
    </w:p>
    <w:p w14:paraId="04DA4F36">
      <w:pPr>
        <w:adjustRightInd w:val="0"/>
        <w:snapToGrid w:val="0"/>
        <w:spacing w:line="360" w:lineRule="auto"/>
        <w:rPr>
          <w:rFonts w:ascii="黑体" w:hAnsi="宋体" w:eastAsia="黑体"/>
          <w:sz w:val="30"/>
          <w:szCs w:val="30"/>
          <w:highlight w:val="none"/>
        </w:rPr>
      </w:pPr>
    </w:p>
    <w:p w14:paraId="68FF515F">
      <w:pPr>
        <w:adjustRightInd w:val="0"/>
        <w:snapToGrid w:val="0"/>
        <w:spacing w:line="360" w:lineRule="auto"/>
        <w:rPr>
          <w:rFonts w:ascii="黑体" w:hAnsi="宋体" w:eastAsia="黑体"/>
          <w:sz w:val="30"/>
          <w:szCs w:val="30"/>
          <w:highlight w:val="none"/>
        </w:rPr>
      </w:pPr>
    </w:p>
    <w:p w14:paraId="07F3733F">
      <w:pPr>
        <w:adjustRightInd w:val="0"/>
        <w:snapToGrid w:val="0"/>
        <w:spacing w:line="360" w:lineRule="auto"/>
        <w:ind w:firstLine="1984" w:firstLineChars="620"/>
        <w:rPr>
          <w:rFonts w:ascii="黑体" w:hAnsi="宋体" w:eastAsia="黑体"/>
          <w:sz w:val="32"/>
          <w:szCs w:val="32"/>
          <w:highlight w:val="none"/>
          <w:u w:val="single"/>
        </w:rPr>
      </w:pPr>
      <w:r>
        <w:rPr>
          <w:rFonts w:hint="eastAsia" w:ascii="黑体" w:hAnsi="宋体" w:eastAsia="黑体"/>
          <w:sz w:val="32"/>
          <w:szCs w:val="32"/>
          <w:highlight w:val="none"/>
        </w:rPr>
        <w:t>投标人：</w:t>
      </w:r>
    </w:p>
    <w:p w14:paraId="4AD302E2">
      <w:pPr>
        <w:adjustRightInd w:val="0"/>
        <w:snapToGrid w:val="0"/>
        <w:spacing w:line="360" w:lineRule="auto"/>
        <w:jc w:val="center"/>
        <w:rPr>
          <w:rFonts w:asciiTheme="minorEastAsia" w:hAnsiTheme="minorEastAsia" w:eastAsiaTheme="minorEastAsia"/>
          <w:sz w:val="32"/>
          <w:szCs w:val="32"/>
          <w:highlight w:val="none"/>
        </w:rPr>
      </w:pPr>
      <w:r>
        <w:rPr>
          <w:rFonts w:hint="eastAsia" w:ascii="黑体" w:hAnsi="宋体" w:eastAsia="黑体"/>
          <w:sz w:val="32"/>
          <w:szCs w:val="32"/>
          <w:highlight w:val="none"/>
        </w:rPr>
        <w:t>年  月  日</w:t>
      </w:r>
    </w:p>
    <w:p w14:paraId="4EC168D2">
      <w:pPr>
        <w:rPr>
          <w:rFonts w:ascii="宋体" w:hAnsi="宋体"/>
          <w:szCs w:val="21"/>
          <w:highlight w:val="none"/>
        </w:rPr>
      </w:pPr>
    </w:p>
    <w:p w14:paraId="1C6D16BA">
      <w:pPr>
        <w:rPr>
          <w:highlight w:val="none"/>
        </w:rPr>
      </w:pPr>
    </w:p>
    <w:p w14:paraId="71E7E571">
      <w:pPr>
        <w:adjustRightInd w:val="0"/>
        <w:snapToGrid w:val="0"/>
        <w:spacing w:line="360" w:lineRule="auto"/>
        <w:rPr>
          <w:rFonts w:ascii="宋体" w:hAnsi="宋体"/>
          <w:szCs w:val="21"/>
          <w:highlight w:val="none"/>
        </w:rPr>
      </w:pPr>
    </w:p>
    <w:p w14:paraId="05F63C47">
      <w:pPr>
        <w:adjustRightInd w:val="0"/>
        <w:snapToGrid w:val="0"/>
        <w:spacing w:line="360" w:lineRule="auto"/>
        <w:rPr>
          <w:rFonts w:ascii="宋体" w:hAnsi="宋体"/>
          <w:szCs w:val="21"/>
          <w:highlight w:val="none"/>
        </w:rPr>
      </w:pPr>
    </w:p>
    <w:p w14:paraId="3CA68673">
      <w:pPr>
        <w:adjustRightInd w:val="0"/>
        <w:snapToGrid w:val="0"/>
        <w:spacing w:line="360" w:lineRule="auto"/>
        <w:rPr>
          <w:rFonts w:ascii="宋体" w:hAnsi="宋体"/>
          <w:szCs w:val="21"/>
          <w:highlight w:val="none"/>
        </w:rPr>
      </w:pPr>
    </w:p>
    <w:p w14:paraId="2E34A684">
      <w:pPr>
        <w:adjustRightInd w:val="0"/>
        <w:snapToGrid w:val="0"/>
        <w:spacing w:line="360" w:lineRule="auto"/>
        <w:jc w:val="center"/>
        <w:rPr>
          <w:rFonts w:ascii="黑体" w:hAnsi="宋体" w:eastAsia="黑体"/>
          <w:sz w:val="28"/>
          <w:szCs w:val="28"/>
          <w:highlight w:val="none"/>
        </w:rPr>
      </w:pPr>
    </w:p>
    <w:p w14:paraId="4CCD659A">
      <w:pPr>
        <w:adjustRightInd w:val="0"/>
        <w:snapToGrid w:val="0"/>
        <w:spacing w:line="360" w:lineRule="auto"/>
        <w:jc w:val="center"/>
        <w:rPr>
          <w:rFonts w:ascii="黑体" w:hAnsi="宋体" w:eastAsia="黑体"/>
          <w:sz w:val="28"/>
          <w:szCs w:val="28"/>
          <w:highlight w:val="none"/>
        </w:rPr>
      </w:pPr>
      <w:r>
        <w:rPr>
          <w:rFonts w:hint="eastAsia" w:ascii="黑体" w:hAnsi="宋体" w:eastAsia="黑体"/>
          <w:sz w:val="28"/>
          <w:szCs w:val="28"/>
          <w:highlight w:val="none"/>
        </w:rPr>
        <w:t>十一、货物说明一览表</w:t>
      </w:r>
    </w:p>
    <w:p w14:paraId="2659F476">
      <w:pPr>
        <w:pStyle w:val="162"/>
        <w:jc w:val="center"/>
        <w:rPr>
          <w:rFonts w:ascii="黑体" w:hAnsi="黑体" w:eastAsia="黑体" w:cs="黑体"/>
          <w:sz w:val="28"/>
          <w:szCs w:val="28"/>
          <w:highlight w:val="none"/>
        </w:rPr>
      </w:pPr>
    </w:p>
    <w:p w14:paraId="3AA0F7CB">
      <w:pPr>
        <w:pStyle w:val="162"/>
        <w:jc w:val="center"/>
        <w:rPr>
          <w:rFonts w:ascii="黑体" w:hAnsi="黑体" w:eastAsia="黑体" w:cs="黑体"/>
          <w:sz w:val="28"/>
          <w:szCs w:val="28"/>
          <w:highlight w:val="none"/>
        </w:rPr>
      </w:pPr>
    </w:p>
    <w:p w14:paraId="3F83AFA9">
      <w:pPr>
        <w:pStyle w:val="162"/>
        <w:rPr>
          <w:rFonts w:ascii="宋体" w:hAnsi="宋体" w:cs="宋体"/>
          <w:szCs w:val="21"/>
          <w:highlight w:val="none"/>
          <w:u w:val="single"/>
        </w:rPr>
      </w:pPr>
      <w:r>
        <w:rPr>
          <w:rFonts w:hint="eastAsia"/>
          <w:highlight w:val="none"/>
        </w:rPr>
        <w:t>项目名称及包号：</w:t>
      </w:r>
      <w:r>
        <w:rPr>
          <w:rFonts w:ascii="宋体" w:hAnsi="宋体" w:cs="宋体"/>
          <w:szCs w:val="21"/>
          <w:highlight w:val="none"/>
          <w:u w:val="single"/>
        </w:rPr>
        <w:t>                </w:t>
      </w:r>
    </w:p>
    <w:p w14:paraId="59977AD0">
      <w:pPr>
        <w:pStyle w:val="162"/>
        <w:rPr>
          <w:rFonts w:ascii="宋体" w:hAnsi="宋体" w:cs="宋体"/>
          <w:szCs w:val="21"/>
          <w:highlight w:val="none"/>
          <w:u w:val="single"/>
        </w:rPr>
      </w:pPr>
      <w:r>
        <w:rPr>
          <w:rFonts w:ascii="宋体" w:hAnsi="宋体" w:cs="宋体"/>
          <w:spacing w:val="28"/>
          <w:szCs w:val="21"/>
          <w:highlight w:val="none"/>
        </w:rPr>
        <w:t>政府采购编号</w:t>
      </w:r>
      <w:r>
        <w:rPr>
          <w:rFonts w:ascii="宋体" w:hAnsi="宋体" w:cs="宋体"/>
          <w:szCs w:val="21"/>
          <w:highlight w:val="none"/>
        </w:rPr>
        <w:t xml:space="preserve">: </w:t>
      </w:r>
      <w:r>
        <w:rPr>
          <w:rFonts w:ascii="宋体" w:hAnsi="宋体" w:cs="宋体"/>
          <w:szCs w:val="21"/>
          <w:highlight w:val="none"/>
          <w:u w:val="single"/>
        </w:rPr>
        <w:t>                </w:t>
      </w:r>
    </w:p>
    <w:p w14:paraId="4651629F">
      <w:pPr>
        <w:pStyle w:val="162"/>
        <w:rPr>
          <w:highlight w:val="none"/>
        </w:rPr>
      </w:pPr>
      <w:r>
        <w:rPr>
          <w:rFonts w:hint="eastAsia" w:ascii="宋体" w:hAnsi="宋体" w:cs="宋体"/>
          <w:szCs w:val="21"/>
          <w:highlight w:val="none"/>
          <w:u w:val="none"/>
        </w:rPr>
        <w:t xml:space="preserve">委托代理编号： </w:t>
      </w:r>
      <w:r>
        <w:rPr>
          <w:rFonts w:hint="eastAsia" w:ascii="宋体" w:hAnsi="宋体" w:cs="宋体"/>
          <w:szCs w:val="21"/>
          <w:highlight w:val="none"/>
          <w:u w:val="single"/>
        </w:rPr>
        <w:t xml:space="preserve">                </w:t>
      </w:r>
      <w:r>
        <w:rPr>
          <w:rFonts w:ascii="宋体" w:hAnsi="宋体" w:cs="宋体"/>
          <w:szCs w:val="21"/>
          <w:highlight w:val="none"/>
        </w:rPr>
        <w:t> </w:t>
      </w:r>
      <w:r>
        <w:rPr>
          <w:szCs w:val="21"/>
          <w:highlight w:val="none"/>
        </w:rPr>
        <w:t xml:space="preserve"> </w:t>
      </w:r>
    </w:p>
    <w:tbl>
      <w:tblPr>
        <w:tblStyle w:val="43"/>
        <w:tblW w:w="4998" w:type="pct"/>
        <w:tblInd w:w="0" w:type="dxa"/>
        <w:tblLayout w:type="autofit"/>
        <w:tblCellMar>
          <w:top w:w="0" w:type="dxa"/>
          <w:left w:w="0" w:type="dxa"/>
          <w:bottom w:w="0" w:type="dxa"/>
          <w:right w:w="0" w:type="dxa"/>
        </w:tblCellMar>
      </w:tblPr>
      <w:tblGrid>
        <w:gridCol w:w="559"/>
        <w:gridCol w:w="1279"/>
        <w:gridCol w:w="992"/>
        <w:gridCol w:w="1136"/>
        <w:gridCol w:w="1008"/>
        <w:gridCol w:w="1837"/>
        <w:gridCol w:w="854"/>
        <w:gridCol w:w="854"/>
      </w:tblGrid>
      <w:tr w14:paraId="27981C36">
        <w:tblPrEx>
          <w:tblCellMar>
            <w:top w:w="0" w:type="dxa"/>
            <w:left w:w="0" w:type="dxa"/>
            <w:bottom w:w="0" w:type="dxa"/>
            <w:right w:w="0" w:type="dxa"/>
          </w:tblCellMar>
        </w:tblPrEx>
        <w:tc>
          <w:tcPr>
            <w:tcW w:w="328" w:type="pct"/>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tcPr>
          <w:p w14:paraId="45216F93">
            <w:pPr>
              <w:pStyle w:val="162"/>
              <w:spacing w:line="400" w:lineRule="atLeast"/>
              <w:jc w:val="center"/>
              <w:rPr>
                <w:highlight w:val="none"/>
              </w:rPr>
            </w:pPr>
            <w:r>
              <w:rPr>
                <w:rFonts w:ascii="宋体" w:hAnsi="宋体" w:cs="宋体"/>
                <w:szCs w:val="21"/>
                <w:highlight w:val="none"/>
              </w:rPr>
              <w:t>序号</w:t>
            </w:r>
            <w:r>
              <w:rPr>
                <w:szCs w:val="21"/>
                <w:highlight w:val="none"/>
              </w:rPr>
              <w:t xml:space="preserve"> </w:t>
            </w:r>
          </w:p>
        </w:tc>
        <w:tc>
          <w:tcPr>
            <w:tcW w:w="750" w:type="pct"/>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6D06CA66">
            <w:pPr>
              <w:pStyle w:val="162"/>
              <w:spacing w:line="400" w:lineRule="atLeast"/>
              <w:jc w:val="center"/>
              <w:rPr>
                <w:highlight w:val="none"/>
              </w:rPr>
            </w:pPr>
            <w:r>
              <w:rPr>
                <w:rFonts w:ascii="宋体" w:hAnsi="宋体" w:cs="宋体"/>
                <w:szCs w:val="21"/>
                <w:highlight w:val="none"/>
              </w:rPr>
              <w:t>包号及品目号</w:t>
            </w:r>
            <w:r>
              <w:rPr>
                <w:szCs w:val="21"/>
                <w:highlight w:val="none"/>
              </w:rPr>
              <w:t xml:space="preserve"> </w:t>
            </w:r>
          </w:p>
        </w:tc>
        <w:tc>
          <w:tcPr>
            <w:tcW w:w="582" w:type="pct"/>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724AC63C">
            <w:pPr>
              <w:pStyle w:val="162"/>
              <w:spacing w:line="400" w:lineRule="atLeast"/>
              <w:jc w:val="center"/>
              <w:rPr>
                <w:highlight w:val="none"/>
              </w:rPr>
            </w:pPr>
            <w:r>
              <w:rPr>
                <w:rFonts w:ascii="宋体" w:hAnsi="宋体" w:cs="宋体"/>
                <w:szCs w:val="21"/>
                <w:highlight w:val="none"/>
              </w:rPr>
              <w:t>货物名称</w:t>
            </w:r>
            <w:r>
              <w:rPr>
                <w:szCs w:val="21"/>
                <w:highlight w:val="none"/>
              </w:rPr>
              <w:t xml:space="preserve"> </w:t>
            </w:r>
          </w:p>
        </w:tc>
        <w:tc>
          <w:tcPr>
            <w:tcW w:w="666" w:type="pct"/>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20C8F491">
            <w:pPr>
              <w:pStyle w:val="162"/>
              <w:spacing w:line="400" w:lineRule="atLeast"/>
              <w:jc w:val="center"/>
              <w:rPr>
                <w:highlight w:val="none"/>
              </w:rPr>
            </w:pPr>
            <w:r>
              <w:rPr>
                <w:rFonts w:ascii="宋体" w:hAnsi="宋体" w:cs="宋体"/>
                <w:szCs w:val="21"/>
                <w:highlight w:val="none"/>
              </w:rPr>
              <w:t>制造商名称</w:t>
            </w:r>
            <w:r>
              <w:rPr>
                <w:szCs w:val="21"/>
                <w:highlight w:val="none"/>
              </w:rPr>
              <w:t xml:space="preserve"> </w:t>
            </w:r>
          </w:p>
        </w:tc>
        <w:tc>
          <w:tcPr>
            <w:tcW w:w="591" w:type="pct"/>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33C07D84">
            <w:pPr>
              <w:pStyle w:val="162"/>
              <w:spacing w:line="400" w:lineRule="atLeast"/>
              <w:jc w:val="center"/>
              <w:rPr>
                <w:highlight w:val="none"/>
              </w:rPr>
            </w:pPr>
            <w:r>
              <w:rPr>
                <w:rFonts w:ascii="宋体" w:hAnsi="宋体" w:cs="宋体"/>
                <w:szCs w:val="21"/>
                <w:highlight w:val="none"/>
              </w:rPr>
              <w:t>型号规格</w:t>
            </w:r>
            <w:r>
              <w:rPr>
                <w:szCs w:val="21"/>
                <w:highlight w:val="none"/>
              </w:rPr>
              <w:t xml:space="preserve"> </w:t>
            </w:r>
          </w:p>
        </w:tc>
        <w:tc>
          <w:tcPr>
            <w:tcW w:w="1077" w:type="pct"/>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181D575E">
            <w:pPr>
              <w:pStyle w:val="162"/>
              <w:spacing w:line="400" w:lineRule="atLeast"/>
              <w:jc w:val="center"/>
              <w:rPr>
                <w:highlight w:val="none"/>
              </w:rPr>
            </w:pPr>
            <w:r>
              <w:rPr>
                <w:rFonts w:ascii="宋体" w:hAnsi="宋体" w:cs="宋体"/>
                <w:szCs w:val="21"/>
                <w:highlight w:val="none"/>
              </w:rPr>
              <w:t>主要技术参数和技术指标</w:t>
            </w:r>
            <w:r>
              <w:rPr>
                <w:szCs w:val="21"/>
                <w:highlight w:val="none"/>
              </w:rPr>
              <w:t xml:space="preserve"> </w:t>
            </w:r>
          </w:p>
        </w:tc>
        <w:tc>
          <w:tcPr>
            <w:tcW w:w="501" w:type="pct"/>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1F2AD644">
            <w:pPr>
              <w:pStyle w:val="162"/>
              <w:spacing w:line="400" w:lineRule="atLeast"/>
              <w:jc w:val="center"/>
              <w:rPr>
                <w:highlight w:val="none"/>
              </w:rPr>
            </w:pPr>
            <w:r>
              <w:rPr>
                <w:rFonts w:hint="eastAsia"/>
                <w:szCs w:val="21"/>
                <w:highlight w:val="none"/>
                <w:lang w:eastAsia="zh-CN"/>
              </w:rPr>
              <w:t>是否本国产品</w:t>
            </w:r>
            <w:r>
              <w:rPr>
                <w:szCs w:val="21"/>
                <w:highlight w:val="none"/>
              </w:rPr>
              <w:t xml:space="preserve"> </w:t>
            </w:r>
          </w:p>
        </w:tc>
        <w:tc>
          <w:tcPr>
            <w:tcW w:w="501" w:type="pct"/>
            <w:tcBorders>
              <w:top w:val="single" w:color="000000" w:sz="8" w:space="0"/>
              <w:left w:val="nil"/>
              <w:bottom w:val="single" w:color="000000" w:sz="8" w:space="0"/>
              <w:right w:val="single" w:color="000000" w:sz="8" w:space="0"/>
            </w:tcBorders>
            <w:tcMar>
              <w:top w:w="0" w:type="dxa"/>
              <w:left w:w="108" w:type="dxa"/>
              <w:bottom w:w="0" w:type="dxa"/>
              <w:right w:w="108" w:type="dxa"/>
            </w:tcMar>
          </w:tcPr>
          <w:p w14:paraId="1E7CA378">
            <w:pPr>
              <w:pStyle w:val="162"/>
              <w:spacing w:line="400" w:lineRule="atLeast"/>
              <w:jc w:val="center"/>
              <w:rPr>
                <w:rFonts w:hint="eastAsia" w:ascii="宋体" w:hAnsi="宋体" w:eastAsia="宋体" w:cs="宋体"/>
                <w:szCs w:val="21"/>
                <w:highlight w:val="none"/>
                <w:lang w:eastAsia="zh-CN"/>
              </w:rPr>
            </w:pPr>
            <w:r>
              <w:rPr>
                <w:rFonts w:hint="eastAsia" w:ascii="宋体" w:hAnsi="宋体" w:cs="宋体"/>
                <w:szCs w:val="21"/>
                <w:highlight w:val="none"/>
                <w:lang w:eastAsia="zh-CN"/>
              </w:rPr>
              <w:t>备注</w:t>
            </w:r>
          </w:p>
        </w:tc>
      </w:tr>
      <w:tr w14:paraId="3CBD4AE0">
        <w:tblPrEx>
          <w:tblCellMar>
            <w:top w:w="0" w:type="dxa"/>
            <w:left w:w="0" w:type="dxa"/>
            <w:bottom w:w="0" w:type="dxa"/>
            <w:right w:w="0" w:type="dxa"/>
          </w:tblCellMar>
        </w:tblPrEx>
        <w:tc>
          <w:tcPr>
            <w:tcW w:w="328" w:type="pct"/>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5F60031F">
            <w:pPr>
              <w:pStyle w:val="162"/>
              <w:spacing w:line="400" w:lineRule="atLeast"/>
              <w:jc w:val="center"/>
              <w:rPr>
                <w:highlight w:val="none"/>
              </w:rPr>
            </w:pPr>
            <w:r>
              <w:rPr>
                <w:szCs w:val="21"/>
                <w:highlight w:val="none"/>
              </w:rPr>
              <w:t xml:space="preserve">  </w:t>
            </w:r>
          </w:p>
        </w:tc>
        <w:tc>
          <w:tcPr>
            <w:tcW w:w="750" w:type="pct"/>
            <w:tcBorders>
              <w:top w:val="nil"/>
              <w:left w:val="nil"/>
              <w:bottom w:val="single" w:color="000000" w:sz="8" w:space="0"/>
              <w:right w:val="single" w:color="000000" w:sz="8" w:space="0"/>
            </w:tcBorders>
            <w:tcMar>
              <w:top w:w="0" w:type="dxa"/>
              <w:left w:w="108" w:type="dxa"/>
              <w:bottom w:w="0" w:type="dxa"/>
              <w:right w:w="108" w:type="dxa"/>
            </w:tcMar>
          </w:tcPr>
          <w:p w14:paraId="2C67EE7A">
            <w:pPr>
              <w:pStyle w:val="162"/>
              <w:spacing w:line="400" w:lineRule="atLeast"/>
              <w:jc w:val="center"/>
              <w:rPr>
                <w:highlight w:val="none"/>
              </w:rPr>
            </w:pPr>
            <w:r>
              <w:rPr>
                <w:szCs w:val="21"/>
                <w:highlight w:val="none"/>
              </w:rPr>
              <w:t xml:space="preserve">  </w:t>
            </w:r>
          </w:p>
        </w:tc>
        <w:tc>
          <w:tcPr>
            <w:tcW w:w="582" w:type="pct"/>
            <w:tcBorders>
              <w:top w:val="nil"/>
              <w:left w:val="nil"/>
              <w:bottom w:val="single" w:color="000000" w:sz="8" w:space="0"/>
              <w:right w:val="single" w:color="000000" w:sz="8" w:space="0"/>
            </w:tcBorders>
            <w:tcMar>
              <w:top w:w="0" w:type="dxa"/>
              <w:left w:w="108" w:type="dxa"/>
              <w:bottom w:w="0" w:type="dxa"/>
              <w:right w:w="108" w:type="dxa"/>
            </w:tcMar>
          </w:tcPr>
          <w:p w14:paraId="0941F60C">
            <w:pPr>
              <w:pStyle w:val="162"/>
              <w:spacing w:line="400" w:lineRule="atLeast"/>
              <w:jc w:val="center"/>
              <w:rPr>
                <w:highlight w:val="none"/>
              </w:rPr>
            </w:pPr>
            <w:r>
              <w:rPr>
                <w:szCs w:val="21"/>
                <w:highlight w:val="none"/>
              </w:rPr>
              <w:t xml:space="preserve">  </w:t>
            </w:r>
          </w:p>
        </w:tc>
        <w:tc>
          <w:tcPr>
            <w:tcW w:w="666" w:type="pct"/>
            <w:tcBorders>
              <w:top w:val="nil"/>
              <w:left w:val="nil"/>
              <w:bottom w:val="single" w:color="000000" w:sz="8" w:space="0"/>
              <w:right w:val="single" w:color="000000" w:sz="8" w:space="0"/>
            </w:tcBorders>
            <w:tcMar>
              <w:top w:w="0" w:type="dxa"/>
              <w:left w:w="108" w:type="dxa"/>
              <w:bottom w:w="0" w:type="dxa"/>
              <w:right w:w="108" w:type="dxa"/>
            </w:tcMar>
          </w:tcPr>
          <w:p w14:paraId="0B950DDD">
            <w:pPr>
              <w:pStyle w:val="162"/>
              <w:spacing w:line="400" w:lineRule="atLeast"/>
              <w:jc w:val="center"/>
              <w:rPr>
                <w:highlight w:val="none"/>
              </w:rPr>
            </w:pPr>
            <w:r>
              <w:rPr>
                <w:szCs w:val="21"/>
                <w:highlight w:val="none"/>
              </w:rPr>
              <w:t xml:space="preserve">  </w:t>
            </w:r>
          </w:p>
        </w:tc>
        <w:tc>
          <w:tcPr>
            <w:tcW w:w="591" w:type="pct"/>
            <w:tcBorders>
              <w:top w:val="nil"/>
              <w:left w:val="nil"/>
              <w:bottom w:val="single" w:color="000000" w:sz="8" w:space="0"/>
              <w:right w:val="single" w:color="000000" w:sz="8" w:space="0"/>
            </w:tcBorders>
            <w:tcMar>
              <w:top w:w="0" w:type="dxa"/>
              <w:left w:w="108" w:type="dxa"/>
              <w:bottom w:w="0" w:type="dxa"/>
              <w:right w:w="108" w:type="dxa"/>
            </w:tcMar>
          </w:tcPr>
          <w:p w14:paraId="034A2900">
            <w:pPr>
              <w:pStyle w:val="162"/>
              <w:spacing w:line="400" w:lineRule="atLeast"/>
              <w:jc w:val="center"/>
              <w:rPr>
                <w:highlight w:val="none"/>
              </w:rPr>
            </w:pPr>
            <w:r>
              <w:rPr>
                <w:szCs w:val="21"/>
                <w:highlight w:val="none"/>
              </w:rPr>
              <w:t xml:space="preserve">  </w:t>
            </w:r>
          </w:p>
        </w:tc>
        <w:tc>
          <w:tcPr>
            <w:tcW w:w="1077" w:type="pct"/>
            <w:tcBorders>
              <w:top w:val="nil"/>
              <w:left w:val="nil"/>
              <w:bottom w:val="single" w:color="000000" w:sz="8" w:space="0"/>
              <w:right w:val="single" w:color="000000" w:sz="8" w:space="0"/>
            </w:tcBorders>
            <w:tcMar>
              <w:top w:w="0" w:type="dxa"/>
              <w:left w:w="108" w:type="dxa"/>
              <w:bottom w:w="0" w:type="dxa"/>
              <w:right w:w="108" w:type="dxa"/>
            </w:tcMar>
          </w:tcPr>
          <w:p w14:paraId="12958079">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31D18FE2">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46148133">
            <w:pPr>
              <w:pStyle w:val="162"/>
              <w:spacing w:line="400" w:lineRule="atLeast"/>
              <w:jc w:val="center"/>
              <w:rPr>
                <w:szCs w:val="21"/>
                <w:highlight w:val="none"/>
              </w:rPr>
            </w:pPr>
          </w:p>
        </w:tc>
      </w:tr>
      <w:tr w14:paraId="72D8E3DA">
        <w:tblPrEx>
          <w:tblCellMar>
            <w:top w:w="0" w:type="dxa"/>
            <w:left w:w="0" w:type="dxa"/>
            <w:bottom w:w="0" w:type="dxa"/>
            <w:right w:w="0" w:type="dxa"/>
          </w:tblCellMar>
        </w:tblPrEx>
        <w:tc>
          <w:tcPr>
            <w:tcW w:w="328" w:type="pct"/>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6B9C211B">
            <w:pPr>
              <w:pStyle w:val="162"/>
              <w:spacing w:line="400" w:lineRule="atLeast"/>
              <w:jc w:val="center"/>
              <w:rPr>
                <w:highlight w:val="none"/>
              </w:rPr>
            </w:pPr>
            <w:r>
              <w:rPr>
                <w:szCs w:val="21"/>
                <w:highlight w:val="none"/>
              </w:rPr>
              <w:t xml:space="preserve">  </w:t>
            </w:r>
          </w:p>
        </w:tc>
        <w:tc>
          <w:tcPr>
            <w:tcW w:w="750" w:type="pct"/>
            <w:tcBorders>
              <w:top w:val="nil"/>
              <w:left w:val="nil"/>
              <w:bottom w:val="single" w:color="000000" w:sz="8" w:space="0"/>
              <w:right w:val="single" w:color="000000" w:sz="8" w:space="0"/>
            </w:tcBorders>
            <w:tcMar>
              <w:top w:w="0" w:type="dxa"/>
              <w:left w:w="108" w:type="dxa"/>
              <w:bottom w:w="0" w:type="dxa"/>
              <w:right w:w="108" w:type="dxa"/>
            </w:tcMar>
          </w:tcPr>
          <w:p w14:paraId="0E6AB460">
            <w:pPr>
              <w:pStyle w:val="162"/>
              <w:spacing w:line="400" w:lineRule="atLeast"/>
              <w:jc w:val="center"/>
              <w:rPr>
                <w:highlight w:val="none"/>
              </w:rPr>
            </w:pPr>
            <w:r>
              <w:rPr>
                <w:szCs w:val="21"/>
                <w:highlight w:val="none"/>
              </w:rPr>
              <w:t xml:space="preserve">  </w:t>
            </w:r>
          </w:p>
        </w:tc>
        <w:tc>
          <w:tcPr>
            <w:tcW w:w="582" w:type="pct"/>
            <w:tcBorders>
              <w:top w:val="nil"/>
              <w:left w:val="nil"/>
              <w:bottom w:val="single" w:color="000000" w:sz="8" w:space="0"/>
              <w:right w:val="single" w:color="000000" w:sz="8" w:space="0"/>
            </w:tcBorders>
            <w:tcMar>
              <w:top w:w="0" w:type="dxa"/>
              <w:left w:w="108" w:type="dxa"/>
              <w:bottom w:w="0" w:type="dxa"/>
              <w:right w:w="108" w:type="dxa"/>
            </w:tcMar>
          </w:tcPr>
          <w:p w14:paraId="254CEDA4">
            <w:pPr>
              <w:pStyle w:val="162"/>
              <w:spacing w:line="400" w:lineRule="atLeast"/>
              <w:jc w:val="center"/>
              <w:rPr>
                <w:highlight w:val="none"/>
              </w:rPr>
            </w:pPr>
            <w:r>
              <w:rPr>
                <w:szCs w:val="21"/>
                <w:highlight w:val="none"/>
              </w:rPr>
              <w:t xml:space="preserve">  </w:t>
            </w:r>
          </w:p>
        </w:tc>
        <w:tc>
          <w:tcPr>
            <w:tcW w:w="666" w:type="pct"/>
            <w:tcBorders>
              <w:top w:val="nil"/>
              <w:left w:val="nil"/>
              <w:bottom w:val="single" w:color="000000" w:sz="8" w:space="0"/>
              <w:right w:val="single" w:color="000000" w:sz="8" w:space="0"/>
            </w:tcBorders>
            <w:tcMar>
              <w:top w:w="0" w:type="dxa"/>
              <w:left w:w="108" w:type="dxa"/>
              <w:bottom w:w="0" w:type="dxa"/>
              <w:right w:w="108" w:type="dxa"/>
            </w:tcMar>
          </w:tcPr>
          <w:p w14:paraId="75B575A9">
            <w:pPr>
              <w:pStyle w:val="162"/>
              <w:spacing w:line="400" w:lineRule="atLeast"/>
              <w:jc w:val="center"/>
              <w:rPr>
                <w:highlight w:val="none"/>
              </w:rPr>
            </w:pPr>
            <w:r>
              <w:rPr>
                <w:szCs w:val="21"/>
                <w:highlight w:val="none"/>
              </w:rPr>
              <w:t xml:space="preserve">  </w:t>
            </w:r>
          </w:p>
        </w:tc>
        <w:tc>
          <w:tcPr>
            <w:tcW w:w="591" w:type="pct"/>
            <w:tcBorders>
              <w:top w:val="nil"/>
              <w:left w:val="nil"/>
              <w:bottom w:val="single" w:color="000000" w:sz="8" w:space="0"/>
              <w:right w:val="single" w:color="000000" w:sz="8" w:space="0"/>
            </w:tcBorders>
            <w:tcMar>
              <w:top w:w="0" w:type="dxa"/>
              <w:left w:w="108" w:type="dxa"/>
              <w:bottom w:w="0" w:type="dxa"/>
              <w:right w:w="108" w:type="dxa"/>
            </w:tcMar>
          </w:tcPr>
          <w:p w14:paraId="114ADFB9">
            <w:pPr>
              <w:pStyle w:val="162"/>
              <w:spacing w:line="400" w:lineRule="atLeast"/>
              <w:jc w:val="center"/>
              <w:rPr>
                <w:highlight w:val="none"/>
              </w:rPr>
            </w:pPr>
            <w:r>
              <w:rPr>
                <w:szCs w:val="21"/>
                <w:highlight w:val="none"/>
              </w:rPr>
              <w:t xml:space="preserve">  </w:t>
            </w:r>
          </w:p>
        </w:tc>
        <w:tc>
          <w:tcPr>
            <w:tcW w:w="1077" w:type="pct"/>
            <w:tcBorders>
              <w:top w:val="nil"/>
              <w:left w:val="nil"/>
              <w:bottom w:val="single" w:color="000000" w:sz="8" w:space="0"/>
              <w:right w:val="single" w:color="000000" w:sz="8" w:space="0"/>
            </w:tcBorders>
            <w:tcMar>
              <w:top w:w="0" w:type="dxa"/>
              <w:left w:w="108" w:type="dxa"/>
              <w:bottom w:w="0" w:type="dxa"/>
              <w:right w:w="108" w:type="dxa"/>
            </w:tcMar>
          </w:tcPr>
          <w:p w14:paraId="1BC765AE">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6B80227B">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3029E6C6">
            <w:pPr>
              <w:pStyle w:val="162"/>
              <w:spacing w:line="400" w:lineRule="atLeast"/>
              <w:jc w:val="center"/>
              <w:rPr>
                <w:szCs w:val="21"/>
                <w:highlight w:val="none"/>
              </w:rPr>
            </w:pPr>
          </w:p>
        </w:tc>
      </w:tr>
      <w:tr w14:paraId="4743B132">
        <w:tblPrEx>
          <w:tblCellMar>
            <w:top w:w="0" w:type="dxa"/>
            <w:left w:w="0" w:type="dxa"/>
            <w:bottom w:w="0" w:type="dxa"/>
            <w:right w:w="0" w:type="dxa"/>
          </w:tblCellMar>
        </w:tblPrEx>
        <w:tc>
          <w:tcPr>
            <w:tcW w:w="328" w:type="pct"/>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4A41EB6B">
            <w:pPr>
              <w:pStyle w:val="162"/>
              <w:spacing w:line="400" w:lineRule="atLeast"/>
              <w:jc w:val="center"/>
              <w:rPr>
                <w:highlight w:val="none"/>
              </w:rPr>
            </w:pPr>
            <w:r>
              <w:rPr>
                <w:szCs w:val="21"/>
                <w:highlight w:val="none"/>
              </w:rPr>
              <w:t xml:space="preserve">  </w:t>
            </w:r>
          </w:p>
        </w:tc>
        <w:tc>
          <w:tcPr>
            <w:tcW w:w="750" w:type="pct"/>
            <w:tcBorders>
              <w:top w:val="nil"/>
              <w:left w:val="nil"/>
              <w:bottom w:val="single" w:color="000000" w:sz="8" w:space="0"/>
              <w:right w:val="single" w:color="000000" w:sz="8" w:space="0"/>
            </w:tcBorders>
            <w:tcMar>
              <w:top w:w="0" w:type="dxa"/>
              <w:left w:w="108" w:type="dxa"/>
              <w:bottom w:w="0" w:type="dxa"/>
              <w:right w:w="108" w:type="dxa"/>
            </w:tcMar>
          </w:tcPr>
          <w:p w14:paraId="43FD83D8">
            <w:pPr>
              <w:pStyle w:val="162"/>
              <w:spacing w:line="400" w:lineRule="atLeast"/>
              <w:jc w:val="center"/>
              <w:rPr>
                <w:highlight w:val="none"/>
              </w:rPr>
            </w:pPr>
            <w:r>
              <w:rPr>
                <w:szCs w:val="21"/>
                <w:highlight w:val="none"/>
              </w:rPr>
              <w:t xml:space="preserve">  </w:t>
            </w:r>
          </w:p>
        </w:tc>
        <w:tc>
          <w:tcPr>
            <w:tcW w:w="582" w:type="pct"/>
            <w:tcBorders>
              <w:top w:val="nil"/>
              <w:left w:val="nil"/>
              <w:bottom w:val="single" w:color="000000" w:sz="8" w:space="0"/>
              <w:right w:val="single" w:color="000000" w:sz="8" w:space="0"/>
            </w:tcBorders>
            <w:tcMar>
              <w:top w:w="0" w:type="dxa"/>
              <w:left w:w="108" w:type="dxa"/>
              <w:bottom w:w="0" w:type="dxa"/>
              <w:right w:w="108" w:type="dxa"/>
            </w:tcMar>
          </w:tcPr>
          <w:p w14:paraId="60B3BD8E">
            <w:pPr>
              <w:pStyle w:val="162"/>
              <w:spacing w:line="400" w:lineRule="atLeast"/>
              <w:jc w:val="center"/>
              <w:rPr>
                <w:highlight w:val="none"/>
              </w:rPr>
            </w:pPr>
            <w:r>
              <w:rPr>
                <w:szCs w:val="21"/>
                <w:highlight w:val="none"/>
              </w:rPr>
              <w:t xml:space="preserve">  </w:t>
            </w:r>
          </w:p>
        </w:tc>
        <w:tc>
          <w:tcPr>
            <w:tcW w:w="666" w:type="pct"/>
            <w:tcBorders>
              <w:top w:val="nil"/>
              <w:left w:val="nil"/>
              <w:bottom w:val="single" w:color="000000" w:sz="8" w:space="0"/>
              <w:right w:val="single" w:color="000000" w:sz="8" w:space="0"/>
            </w:tcBorders>
            <w:tcMar>
              <w:top w:w="0" w:type="dxa"/>
              <w:left w:w="108" w:type="dxa"/>
              <w:bottom w:w="0" w:type="dxa"/>
              <w:right w:w="108" w:type="dxa"/>
            </w:tcMar>
          </w:tcPr>
          <w:p w14:paraId="5E971AF7">
            <w:pPr>
              <w:pStyle w:val="162"/>
              <w:spacing w:line="400" w:lineRule="atLeast"/>
              <w:jc w:val="center"/>
              <w:rPr>
                <w:highlight w:val="none"/>
              </w:rPr>
            </w:pPr>
            <w:r>
              <w:rPr>
                <w:szCs w:val="21"/>
                <w:highlight w:val="none"/>
              </w:rPr>
              <w:t xml:space="preserve">  </w:t>
            </w:r>
          </w:p>
        </w:tc>
        <w:tc>
          <w:tcPr>
            <w:tcW w:w="591" w:type="pct"/>
            <w:tcBorders>
              <w:top w:val="nil"/>
              <w:left w:val="nil"/>
              <w:bottom w:val="single" w:color="000000" w:sz="8" w:space="0"/>
              <w:right w:val="single" w:color="000000" w:sz="8" w:space="0"/>
            </w:tcBorders>
            <w:tcMar>
              <w:top w:w="0" w:type="dxa"/>
              <w:left w:w="108" w:type="dxa"/>
              <w:bottom w:w="0" w:type="dxa"/>
              <w:right w:w="108" w:type="dxa"/>
            </w:tcMar>
          </w:tcPr>
          <w:p w14:paraId="2203184B">
            <w:pPr>
              <w:pStyle w:val="162"/>
              <w:spacing w:line="400" w:lineRule="atLeast"/>
              <w:jc w:val="center"/>
              <w:rPr>
                <w:highlight w:val="none"/>
              </w:rPr>
            </w:pPr>
            <w:r>
              <w:rPr>
                <w:szCs w:val="21"/>
                <w:highlight w:val="none"/>
              </w:rPr>
              <w:t xml:space="preserve">  </w:t>
            </w:r>
          </w:p>
        </w:tc>
        <w:tc>
          <w:tcPr>
            <w:tcW w:w="1077" w:type="pct"/>
            <w:tcBorders>
              <w:top w:val="nil"/>
              <w:left w:val="nil"/>
              <w:bottom w:val="single" w:color="000000" w:sz="8" w:space="0"/>
              <w:right w:val="single" w:color="000000" w:sz="8" w:space="0"/>
            </w:tcBorders>
            <w:tcMar>
              <w:top w:w="0" w:type="dxa"/>
              <w:left w:w="108" w:type="dxa"/>
              <w:bottom w:w="0" w:type="dxa"/>
              <w:right w:w="108" w:type="dxa"/>
            </w:tcMar>
          </w:tcPr>
          <w:p w14:paraId="2A7AF093">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0701947F">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3EB845A7">
            <w:pPr>
              <w:pStyle w:val="162"/>
              <w:spacing w:line="400" w:lineRule="atLeast"/>
              <w:jc w:val="center"/>
              <w:rPr>
                <w:szCs w:val="21"/>
                <w:highlight w:val="none"/>
              </w:rPr>
            </w:pPr>
          </w:p>
        </w:tc>
      </w:tr>
      <w:tr w14:paraId="3D459F86">
        <w:tblPrEx>
          <w:tblCellMar>
            <w:top w:w="0" w:type="dxa"/>
            <w:left w:w="0" w:type="dxa"/>
            <w:bottom w:w="0" w:type="dxa"/>
            <w:right w:w="0" w:type="dxa"/>
          </w:tblCellMar>
        </w:tblPrEx>
        <w:tc>
          <w:tcPr>
            <w:tcW w:w="328" w:type="pct"/>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6E3FCBD9">
            <w:pPr>
              <w:pStyle w:val="162"/>
              <w:spacing w:line="400" w:lineRule="atLeast"/>
              <w:jc w:val="center"/>
              <w:rPr>
                <w:highlight w:val="none"/>
              </w:rPr>
            </w:pPr>
            <w:r>
              <w:rPr>
                <w:szCs w:val="21"/>
                <w:highlight w:val="none"/>
              </w:rPr>
              <w:t xml:space="preserve">  </w:t>
            </w:r>
          </w:p>
        </w:tc>
        <w:tc>
          <w:tcPr>
            <w:tcW w:w="750" w:type="pct"/>
            <w:tcBorders>
              <w:top w:val="nil"/>
              <w:left w:val="nil"/>
              <w:bottom w:val="single" w:color="000000" w:sz="8" w:space="0"/>
              <w:right w:val="single" w:color="000000" w:sz="8" w:space="0"/>
            </w:tcBorders>
            <w:tcMar>
              <w:top w:w="0" w:type="dxa"/>
              <w:left w:w="108" w:type="dxa"/>
              <w:bottom w:w="0" w:type="dxa"/>
              <w:right w:w="108" w:type="dxa"/>
            </w:tcMar>
          </w:tcPr>
          <w:p w14:paraId="3D1499ED">
            <w:pPr>
              <w:pStyle w:val="162"/>
              <w:spacing w:line="400" w:lineRule="atLeast"/>
              <w:jc w:val="center"/>
              <w:rPr>
                <w:highlight w:val="none"/>
              </w:rPr>
            </w:pPr>
            <w:r>
              <w:rPr>
                <w:szCs w:val="21"/>
                <w:highlight w:val="none"/>
              </w:rPr>
              <w:t xml:space="preserve">  </w:t>
            </w:r>
          </w:p>
        </w:tc>
        <w:tc>
          <w:tcPr>
            <w:tcW w:w="582" w:type="pct"/>
            <w:tcBorders>
              <w:top w:val="nil"/>
              <w:left w:val="nil"/>
              <w:bottom w:val="single" w:color="000000" w:sz="8" w:space="0"/>
              <w:right w:val="single" w:color="000000" w:sz="8" w:space="0"/>
            </w:tcBorders>
            <w:tcMar>
              <w:top w:w="0" w:type="dxa"/>
              <w:left w:w="108" w:type="dxa"/>
              <w:bottom w:w="0" w:type="dxa"/>
              <w:right w:w="108" w:type="dxa"/>
            </w:tcMar>
          </w:tcPr>
          <w:p w14:paraId="7DE611B8">
            <w:pPr>
              <w:pStyle w:val="162"/>
              <w:spacing w:line="400" w:lineRule="atLeast"/>
              <w:jc w:val="center"/>
              <w:rPr>
                <w:highlight w:val="none"/>
              </w:rPr>
            </w:pPr>
            <w:r>
              <w:rPr>
                <w:szCs w:val="21"/>
                <w:highlight w:val="none"/>
              </w:rPr>
              <w:t xml:space="preserve">  </w:t>
            </w:r>
          </w:p>
        </w:tc>
        <w:tc>
          <w:tcPr>
            <w:tcW w:w="666" w:type="pct"/>
            <w:tcBorders>
              <w:top w:val="nil"/>
              <w:left w:val="nil"/>
              <w:bottom w:val="single" w:color="000000" w:sz="8" w:space="0"/>
              <w:right w:val="single" w:color="000000" w:sz="8" w:space="0"/>
            </w:tcBorders>
            <w:tcMar>
              <w:top w:w="0" w:type="dxa"/>
              <w:left w:w="108" w:type="dxa"/>
              <w:bottom w:w="0" w:type="dxa"/>
              <w:right w:w="108" w:type="dxa"/>
            </w:tcMar>
          </w:tcPr>
          <w:p w14:paraId="074E395C">
            <w:pPr>
              <w:pStyle w:val="162"/>
              <w:spacing w:line="400" w:lineRule="atLeast"/>
              <w:jc w:val="center"/>
              <w:rPr>
                <w:highlight w:val="none"/>
              </w:rPr>
            </w:pPr>
            <w:r>
              <w:rPr>
                <w:szCs w:val="21"/>
                <w:highlight w:val="none"/>
              </w:rPr>
              <w:t xml:space="preserve">  </w:t>
            </w:r>
          </w:p>
        </w:tc>
        <w:tc>
          <w:tcPr>
            <w:tcW w:w="591" w:type="pct"/>
            <w:tcBorders>
              <w:top w:val="nil"/>
              <w:left w:val="nil"/>
              <w:bottom w:val="single" w:color="000000" w:sz="8" w:space="0"/>
              <w:right w:val="single" w:color="000000" w:sz="8" w:space="0"/>
            </w:tcBorders>
            <w:tcMar>
              <w:top w:w="0" w:type="dxa"/>
              <w:left w:w="108" w:type="dxa"/>
              <w:bottom w:w="0" w:type="dxa"/>
              <w:right w:w="108" w:type="dxa"/>
            </w:tcMar>
          </w:tcPr>
          <w:p w14:paraId="36AD71F0">
            <w:pPr>
              <w:pStyle w:val="162"/>
              <w:spacing w:line="400" w:lineRule="atLeast"/>
              <w:jc w:val="center"/>
              <w:rPr>
                <w:highlight w:val="none"/>
              </w:rPr>
            </w:pPr>
            <w:r>
              <w:rPr>
                <w:szCs w:val="21"/>
                <w:highlight w:val="none"/>
              </w:rPr>
              <w:t xml:space="preserve">  </w:t>
            </w:r>
          </w:p>
        </w:tc>
        <w:tc>
          <w:tcPr>
            <w:tcW w:w="1077" w:type="pct"/>
            <w:tcBorders>
              <w:top w:val="nil"/>
              <w:left w:val="nil"/>
              <w:bottom w:val="single" w:color="000000" w:sz="8" w:space="0"/>
              <w:right w:val="single" w:color="000000" w:sz="8" w:space="0"/>
            </w:tcBorders>
            <w:tcMar>
              <w:top w:w="0" w:type="dxa"/>
              <w:left w:w="108" w:type="dxa"/>
              <w:bottom w:w="0" w:type="dxa"/>
              <w:right w:w="108" w:type="dxa"/>
            </w:tcMar>
          </w:tcPr>
          <w:p w14:paraId="355F4D8E">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7D050624">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562041B8">
            <w:pPr>
              <w:pStyle w:val="162"/>
              <w:spacing w:line="400" w:lineRule="atLeast"/>
              <w:jc w:val="center"/>
              <w:rPr>
                <w:szCs w:val="21"/>
                <w:highlight w:val="none"/>
              </w:rPr>
            </w:pPr>
          </w:p>
        </w:tc>
      </w:tr>
      <w:tr w14:paraId="1AA5D0BD">
        <w:tblPrEx>
          <w:tblCellMar>
            <w:top w:w="0" w:type="dxa"/>
            <w:left w:w="0" w:type="dxa"/>
            <w:bottom w:w="0" w:type="dxa"/>
            <w:right w:w="0" w:type="dxa"/>
          </w:tblCellMar>
        </w:tblPrEx>
        <w:tc>
          <w:tcPr>
            <w:tcW w:w="328" w:type="pct"/>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20C0BA23">
            <w:pPr>
              <w:pStyle w:val="162"/>
              <w:spacing w:line="400" w:lineRule="atLeast"/>
              <w:jc w:val="center"/>
              <w:rPr>
                <w:highlight w:val="none"/>
              </w:rPr>
            </w:pPr>
            <w:r>
              <w:rPr>
                <w:szCs w:val="21"/>
                <w:highlight w:val="none"/>
              </w:rPr>
              <w:t xml:space="preserve">  </w:t>
            </w:r>
          </w:p>
        </w:tc>
        <w:tc>
          <w:tcPr>
            <w:tcW w:w="750" w:type="pct"/>
            <w:tcBorders>
              <w:top w:val="nil"/>
              <w:left w:val="nil"/>
              <w:bottom w:val="single" w:color="000000" w:sz="8" w:space="0"/>
              <w:right w:val="single" w:color="000000" w:sz="8" w:space="0"/>
            </w:tcBorders>
            <w:tcMar>
              <w:top w:w="0" w:type="dxa"/>
              <w:left w:w="108" w:type="dxa"/>
              <w:bottom w:w="0" w:type="dxa"/>
              <w:right w:w="108" w:type="dxa"/>
            </w:tcMar>
          </w:tcPr>
          <w:p w14:paraId="17955DA2">
            <w:pPr>
              <w:pStyle w:val="162"/>
              <w:spacing w:line="400" w:lineRule="atLeast"/>
              <w:jc w:val="center"/>
              <w:rPr>
                <w:highlight w:val="none"/>
              </w:rPr>
            </w:pPr>
            <w:r>
              <w:rPr>
                <w:szCs w:val="21"/>
                <w:highlight w:val="none"/>
              </w:rPr>
              <w:t xml:space="preserve">  </w:t>
            </w:r>
          </w:p>
        </w:tc>
        <w:tc>
          <w:tcPr>
            <w:tcW w:w="582" w:type="pct"/>
            <w:tcBorders>
              <w:top w:val="nil"/>
              <w:left w:val="nil"/>
              <w:bottom w:val="single" w:color="000000" w:sz="8" w:space="0"/>
              <w:right w:val="single" w:color="000000" w:sz="8" w:space="0"/>
            </w:tcBorders>
            <w:tcMar>
              <w:top w:w="0" w:type="dxa"/>
              <w:left w:w="108" w:type="dxa"/>
              <w:bottom w:w="0" w:type="dxa"/>
              <w:right w:w="108" w:type="dxa"/>
            </w:tcMar>
          </w:tcPr>
          <w:p w14:paraId="3BE7DBF7">
            <w:pPr>
              <w:pStyle w:val="162"/>
              <w:spacing w:line="400" w:lineRule="atLeast"/>
              <w:jc w:val="center"/>
              <w:rPr>
                <w:highlight w:val="none"/>
              </w:rPr>
            </w:pPr>
            <w:r>
              <w:rPr>
                <w:szCs w:val="21"/>
                <w:highlight w:val="none"/>
              </w:rPr>
              <w:t xml:space="preserve">  </w:t>
            </w:r>
          </w:p>
        </w:tc>
        <w:tc>
          <w:tcPr>
            <w:tcW w:w="666" w:type="pct"/>
            <w:tcBorders>
              <w:top w:val="nil"/>
              <w:left w:val="nil"/>
              <w:bottom w:val="single" w:color="000000" w:sz="8" w:space="0"/>
              <w:right w:val="single" w:color="000000" w:sz="8" w:space="0"/>
            </w:tcBorders>
            <w:tcMar>
              <w:top w:w="0" w:type="dxa"/>
              <w:left w:w="108" w:type="dxa"/>
              <w:bottom w:w="0" w:type="dxa"/>
              <w:right w:w="108" w:type="dxa"/>
            </w:tcMar>
          </w:tcPr>
          <w:p w14:paraId="72665804">
            <w:pPr>
              <w:pStyle w:val="162"/>
              <w:spacing w:line="400" w:lineRule="atLeast"/>
              <w:jc w:val="center"/>
              <w:rPr>
                <w:highlight w:val="none"/>
              </w:rPr>
            </w:pPr>
            <w:r>
              <w:rPr>
                <w:szCs w:val="21"/>
                <w:highlight w:val="none"/>
              </w:rPr>
              <w:t xml:space="preserve">  </w:t>
            </w:r>
          </w:p>
        </w:tc>
        <w:tc>
          <w:tcPr>
            <w:tcW w:w="591" w:type="pct"/>
            <w:tcBorders>
              <w:top w:val="nil"/>
              <w:left w:val="nil"/>
              <w:bottom w:val="single" w:color="000000" w:sz="8" w:space="0"/>
              <w:right w:val="single" w:color="000000" w:sz="8" w:space="0"/>
            </w:tcBorders>
            <w:tcMar>
              <w:top w:w="0" w:type="dxa"/>
              <w:left w:w="108" w:type="dxa"/>
              <w:bottom w:w="0" w:type="dxa"/>
              <w:right w:w="108" w:type="dxa"/>
            </w:tcMar>
          </w:tcPr>
          <w:p w14:paraId="65E9DD5A">
            <w:pPr>
              <w:pStyle w:val="162"/>
              <w:spacing w:line="400" w:lineRule="atLeast"/>
              <w:jc w:val="center"/>
              <w:rPr>
                <w:highlight w:val="none"/>
              </w:rPr>
            </w:pPr>
            <w:r>
              <w:rPr>
                <w:szCs w:val="21"/>
                <w:highlight w:val="none"/>
              </w:rPr>
              <w:t xml:space="preserve">  </w:t>
            </w:r>
          </w:p>
        </w:tc>
        <w:tc>
          <w:tcPr>
            <w:tcW w:w="1077" w:type="pct"/>
            <w:tcBorders>
              <w:top w:val="nil"/>
              <w:left w:val="nil"/>
              <w:bottom w:val="single" w:color="000000" w:sz="8" w:space="0"/>
              <w:right w:val="single" w:color="000000" w:sz="8" w:space="0"/>
            </w:tcBorders>
            <w:tcMar>
              <w:top w:w="0" w:type="dxa"/>
              <w:left w:w="108" w:type="dxa"/>
              <w:bottom w:w="0" w:type="dxa"/>
              <w:right w:w="108" w:type="dxa"/>
            </w:tcMar>
          </w:tcPr>
          <w:p w14:paraId="610181D2">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2B0FFB89">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64216ED1">
            <w:pPr>
              <w:pStyle w:val="162"/>
              <w:spacing w:line="400" w:lineRule="atLeast"/>
              <w:jc w:val="center"/>
              <w:rPr>
                <w:szCs w:val="21"/>
                <w:highlight w:val="none"/>
              </w:rPr>
            </w:pPr>
          </w:p>
        </w:tc>
      </w:tr>
      <w:tr w14:paraId="4A1A25B6">
        <w:tblPrEx>
          <w:tblCellMar>
            <w:top w:w="0" w:type="dxa"/>
            <w:left w:w="0" w:type="dxa"/>
            <w:bottom w:w="0" w:type="dxa"/>
            <w:right w:w="0" w:type="dxa"/>
          </w:tblCellMar>
        </w:tblPrEx>
        <w:tc>
          <w:tcPr>
            <w:tcW w:w="328" w:type="pct"/>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3F9B6FB8">
            <w:pPr>
              <w:pStyle w:val="162"/>
              <w:spacing w:line="400" w:lineRule="atLeast"/>
              <w:jc w:val="center"/>
              <w:rPr>
                <w:highlight w:val="none"/>
              </w:rPr>
            </w:pPr>
            <w:r>
              <w:rPr>
                <w:szCs w:val="21"/>
                <w:highlight w:val="none"/>
              </w:rPr>
              <w:t xml:space="preserve">  </w:t>
            </w:r>
          </w:p>
        </w:tc>
        <w:tc>
          <w:tcPr>
            <w:tcW w:w="750" w:type="pct"/>
            <w:tcBorders>
              <w:top w:val="nil"/>
              <w:left w:val="nil"/>
              <w:bottom w:val="single" w:color="000000" w:sz="8" w:space="0"/>
              <w:right w:val="single" w:color="000000" w:sz="8" w:space="0"/>
            </w:tcBorders>
            <w:tcMar>
              <w:top w:w="0" w:type="dxa"/>
              <w:left w:w="108" w:type="dxa"/>
              <w:bottom w:w="0" w:type="dxa"/>
              <w:right w:w="108" w:type="dxa"/>
            </w:tcMar>
          </w:tcPr>
          <w:p w14:paraId="6992CB4C">
            <w:pPr>
              <w:pStyle w:val="162"/>
              <w:spacing w:line="400" w:lineRule="atLeast"/>
              <w:jc w:val="center"/>
              <w:rPr>
                <w:highlight w:val="none"/>
              </w:rPr>
            </w:pPr>
            <w:r>
              <w:rPr>
                <w:szCs w:val="21"/>
                <w:highlight w:val="none"/>
              </w:rPr>
              <w:t xml:space="preserve">  </w:t>
            </w:r>
          </w:p>
        </w:tc>
        <w:tc>
          <w:tcPr>
            <w:tcW w:w="582" w:type="pct"/>
            <w:tcBorders>
              <w:top w:val="nil"/>
              <w:left w:val="nil"/>
              <w:bottom w:val="single" w:color="000000" w:sz="8" w:space="0"/>
              <w:right w:val="single" w:color="000000" w:sz="8" w:space="0"/>
            </w:tcBorders>
            <w:tcMar>
              <w:top w:w="0" w:type="dxa"/>
              <w:left w:w="108" w:type="dxa"/>
              <w:bottom w:w="0" w:type="dxa"/>
              <w:right w:w="108" w:type="dxa"/>
            </w:tcMar>
          </w:tcPr>
          <w:p w14:paraId="25918C56">
            <w:pPr>
              <w:pStyle w:val="162"/>
              <w:spacing w:line="400" w:lineRule="atLeast"/>
              <w:jc w:val="center"/>
              <w:rPr>
                <w:highlight w:val="none"/>
              </w:rPr>
            </w:pPr>
            <w:r>
              <w:rPr>
                <w:szCs w:val="21"/>
                <w:highlight w:val="none"/>
              </w:rPr>
              <w:t xml:space="preserve">  </w:t>
            </w:r>
          </w:p>
        </w:tc>
        <w:tc>
          <w:tcPr>
            <w:tcW w:w="666" w:type="pct"/>
            <w:tcBorders>
              <w:top w:val="nil"/>
              <w:left w:val="nil"/>
              <w:bottom w:val="single" w:color="000000" w:sz="8" w:space="0"/>
              <w:right w:val="single" w:color="000000" w:sz="8" w:space="0"/>
            </w:tcBorders>
            <w:tcMar>
              <w:top w:w="0" w:type="dxa"/>
              <w:left w:w="108" w:type="dxa"/>
              <w:bottom w:w="0" w:type="dxa"/>
              <w:right w:w="108" w:type="dxa"/>
            </w:tcMar>
          </w:tcPr>
          <w:p w14:paraId="1AF2D7B8">
            <w:pPr>
              <w:pStyle w:val="162"/>
              <w:spacing w:line="400" w:lineRule="atLeast"/>
              <w:jc w:val="center"/>
              <w:rPr>
                <w:highlight w:val="none"/>
              </w:rPr>
            </w:pPr>
            <w:r>
              <w:rPr>
                <w:szCs w:val="21"/>
                <w:highlight w:val="none"/>
              </w:rPr>
              <w:t xml:space="preserve">  </w:t>
            </w:r>
          </w:p>
        </w:tc>
        <w:tc>
          <w:tcPr>
            <w:tcW w:w="591" w:type="pct"/>
            <w:tcBorders>
              <w:top w:val="nil"/>
              <w:left w:val="nil"/>
              <w:bottom w:val="single" w:color="000000" w:sz="8" w:space="0"/>
              <w:right w:val="single" w:color="000000" w:sz="8" w:space="0"/>
            </w:tcBorders>
            <w:tcMar>
              <w:top w:w="0" w:type="dxa"/>
              <w:left w:w="108" w:type="dxa"/>
              <w:bottom w:w="0" w:type="dxa"/>
              <w:right w:w="108" w:type="dxa"/>
            </w:tcMar>
          </w:tcPr>
          <w:p w14:paraId="43BC9463">
            <w:pPr>
              <w:pStyle w:val="162"/>
              <w:spacing w:line="400" w:lineRule="atLeast"/>
              <w:jc w:val="center"/>
              <w:rPr>
                <w:highlight w:val="none"/>
              </w:rPr>
            </w:pPr>
            <w:r>
              <w:rPr>
                <w:szCs w:val="21"/>
                <w:highlight w:val="none"/>
              </w:rPr>
              <w:t xml:space="preserve">  </w:t>
            </w:r>
          </w:p>
        </w:tc>
        <w:tc>
          <w:tcPr>
            <w:tcW w:w="1077" w:type="pct"/>
            <w:tcBorders>
              <w:top w:val="nil"/>
              <w:left w:val="nil"/>
              <w:bottom w:val="single" w:color="000000" w:sz="8" w:space="0"/>
              <w:right w:val="single" w:color="000000" w:sz="8" w:space="0"/>
            </w:tcBorders>
            <w:tcMar>
              <w:top w:w="0" w:type="dxa"/>
              <w:left w:w="108" w:type="dxa"/>
              <w:bottom w:w="0" w:type="dxa"/>
              <w:right w:w="108" w:type="dxa"/>
            </w:tcMar>
          </w:tcPr>
          <w:p w14:paraId="05748670">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5C66D5B4">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537B1F93">
            <w:pPr>
              <w:pStyle w:val="162"/>
              <w:spacing w:line="400" w:lineRule="atLeast"/>
              <w:jc w:val="center"/>
              <w:rPr>
                <w:szCs w:val="21"/>
                <w:highlight w:val="none"/>
              </w:rPr>
            </w:pPr>
          </w:p>
        </w:tc>
      </w:tr>
      <w:tr w14:paraId="4CD04FA3">
        <w:tblPrEx>
          <w:tblCellMar>
            <w:top w:w="0" w:type="dxa"/>
            <w:left w:w="0" w:type="dxa"/>
            <w:bottom w:w="0" w:type="dxa"/>
            <w:right w:w="0" w:type="dxa"/>
          </w:tblCellMar>
        </w:tblPrEx>
        <w:tc>
          <w:tcPr>
            <w:tcW w:w="328" w:type="pct"/>
            <w:tcBorders>
              <w:top w:val="nil"/>
              <w:left w:val="single" w:color="000000" w:sz="8" w:space="0"/>
              <w:bottom w:val="single" w:color="000000" w:sz="8" w:space="0"/>
              <w:right w:val="single" w:color="000000" w:sz="8" w:space="0"/>
            </w:tcBorders>
            <w:tcMar>
              <w:top w:w="0" w:type="dxa"/>
              <w:left w:w="108" w:type="dxa"/>
              <w:bottom w:w="0" w:type="dxa"/>
              <w:right w:w="108" w:type="dxa"/>
            </w:tcMar>
          </w:tcPr>
          <w:p w14:paraId="471E2D90">
            <w:pPr>
              <w:pStyle w:val="162"/>
              <w:spacing w:line="400" w:lineRule="atLeast"/>
              <w:jc w:val="center"/>
              <w:rPr>
                <w:highlight w:val="none"/>
              </w:rPr>
            </w:pPr>
            <w:r>
              <w:rPr>
                <w:szCs w:val="21"/>
                <w:highlight w:val="none"/>
              </w:rPr>
              <w:t xml:space="preserve">  </w:t>
            </w:r>
          </w:p>
        </w:tc>
        <w:tc>
          <w:tcPr>
            <w:tcW w:w="750" w:type="pct"/>
            <w:tcBorders>
              <w:top w:val="nil"/>
              <w:left w:val="nil"/>
              <w:bottom w:val="single" w:color="000000" w:sz="8" w:space="0"/>
              <w:right w:val="single" w:color="000000" w:sz="8" w:space="0"/>
            </w:tcBorders>
            <w:tcMar>
              <w:top w:w="0" w:type="dxa"/>
              <w:left w:w="108" w:type="dxa"/>
              <w:bottom w:w="0" w:type="dxa"/>
              <w:right w:w="108" w:type="dxa"/>
            </w:tcMar>
          </w:tcPr>
          <w:p w14:paraId="7DD7B6B7">
            <w:pPr>
              <w:pStyle w:val="162"/>
              <w:spacing w:line="400" w:lineRule="atLeast"/>
              <w:jc w:val="center"/>
              <w:rPr>
                <w:highlight w:val="none"/>
              </w:rPr>
            </w:pPr>
            <w:r>
              <w:rPr>
                <w:szCs w:val="21"/>
                <w:highlight w:val="none"/>
              </w:rPr>
              <w:t xml:space="preserve">  </w:t>
            </w:r>
          </w:p>
        </w:tc>
        <w:tc>
          <w:tcPr>
            <w:tcW w:w="582" w:type="pct"/>
            <w:tcBorders>
              <w:top w:val="nil"/>
              <w:left w:val="nil"/>
              <w:bottom w:val="single" w:color="000000" w:sz="8" w:space="0"/>
              <w:right w:val="single" w:color="000000" w:sz="8" w:space="0"/>
            </w:tcBorders>
            <w:tcMar>
              <w:top w:w="0" w:type="dxa"/>
              <w:left w:w="108" w:type="dxa"/>
              <w:bottom w:w="0" w:type="dxa"/>
              <w:right w:w="108" w:type="dxa"/>
            </w:tcMar>
          </w:tcPr>
          <w:p w14:paraId="36B9D9BE">
            <w:pPr>
              <w:pStyle w:val="162"/>
              <w:spacing w:line="400" w:lineRule="atLeast"/>
              <w:jc w:val="center"/>
              <w:rPr>
                <w:highlight w:val="none"/>
              </w:rPr>
            </w:pPr>
            <w:r>
              <w:rPr>
                <w:szCs w:val="21"/>
                <w:highlight w:val="none"/>
              </w:rPr>
              <w:t xml:space="preserve">  </w:t>
            </w:r>
          </w:p>
        </w:tc>
        <w:tc>
          <w:tcPr>
            <w:tcW w:w="666" w:type="pct"/>
            <w:tcBorders>
              <w:top w:val="nil"/>
              <w:left w:val="nil"/>
              <w:bottom w:val="single" w:color="000000" w:sz="8" w:space="0"/>
              <w:right w:val="single" w:color="000000" w:sz="8" w:space="0"/>
            </w:tcBorders>
            <w:tcMar>
              <w:top w:w="0" w:type="dxa"/>
              <w:left w:w="108" w:type="dxa"/>
              <w:bottom w:w="0" w:type="dxa"/>
              <w:right w:w="108" w:type="dxa"/>
            </w:tcMar>
          </w:tcPr>
          <w:p w14:paraId="3E5CC855">
            <w:pPr>
              <w:pStyle w:val="162"/>
              <w:spacing w:line="400" w:lineRule="atLeast"/>
              <w:jc w:val="center"/>
              <w:rPr>
                <w:highlight w:val="none"/>
              </w:rPr>
            </w:pPr>
            <w:r>
              <w:rPr>
                <w:szCs w:val="21"/>
                <w:highlight w:val="none"/>
              </w:rPr>
              <w:t xml:space="preserve">  </w:t>
            </w:r>
          </w:p>
        </w:tc>
        <w:tc>
          <w:tcPr>
            <w:tcW w:w="591" w:type="pct"/>
            <w:tcBorders>
              <w:top w:val="nil"/>
              <w:left w:val="nil"/>
              <w:bottom w:val="single" w:color="000000" w:sz="8" w:space="0"/>
              <w:right w:val="single" w:color="000000" w:sz="8" w:space="0"/>
            </w:tcBorders>
            <w:tcMar>
              <w:top w:w="0" w:type="dxa"/>
              <w:left w:w="108" w:type="dxa"/>
              <w:bottom w:w="0" w:type="dxa"/>
              <w:right w:w="108" w:type="dxa"/>
            </w:tcMar>
          </w:tcPr>
          <w:p w14:paraId="38A2A37E">
            <w:pPr>
              <w:pStyle w:val="162"/>
              <w:spacing w:line="400" w:lineRule="atLeast"/>
              <w:jc w:val="center"/>
              <w:rPr>
                <w:highlight w:val="none"/>
              </w:rPr>
            </w:pPr>
            <w:r>
              <w:rPr>
                <w:szCs w:val="21"/>
                <w:highlight w:val="none"/>
              </w:rPr>
              <w:t xml:space="preserve">  </w:t>
            </w:r>
          </w:p>
        </w:tc>
        <w:tc>
          <w:tcPr>
            <w:tcW w:w="1077" w:type="pct"/>
            <w:tcBorders>
              <w:top w:val="nil"/>
              <w:left w:val="nil"/>
              <w:bottom w:val="single" w:color="000000" w:sz="8" w:space="0"/>
              <w:right w:val="single" w:color="000000" w:sz="8" w:space="0"/>
            </w:tcBorders>
            <w:tcMar>
              <w:top w:w="0" w:type="dxa"/>
              <w:left w:w="108" w:type="dxa"/>
              <w:bottom w:w="0" w:type="dxa"/>
              <w:right w:w="108" w:type="dxa"/>
            </w:tcMar>
          </w:tcPr>
          <w:p w14:paraId="76FD9846">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02A97D94">
            <w:pPr>
              <w:pStyle w:val="162"/>
              <w:spacing w:line="400" w:lineRule="atLeast"/>
              <w:jc w:val="center"/>
              <w:rPr>
                <w:highlight w:val="none"/>
              </w:rPr>
            </w:pPr>
            <w:r>
              <w:rPr>
                <w:szCs w:val="21"/>
                <w:highlight w:val="none"/>
              </w:rPr>
              <w:t xml:space="preserve">  </w:t>
            </w:r>
          </w:p>
        </w:tc>
        <w:tc>
          <w:tcPr>
            <w:tcW w:w="501" w:type="pct"/>
            <w:tcBorders>
              <w:top w:val="nil"/>
              <w:left w:val="nil"/>
              <w:bottom w:val="single" w:color="000000" w:sz="8" w:space="0"/>
              <w:right w:val="single" w:color="000000" w:sz="8" w:space="0"/>
            </w:tcBorders>
            <w:tcMar>
              <w:top w:w="0" w:type="dxa"/>
              <w:left w:w="108" w:type="dxa"/>
              <w:bottom w:w="0" w:type="dxa"/>
              <w:right w:w="108" w:type="dxa"/>
            </w:tcMar>
          </w:tcPr>
          <w:p w14:paraId="6393F2C3">
            <w:pPr>
              <w:pStyle w:val="162"/>
              <w:spacing w:line="400" w:lineRule="atLeast"/>
              <w:jc w:val="center"/>
              <w:rPr>
                <w:szCs w:val="21"/>
                <w:highlight w:val="none"/>
              </w:rPr>
            </w:pPr>
          </w:p>
        </w:tc>
      </w:tr>
    </w:tbl>
    <w:p w14:paraId="1C5CE87C">
      <w:pPr>
        <w:pStyle w:val="162"/>
        <w:rPr>
          <w:highlight w:val="none"/>
        </w:rPr>
      </w:pPr>
      <w:r>
        <w:rPr>
          <w:highlight w:val="none"/>
        </w:rPr>
        <w:t xml:space="preserve">  </w:t>
      </w:r>
    </w:p>
    <w:p w14:paraId="5FB6A8E4">
      <w:pPr>
        <w:spacing w:line="400" w:lineRule="exact"/>
        <w:jc w:val="left"/>
        <w:rPr>
          <w:rFonts w:hint="eastAsia" w:ascii="宋体" w:hAnsi="宋体" w:eastAsia="宋体" w:cs="仿宋_GB2312"/>
          <w:szCs w:val="21"/>
          <w:highlight w:val="none"/>
          <w:lang w:eastAsia="zh-CN"/>
        </w:rPr>
      </w:pPr>
      <w:r>
        <w:rPr>
          <w:rFonts w:ascii="仿宋_GB2312" w:hAnsi="仿宋_GB2312" w:eastAsia="仿宋_GB2312" w:cs="仿宋_GB2312"/>
          <w:b/>
          <w:bCs/>
          <w:szCs w:val="21"/>
          <w:highlight w:val="none"/>
        </w:rPr>
        <w:t>备注</w:t>
      </w:r>
      <w:r>
        <w:rPr>
          <w:rFonts w:ascii="仿宋_GB2312" w:hAnsi="仿宋_GB2312" w:eastAsia="仿宋_GB2312" w:cs="仿宋_GB2312"/>
          <w:szCs w:val="21"/>
          <w:highlight w:val="none"/>
        </w:rPr>
        <w:t>：</w:t>
      </w:r>
      <w:r>
        <w:rPr>
          <w:rFonts w:hint="eastAsia" w:ascii="仿宋_GB2312" w:hAnsi="仿宋_GB2312" w:eastAsia="仿宋_GB2312" w:cs="仿宋_GB2312"/>
          <w:szCs w:val="21"/>
          <w:highlight w:val="none"/>
          <w:lang w:val="en-US" w:eastAsia="zh-CN"/>
        </w:rPr>
        <w:t>1.</w:t>
      </w:r>
      <w:r>
        <w:rPr>
          <w:rFonts w:ascii="宋体" w:hAnsi="宋体" w:cs="仿宋_GB2312"/>
          <w:szCs w:val="21"/>
          <w:highlight w:val="none"/>
        </w:rPr>
        <w:t>货物的主要技术参数和技术指标可另页</w:t>
      </w:r>
      <w:r>
        <w:rPr>
          <w:rFonts w:ascii="宋体" w:hAnsi="宋体" w:eastAsia="宋体" w:cs="仿宋_GB2312"/>
          <w:szCs w:val="21"/>
          <w:highlight w:val="none"/>
        </w:rPr>
        <w:t>描述</w:t>
      </w:r>
      <w:r>
        <w:rPr>
          <w:rFonts w:hint="eastAsia" w:ascii="宋体" w:hAnsi="宋体" w:eastAsia="宋体" w:cs="仿宋_GB2312"/>
          <w:szCs w:val="21"/>
          <w:highlight w:val="none"/>
          <w:lang w:eastAsia="zh-CN"/>
        </w:rPr>
        <w:t>；</w:t>
      </w:r>
      <w:r>
        <w:rPr>
          <w:rFonts w:hint="eastAsia" w:ascii="宋体" w:hAnsi="宋体" w:eastAsia="宋体" w:cs="仿宋_GB2312"/>
          <w:szCs w:val="21"/>
          <w:highlight w:val="none"/>
          <w:lang w:val="en-US" w:eastAsia="zh-CN"/>
        </w:rPr>
        <w:t>2.</w:t>
      </w:r>
      <w:r>
        <w:rPr>
          <w:rFonts w:hint="eastAsia" w:ascii="宋体" w:hAnsi="宋体" w:eastAsia="宋体" w:cs="仿宋_GB2312"/>
          <w:szCs w:val="21"/>
          <w:highlight w:val="none"/>
          <w:lang w:eastAsia="zh-CN"/>
        </w:rPr>
        <w:t>本表中是否为本国产品不作为本国产品评审优惠依据，仅在存在争议需要核实时用。</w:t>
      </w:r>
    </w:p>
    <w:p w14:paraId="51526676">
      <w:pPr>
        <w:pStyle w:val="162"/>
        <w:jc w:val="left"/>
        <w:rPr>
          <w:rFonts w:hint="default" w:eastAsia="宋体"/>
          <w:highlight w:val="none"/>
          <w:lang w:val="en-US" w:eastAsia="zh-CN"/>
        </w:rPr>
      </w:pPr>
    </w:p>
    <w:p w14:paraId="3E6108E6">
      <w:pPr>
        <w:adjustRightInd w:val="0"/>
        <w:snapToGrid w:val="0"/>
        <w:spacing w:before="50" w:line="360" w:lineRule="auto"/>
        <w:rPr>
          <w:rFonts w:ascii="宋体"/>
          <w:szCs w:val="21"/>
          <w:highlight w:val="none"/>
        </w:rPr>
      </w:pPr>
    </w:p>
    <w:p w14:paraId="788B6342">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3934C8C8">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4AA20CC3">
      <w:pPr>
        <w:pStyle w:val="162"/>
        <w:rPr>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r>
        <w:rPr>
          <w:szCs w:val="21"/>
          <w:highlight w:val="none"/>
        </w:rPr>
        <w:t xml:space="preserve"> </w:t>
      </w:r>
    </w:p>
    <w:p w14:paraId="72E2E1F7">
      <w:pPr>
        <w:rPr>
          <w:rFonts w:ascii="宋体" w:hAnsi="宋体"/>
          <w:b/>
          <w:bCs/>
          <w:sz w:val="32"/>
          <w:szCs w:val="21"/>
          <w:highlight w:val="none"/>
        </w:rPr>
      </w:pPr>
    </w:p>
    <w:p w14:paraId="0C8666FA">
      <w:pPr>
        <w:rPr>
          <w:rFonts w:ascii="黑体" w:hAnsi="宋体" w:eastAsia="黑体"/>
          <w:sz w:val="28"/>
          <w:szCs w:val="28"/>
          <w:highlight w:val="none"/>
        </w:rPr>
      </w:pPr>
      <w:r>
        <w:rPr>
          <w:rFonts w:hint="eastAsia" w:ascii="黑体" w:hAnsi="宋体" w:eastAsia="黑体"/>
          <w:sz w:val="28"/>
          <w:szCs w:val="28"/>
          <w:highlight w:val="none"/>
        </w:rPr>
        <w:br w:type="page"/>
      </w:r>
    </w:p>
    <w:p w14:paraId="52B89DC1">
      <w:pPr>
        <w:jc w:val="center"/>
        <w:rPr>
          <w:highlight w:val="none"/>
        </w:rPr>
      </w:pPr>
      <w:r>
        <w:rPr>
          <w:rFonts w:hint="eastAsia" w:ascii="黑体" w:hAnsi="黑体" w:eastAsia="黑体" w:cs="黑体"/>
          <w:sz w:val="28"/>
          <w:szCs w:val="28"/>
          <w:highlight w:val="none"/>
        </w:rPr>
        <w:t>十二</w:t>
      </w:r>
      <w:r>
        <w:rPr>
          <w:rFonts w:ascii="黑体" w:hAnsi="黑体" w:eastAsia="黑体" w:cs="黑体"/>
          <w:sz w:val="28"/>
          <w:szCs w:val="28"/>
          <w:highlight w:val="none"/>
        </w:rPr>
        <w:t>、技术规格、参数偏离表</w:t>
      </w:r>
    </w:p>
    <w:p w14:paraId="5A53C96B">
      <w:pPr>
        <w:spacing w:line="360" w:lineRule="auto"/>
        <w:jc w:val="center"/>
        <w:rPr>
          <w:highlight w:val="none"/>
        </w:rPr>
      </w:pPr>
      <w:r>
        <w:rPr>
          <w:szCs w:val="21"/>
          <w:highlight w:val="none"/>
        </w:rPr>
        <w:t xml:space="preserve">  </w:t>
      </w:r>
    </w:p>
    <w:p w14:paraId="63331662">
      <w:pPr>
        <w:ind w:firstLine="266"/>
        <w:rPr>
          <w:rFonts w:ascii="宋体" w:hAnsi="宋体" w:cs="宋体"/>
          <w:szCs w:val="21"/>
          <w:highlight w:val="none"/>
          <w:u w:val="single"/>
        </w:rPr>
      </w:pPr>
      <w:r>
        <w:rPr>
          <w:rFonts w:hint="eastAsia" w:ascii="宋体" w:hAnsi="宋体" w:cs="宋体"/>
          <w:szCs w:val="21"/>
          <w:highlight w:val="none"/>
        </w:rPr>
        <w:t xml:space="preserve">政府采购编号: </w:t>
      </w:r>
      <w:r>
        <w:rPr>
          <w:rFonts w:ascii="宋体" w:hAnsi="宋体" w:cs="宋体"/>
          <w:szCs w:val="21"/>
          <w:highlight w:val="none"/>
          <w:u w:val="single"/>
        </w:rPr>
        <w:t>             </w:t>
      </w:r>
      <w:r>
        <w:rPr>
          <w:rFonts w:hint="eastAsia" w:ascii="宋体" w:hAnsi="宋体" w:cs="宋体"/>
          <w:szCs w:val="21"/>
          <w:highlight w:val="none"/>
        </w:rPr>
        <w:t>委托代理编号：</w:t>
      </w:r>
      <w:r>
        <w:rPr>
          <w:rFonts w:ascii="宋体" w:hAnsi="宋体" w:cs="宋体"/>
          <w:szCs w:val="21"/>
          <w:highlight w:val="none"/>
          <w:u w:val="single"/>
        </w:rPr>
        <w:t>       </w:t>
      </w:r>
    </w:p>
    <w:p w14:paraId="2B21C702">
      <w:pPr>
        <w:ind w:firstLine="266"/>
        <w:rPr>
          <w:highlight w:val="none"/>
        </w:rPr>
      </w:pPr>
      <w:r>
        <w:rPr>
          <w:rFonts w:hint="eastAsia" w:ascii="宋体" w:hAnsi="宋体" w:cs="宋体"/>
          <w:szCs w:val="21"/>
          <w:highlight w:val="none"/>
        </w:rPr>
        <w:t>包号及包名称：</w:t>
      </w:r>
      <w:r>
        <w:rPr>
          <w:rFonts w:ascii="宋体" w:hAnsi="宋体" w:cs="宋体"/>
          <w:szCs w:val="21"/>
          <w:highlight w:val="none"/>
          <w:u w:val="single"/>
        </w:rPr>
        <w:t>             </w:t>
      </w:r>
    </w:p>
    <w:tbl>
      <w:tblPr>
        <w:tblStyle w:val="43"/>
        <w:tblW w:w="4693" w:type="pct"/>
        <w:jc w:val="center"/>
        <w:tblLayout w:type="autofit"/>
        <w:tblCellMar>
          <w:top w:w="0" w:type="dxa"/>
          <w:left w:w="0" w:type="dxa"/>
          <w:bottom w:w="0" w:type="dxa"/>
          <w:right w:w="0" w:type="dxa"/>
        </w:tblCellMar>
      </w:tblPr>
      <w:tblGrid>
        <w:gridCol w:w="619"/>
        <w:gridCol w:w="812"/>
        <w:gridCol w:w="1222"/>
        <w:gridCol w:w="1085"/>
        <w:gridCol w:w="1222"/>
        <w:gridCol w:w="1222"/>
        <w:gridCol w:w="1667"/>
      </w:tblGrid>
      <w:tr w14:paraId="0EEA0034">
        <w:tblPrEx>
          <w:tblCellMar>
            <w:top w:w="0" w:type="dxa"/>
            <w:left w:w="0" w:type="dxa"/>
            <w:bottom w:w="0" w:type="dxa"/>
            <w:right w:w="0" w:type="dxa"/>
          </w:tblCellMar>
        </w:tblPrEx>
        <w:trPr>
          <w:trHeight w:val="504" w:hRule="atLeast"/>
          <w:jc w:val="center"/>
        </w:trPr>
        <w:tc>
          <w:tcPr>
            <w:tcW w:w="394" w:type="pct"/>
            <w:tcBorders>
              <w:top w:val="single" w:color="000000" w:sz="8" w:space="0"/>
              <w:left w:val="single" w:color="000000" w:sz="8" w:space="0"/>
              <w:bottom w:val="single" w:color="000000" w:sz="8" w:space="0"/>
              <w:right w:val="single" w:color="000000" w:sz="8" w:space="0"/>
            </w:tcBorders>
            <w:tcMar>
              <w:top w:w="0" w:type="dxa"/>
              <w:left w:w="28" w:type="dxa"/>
              <w:bottom w:w="0" w:type="dxa"/>
              <w:right w:w="28" w:type="dxa"/>
            </w:tcMar>
            <w:vAlign w:val="center"/>
          </w:tcPr>
          <w:p w14:paraId="4EC8D7D8">
            <w:pPr>
              <w:jc w:val="center"/>
              <w:rPr>
                <w:highlight w:val="none"/>
              </w:rPr>
            </w:pPr>
            <w:r>
              <w:rPr>
                <w:rFonts w:ascii="宋体" w:hAnsi="宋体" w:cs="宋体"/>
                <w:szCs w:val="21"/>
                <w:highlight w:val="none"/>
              </w:rPr>
              <w:t>品目号</w:t>
            </w:r>
            <w:r>
              <w:rPr>
                <w:szCs w:val="21"/>
                <w:highlight w:val="none"/>
              </w:rPr>
              <w:t xml:space="preserve"> </w:t>
            </w:r>
          </w:p>
        </w:tc>
        <w:tc>
          <w:tcPr>
            <w:tcW w:w="517" w:type="pct"/>
            <w:tcBorders>
              <w:top w:val="single" w:color="000000" w:sz="8" w:space="0"/>
              <w:left w:val="nil"/>
              <w:bottom w:val="single" w:color="000000" w:sz="8" w:space="0"/>
              <w:right w:val="single" w:color="000000" w:sz="8" w:space="0"/>
            </w:tcBorders>
            <w:tcMar>
              <w:top w:w="0" w:type="dxa"/>
              <w:left w:w="28" w:type="dxa"/>
              <w:bottom w:w="0" w:type="dxa"/>
              <w:right w:w="28" w:type="dxa"/>
            </w:tcMar>
            <w:vAlign w:val="center"/>
          </w:tcPr>
          <w:p w14:paraId="7FBFD330">
            <w:pPr>
              <w:jc w:val="center"/>
              <w:rPr>
                <w:highlight w:val="none"/>
              </w:rPr>
            </w:pPr>
            <w:r>
              <w:rPr>
                <w:rFonts w:ascii="宋体" w:hAnsi="宋体" w:cs="宋体"/>
                <w:szCs w:val="21"/>
                <w:highlight w:val="none"/>
              </w:rPr>
              <w:t>货物名称</w:t>
            </w:r>
            <w:r>
              <w:rPr>
                <w:szCs w:val="21"/>
                <w:highlight w:val="none"/>
              </w:rPr>
              <w:t xml:space="preserve"> </w:t>
            </w:r>
          </w:p>
        </w:tc>
        <w:tc>
          <w:tcPr>
            <w:tcW w:w="778" w:type="pct"/>
            <w:tcBorders>
              <w:top w:val="single" w:color="000000" w:sz="8" w:space="0"/>
              <w:left w:val="nil"/>
              <w:bottom w:val="single" w:color="000000" w:sz="8" w:space="0"/>
              <w:right w:val="single" w:color="000000" w:sz="8" w:space="0"/>
            </w:tcBorders>
            <w:tcMar>
              <w:top w:w="0" w:type="dxa"/>
              <w:left w:w="28" w:type="dxa"/>
              <w:bottom w:w="0" w:type="dxa"/>
              <w:right w:w="28" w:type="dxa"/>
            </w:tcMar>
            <w:vAlign w:val="center"/>
          </w:tcPr>
          <w:p w14:paraId="564AE8B5">
            <w:pPr>
              <w:jc w:val="center"/>
              <w:rPr>
                <w:highlight w:val="none"/>
              </w:rPr>
            </w:pPr>
            <w:r>
              <w:rPr>
                <w:rFonts w:ascii="宋体" w:hAnsi="宋体" w:cs="宋体"/>
                <w:szCs w:val="21"/>
                <w:highlight w:val="none"/>
              </w:rPr>
              <w:t>招标文件条目号</w:t>
            </w:r>
            <w:r>
              <w:rPr>
                <w:szCs w:val="21"/>
                <w:highlight w:val="none"/>
              </w:rPr>
              <w:t xml:space="preserve"> </w:t>
            </w:r>
          </w:p>
        </w:tc>
        <w:tc>
          <w:tcPr>
            <w:tcW w:w="691" w:type="pct"/>
            <w:tcBorders>
              <w:top w:val="single" w:color="000000" w:sz="8" w:space="0"/>
              <w:left w:val="nil"/>
              <w:bottom w:val="single" w:color="000000" w:sz="8" w:space="0"/>
              <w:right w:val="single" w:color="000000" w:sz="8" w:space="0"/>
            </w:tcBorders>
            <w:tcMar>
              <w:top w:w="0" w:type="dxa"/>
              <w:left w:w="28" w:type="dxa"/>
              <w:bottom w:w="0" w:type="dxa"/>
              <w:right w:w="28" w:type="dxa"/>
            </w:tcMar>
            <w:vAlign w:val="center"/>
          </w:tcPr>
          <w:p w14:paraId="1E2DAB8D">
            <w:pPr>
              <w:jc w:val="center"/>
              <w:rPr>
                <w:highlight w:val="none"/>
              </w:rPr>
            </w:pPr>
            <w:r>
              <w:rPr>
                <w:rFonts w:ascii="宋体" w:hAnsi="宋体" w:cs="宋体"/>
                <w:szCs w:val="21"/>
                <w:highlight w:val="none"/>
              </w:rPr>
              <w:t>招标</w:t>
            </w:r>
            <w:r>
              <w:rPr>
                <w:rFonts w:hint="eastAsia" w:ascii="宋体" w:hAnsi="宋体" w:cs="宋体"/>
                <w:szCs w:val="21"/>
                <w:highlight w:val="none"/>
              </w:rPr>
              <w:t>文件的技术要求</w:t>
            </w:r>
            <w:r>
              <w:rPr>
                <w:szCs w:val="21"/>
                <w:highlight w:val="none"/>
              </w:rPr>
              <w:t xml:space="preserve"> </w:t>
            </w:r>
          </w:p>
        </w:tc>
        <w:tc>
          <w:tcPr>
            <w:tcW w:w="778" w:type="pct"/>
            <w:tcBorders>
              <w:top w:val="single" w:color="000000" w:sz="8" w:space="0"/>
              <w:left w:val="nil"/>
              <w:bottom w:val="single" w:color="000000" w:sz="8" w:space="0"/>
              <w:right w:val="single" w:color="000000" w:sz="8" w:space="0"/>
            </w:tcBorders>
            <w:tcMar>
              <w:top w:w="0" w:type="dxa"/>
              <w:left w:w="28" w:type="dxa"/>
              <w:bottom w:w="0" w:type="dxa"/>
              <w:right w:w="28" w:type="dxa"/>
            </w:tcMar>
            <w:vAlign w:val="center"/>
          </w:tcPr>
          <w:p w14:paraId="5BCF9EBA">
            <w:pPr>
              <w:jc w:val="center"/>
              <w:rPr>
                <w:highlight w:val="none"/>
              </w:rPr>
            </w:pPr>
            <w:r>
              <w:rPr>
                <w:rFonts w:ascii="宋体" w:hAnsi="宋体" w:cs="宋体"/>
                <w:szCs w:val="21"/>
                <w:highlight w:val="none"/>
              </w:rPr>
              <w:t>投标</w:t>
            </w:r>
            <w:r>
              <w:rPr>
                <w:rFonts w:hint="eastAsia" w:ascii="宋体" w:hAnsi="宋体" w:cs="宋体"/>
                <w:szCs w:val="21"/>
                <w:highlight w:val="none"/>
              </w:rPr>
              <w:t>文件的技术响应</w:t>
            </w:r>
            <w:r>
              <w:rPr>
                <w:szCs w:val="21"/>
                <w:highlight w:val="none"/>
              </w:rPr>
              <w:t xml:space="preserve"> </w:t>
            </w:r>
          </w:p>
        </w:tc>
        <w:tc>
          <w:tcPr>
            <w:tcW w:w="778" w:type="pct"/>
            <w:tcBorders>
              <w:top w:val="single" w:color="000000" w:sz="8" w:space="0"/>
              <w:left w:val="nil"/>
              <w:bottom w:val="single" w:color="000000" w:sz="8" w:space="0"/>
              <w:right w:val="single" w:color="000000" w:sz="8" w:space="0"/>
            </w:tcBorders>
            <w:tcMar>
              <w:top w:w="0" w:type="dxa"/>
              <w:left w:w="28" w:type="dxa"/>
              <w:bottom w:w="0" w:type="dxa"/>
              <w:right w:w="28" w:type="dxa"/>
            </w:tcMar>
            <w:vAlign w:val="center"/>
          </w:tcPr>
          <w:p w14:paraId="76A1B12E">
            <w:pPr>
              <w:jc w:val="center"/>
              <w:rPr>
                <w:highlight w:val="none"/>
              </w:rPr>
            </w:pPr>
            <w:r>
              <w:rPr>
                <w:rFonts w:ascii="宋体" w:hAnsi="宋体" w:cs="宋体"/>
                <w:szCs w:val="21"/>
                <w:highlight w:val="none"/>
              </w:rPr>
              <w:t>响应/偏离</w:t>
            </w:r>
            <w:r>
              <w:rPr>
                <w:szCs w:val="21"/>
                <w:highlight w:val="none"/>
              </w:rPr>
              <w:t xml:space="preserve"> </w:t>
            </w:r>
          </w:p>
        </w:tc>
        <w:tc>
          <w:tcPr>
            <w:tcW w:w="1060" w:type="pct"/>
            <w:tcBorders>
              <w:top w:val="single" w:color="000000" w:sz="8" w:space="0"/>
              <w:left w:val="nil"/>
              <w:bottom w:val="single" w:color="000000" w:sz="8" w:space="0"/>
              <w:right w:val="single" w:color="000000" w:sz="8" w:space="0"/>
            </w:tcBorders>
            <w:tcMar>
              <w:top w:w="0" w:type="dxa"/>
              <w:left w:w="28" w:type="dxa"/>
              <w:bottom w:w="0" w:type="dxa"/>
              <w:right w:w="28" w:type="dxa"/>
            </w:tcMar>
            <w:vAlign w:val="center"/>
          </w:tcPr>
          <w:p w14:paraId="05EC92C2">
            <w:pPr>
              <w:jc w:val="center"/>
              <w:rPr>
                <w:highlight w:val="none"/>
              </w:rPr>
            </w:pPr>
            <w:r>
              <w:rPr>
                <w:rFonts w:ascii="宋体" w:hAnsi="宋体" w:cs="宋体"/>
                <w:szCs w:val="21"/>
                <w:highlight w:val="none"/>
              </w:rPr>
              <w:t>说明</w:t>
            </w:r>
            <w:r>
              <w:rPr>
                <w:szCs w:val="21"/>
                <w:highlight w:val="none"/>
              </w:rPr>
              <w:t xml:space="preserve"> </w:t>
            </w:r>
          </w:p>
        </w:tc>
      </w:tr>
      <w:tr w14:paraId="15C1D6BD">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2766060C">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7EEEB0BB">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5B160369">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2B1BB18E">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5FFDA3E5">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4AD18B00">
            <w:pPr>
              <w:jc w:val="center"/>
              <w:rPr>
                <w:highlight w:val="none"/>
              </w:rPr>
            </w:pPr>
            <w:r>
              <w:rPr>
                <w:szCs w:val="21"/>
                <w:highlight w:val="none"/>
              </w:rPr>
              <w:t xml:space="preserve">  </w:t>
            </w:r>
          </w:p>
        </w:tc>
        <w:tc>
          <w:tcPr>
            <w:tcW w:w="1060" w:type="pct"/>
            <w:tcBorders>
              <w:top w:val="nil"/>
              <w:left w:val="nil"/>
              <w:bottom w:val="single" w:color="000000" w:sz="8" w:space="0"/>
              <w:right w:val="single" w:color="000000" w:sz="8" w:space="0"/>
            </w:tcBorders>
            <w:tcMar>
              <w:top w:w="0" w:type="dxa"/>
              <w:left w:w="28" w:type="dxa"/>
              <w:bottom w:w="0" w:type="dxa"/>
              <w:right w:w="28" w:type="dxa"/>
            </w:tcMar>
            <w:vAlign w:val="center"/>
          </w:tcPr>
          <w:p w14:paraId="7EDD3A67">
            <w:pPr>
              <w:jc w:val="center"/>
              <w:rPr>
                <w:highlight w:val="none"/>
              </w:rPr>
            </w:pPr>
            <w:r>
              <w:rPr>
                <w:szCs w:val="21"/>
                <w:highlight w:val="none"/>
              </w:rPr>
              <w:t xml:space="preserve">  </w:t>
            </w:r>
          </w:p>
        </w:tc>
      </w:tr>
      <w:tr w14:paraId="57C3428D">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577D775C">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46C97C41">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7B7BBAE3">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4A988C93">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3B9D9610">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056D42E4">
            <w:pPr>
              <w:jc w:val="center"/>
              <w:rPr>
                <w:highlight w:val="none"/>
              </w:rPr>
            </w:pPr>
            <w:r>
              <w:rPr>
                <w:szCs w:val="21"/>
                <w:highlight w:val="none"/>
              </w:rPr>
              <w:t xml:space="preserve">  </w:t>
            </w:r>
          </w:p>
        </w:tc>
        <w:tc>
          <w:tcPr>
            <w:tcW w:w="1060" w:type="pct"/>
            <w:tcBorders>
              <w:top w:val="nil"/>
              <w:left w:val="nil"/>
              <w:bottom w:val="single" w:color="000000" w:sz="8" w:space="0"/>
              <w:right w:val="single" w:color="000000" w:sz="8" w:space="0"/>
            </w:tcBorders>
            <w:tcMar>
              <w:top w:w="0" w:type="dxa"/>
              <w:left w:w="28" w:type="dxa"/>
              <w:bottom w:w="0" w:type="dxa"/>
              <w:right w:w="28" w:type="dxa"/>
            </w:tcMar>
            <w:vAlign w:val="center"/>
          </w:tcPr>
          <w:p w14:paraId="7CA320EB">
            <w:pPr>
              <w:jc w:val="center"/>
              <w:rPr>
                <w:highlight w:val="none"/>
              </w:rPr>
            </w:pPr>
            <w:r>
              <w:rPr>
                <w:szCs w:val="21"/>
                <w:highlight w:val="none"/>
              </w:rPr>
              <w:t xml:space="preserve">  </w:t>
            </w:r>
          </w:p>
        </w:tc>
      </w:tr>
      <w:tr w14:paraId="20F22ECA">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667B54EC">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38D54052">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666D7130">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649D015B">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0E80A5BE">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6AB56628">
            <w:pPr>
              <w:jc w:val="center"/>
              <w:rPr>
                <w:highlight w:val="none"/>
              </w:rPr>
            </w:pPr>
            <w:r>
              <w:rPr>
                <w:szCs w:val="21"/>
                <w:highlight w:val="none"/>
              </w:rPr>
              <w:t xml:space="preserve">  </w:t>
            </w:r>
          </w:p>
        </w:tc>
        <w:tc>
          <w:tcPr>
            <w:tcW w:w="1060" w:type="pct"/>
            <w:tcBorders>
              <w:top w:val="nil"/>
              <w:left w:val="nil"/>
              <w:bottom w:val="single" w:color="000000" w:sz="8" w:space="0"/>
              <w:right w:val="single" w:color="000000" w:sz="8" w:space="0"/>
            </w:tcBorders>
            <w:tcMar>
              <w:top w:w="0" w:type="dxa"/>
              <w:left w:w="28" w:type="dxa"/>
              <w:bottom w:w="0" w:type="dxa"/>
              <w:right w:w="28" w:type="dxa"/>
            </w:tcMar>
            <w:vAlign w:val="center"/>
          </w:tcPr>
          <w:p w14:paraId="360313B0">
            <w:pPr>
              <w:jc w:val="center"/>
              <w:rPr>
                <w:highlight w:val="none"/>
              </w:rPr>
            </w:pPr>
            <w:r>
              <w:rPr>
                <w:szCs w:val="21"/>
                <w:highlight w:val="none"/>
              </w:rPr>
              <w:t xml:space="preserve">  </w:t>
            </w:r>
          </w:p>
        </w:tc>
      </w:tr>
      <w:tr w14:paraId="5636BC48">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06A89071">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1B3E6AC1">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40B61323">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22F4855D">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68802373">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19461C99">
            <w:pPr>
              <w:jc w:val="center"/>
              <w:rPr>
                <w:highlight w:val="none"/>
              </w:rPr>
            </w:pPr>
            <w:r>
              <w:rPr>
                <w:szCs w:val="21"/>
                <w:highlight w:val="none"/>
              </w:rPr>
              <w:t xml:space="preserve">  </w:t>
            </w:r>
          </w:p>
        </w:tc>
        <w:tc>
          <w:tcPr>
            <w:tcW w:w="1060" w:type="pct"/>
            <w:tcBorders>
              <w:top w:val="nil"/>
              <w:left w:val="nil"/>
              <w:bottom w:val="single" w:color="000000" w:sz="8" w:space="0"/>
              <w:right w:val="single" w:color="000000" w:sz="8" w:space="0"/>
            </w:tcBorders>
            <w:tcMar>
              <w:top w:w="0" w:type="dxa"/>
              <w:left w:w="28" w:type="dxa"/>
              <w:bottom w:w="0" w:type="dxa"/>
              <w:right w:w="28" w:type="dxa"/>
            </w:tcMar>
            <w:vAlign w:val="center"/>
          </w:tcPr>
          <w:p w14:paraId="2955997B">
            <w:pPr>
              <w:jc w:val="center"/>
              <w:rPr>
                <w:highlight w:val="none"/>
              </w:rPr>
            </w:pPr>
            <w:r>
              <w:rPr>
                <w:szCs w:val="21"/>
                <w:highlight w:val="none"/>
              </w:rPr>
              <w:t xml:space="preserve">  </w:t>
            </w:r>
          </w:p>
        </w:tc>
      </w:tr>
      <w:tr w14:paraId="7A002EA7">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7154FBE4">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2E6E9CC1">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2EAB5F50">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12730354">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4B07B0BF">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2C62183B">
            <w:pPr>
              <w:jc w:val="center"/>
              <w:rPr>
                <w:highlight w:val="none"/>
              </w:rPr>
            </w:pPr>
            <w:r>
              <w:rPr>
                <w:szCs w:val="21"/>
                <w:highlight w:val="none"/>
              </w:rPr>
              <w:t xml:space="preserve">  </w:t>
            </w:r>
          </w:p>
        </w:tc>
        <w:tc>
          <w:tcPr>
            <w:tcW w:w="1060" w:type="pct"/>
            <w:tcBorders>
              <w:top w:val="nil"/>
              <w:left w:val="nil"/>
              <w:bottom w:val="single" w:color="000000" w:sz="8" w:space="0"/>
              <w:right w:val="single" w:color="000000" w:sz="8" w:space="0"/>
            </w:tcBorders>
            <w:tcMar>
              <w:top w:w="0" w:type="dxa"/>
              <w:left w:w="28" w:type="dxa"/>
              <w:bottom w:w="0" w:type="dxa"/>
              <w:right w:w="28" w:type="dxa"/>
            </w:tcMar>
            <w:vAlign w:val="center"/>
          </w:tcPr>
          <w:p w14:paraId="008EF8A6">
            <w:pPr>
              <w:jc w:val="center"/>
              <w:rPr>
                <w:highlight w:val="none"/>
              </w:rPr>
            </w:pPr>
            <w:r>
              <w:rPr>
                <w:szCs w:val="21"/>
                <w:highlight w:val="none"/>
              </w:rPr>
              <w:t xml:space="preserve">  </w:t>
            </w:r>
          </w:p>
        </w:tc>
      </w:tr>
      <w:tr w14:paraId="397D6C11">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6EF48EF1">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50F26942">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3C50B4D8">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7B830532">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15FC5549">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11EFC063">
            <w:pPr>
              <w:jc w:val="center"/>
              <w:rPr>
                <w:highlight w:val="none"/>
              </w:rPr>
            </w:pPr>
            <w:r>
              <w:rPr>
                <w:szCs w:val="21"/>
                <w:highlight w:val="none"/>
              </w:rPr>
              <w:t xml:space="preserve">  </w:t>
            </w:r>
          </w:p>
        </w:tc>
        <w:tc>
          <w:tcPr>
            <w:tcW w:w="1060" w:type="pct"/>
            <w:tcBorders>
              <w:top w:val="nil"/>
              <w:left w:val="nil"/>
              <w:bottom w:val="single" w:color="000000" w:sz="8" w:space="0"/>
              <w:right w:val="single" w:color="000000" w:sz="8" w:space="0"/>
            </w:tcBorders>
            <w:tcMar>
              <w:top w:w="0" w:type="dxa"/>
              <w:left w:w="28" w:type="dxa"/>
              <w:bottom w:w="0" w:type="dxa"/>
              <w:right w:w="28" w:type="dxa"/>
            </w:tcMar>
            <w:vAlign w:val="center"/>
          </w:tcPr>
          <w:p w14:paraId="678447C7">
            <w:pPr>
              <w:jc w:val="center"/>
              <w:rPr>
                <w:highlight w:val="none"/>
              </w:rPr>
            </w:pPr>
            <w:r>
              <w:rPr>
                <w:szCs w:val="21"/>
                <w:highlight w:val="none"/>
              </w:rPr>
              <w:t xml:space="preserve">  </w:t>
            </w:r>
          </w:p>
        </w:tc>
      </w:tr>
      <w:tr w14:paraId="3325040F">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43DB39DF">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473BBB55">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046DA0C1">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76D97BEC">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29C978B2">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6973947A">
            <w:pPr>
              <w:jc w:val="center"/>
              <w:rPr>
                <w:highlight w:val="none"/>
              </w:rPr>
            </w:pPr>
            <w:r>
              <w:rPr>
                <w:szCs w:val="21"/>
                <w:highlight w:val="none"/>
              </w:rPr>
              <w:t xml:space="preserve">  </w:t>
            </w:r>
          </w:p>
        </w:tc>
        <w:tc>
          <w:tcPr>
            <w:tcW w:w="1060" w:type="pct"/>
            <w:tcBorders>
              <w:top w:val="nil"/>
              <w:left w:val="nil"/>
              <w:bottom w:val="single" w:color="000000" w:sz="8" w:space="0"/>
              <w:right w:val="single" w:color="000000" w:sz="8" w:space="0"/>
            </w:tcBorders>
            <w:tcMar>
              <w:top w:w="0" w:type="dxa"/>
              <w:left w:w="28" w:type="dxa"/>
              <w:bottom w:w="0" w:type="dxa"/>
              <w:right w:w="28" w:type="dxa"/>
            </w:tcMar>
            <w:vAlign w:val="center"/>
          </w:tcPr>
          <w:p w14:paraId="54E680EE">
            <w:pPr>
              <w:jc w:val="center"/>
              <w:rPr>
                <w:highlight w:val="none"/>
              </w:rPr>
            </w:pPr>
            <w:r>
              <w:rPr>
                <w:szCs w:val="21"/>
                <w:highlight w:val="none"/>
              </w:rPr>
              <w:t xml:space="preserve">  </w:t>
            </w:r>
          </w:p>
        </w:tc>
      </w:tr>
      <w:tr w14:paraId="2AC5F109">
        <w:tblPrEx>
          <w:tblCellMar>
            <w:top w:w="0" w:type="dxa"/>
            <w:left w:w="0" w:type="dxa"/>
            <w:bottom w:w="0" w:type="dxa"/>
            <w:right w:w="0" w:type="dxa"/>
          </w:tblCellMar>
        </w:tblPrEx>
        <w:trPr>
          <w:trHeight w:val="505" w:hRule="atLeast"/>
          <w:jc w:val="center"/>
        </w:trPr>
        <w:tc>
          <w:tcPr>
            <w:tcW w:w="394" w:type="pct"/>
            <w:tcBorders>
              <w:top w:val="nil"/>
              <w:left w:val="single" w:color="000000" w:sz="8" w:space="0"/>
              <w:bottom w:val="single" w:color="000000" w:sz="8" w:space="0"/>
              <w:right w:val="single" w:color="000000" w:sz="8" w:space="0"/>
            </w:tcBorders>
            <w:tcMar>
              <w:top w:w="0" w:type="dxa"/>
              <w:left w:w="28" w:type="dxa"/>
              <w:bottom w:w="0" w:type="dxa"/>
              <w:right w:w="28" w:type="dxa"/>
            </w:tcMar>
            <w:vAlign w:val="center"/>
          </w:tcPr>
          <w:p w14:paraId="1D34AA2E">
            <w:pPr>
              <w:jc w:val="center"/>
              <w:rPr>
                <w:highlight w:val="none"/>
              </w:rPr>
            </w:pPr>
            <w:r>
              <w:rPr>
                <w:szCs w:val="21"/>
                <w:highlight w:val="none"/>
              </w:rPr>
              <w:t xml:space="preserve">  </w:t>
            </w:r>
          </w:p>
        </w:tc>
        <w:tc>
          <w:tcPr>
            <w:tcW w:w="517" w:type="pct"/>
            <w:tcBorders>
              <w:top w:val="nil"/>
              <w:left w:val="nil"/>
              <w:bottom w:val="single" w:color="000000" w:sz="8" w:space="0"/>
              <w:right w:val="single" w:color="000000" w:sz="8" w:space="0"/>
            </w:tcBorders>
            <w:tcMar>
              <w:top w:w="0" w:type="dxa"/>
              <w:left w:w="28" w:type="dxa"/>
              <w:bottom w:w="0" w:type="dxa"/>
              <w:right w:w="28" w:type="dxa"/>
            </w:tcMar>
            <w:vAlign w:val="center"/>
          </w:tcPr>
          <w:p w14:paraId="4908771E">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1673EADD">
            <w:pPr>
              <w:jc w:val="center"/>
              <w:rPr>
                <w:highlight w:val="none"/>
              </w:rPr>
            </w:pPr>
            <w:r>
              <w:rPr>
                <w:szCs w:val="21"/>
                <w:highlight w:val="none"/>
              </w:rPr>
              <w:t xml:space="preserve">  </w:t>
            </w:r>
          </w:p>
        </w:tc>
        <w:tc>
          <w:tcPr>
            <w:tcW w:w="691" w:type="pct"/>
            <w:tcBorders>
              <w:top w:val="nil"/>
              <w:left w:val="nil"/>
              <w:bottom w:val="single" w:color="000000" w:sz="8" w:space="0"/>
              <w:right w:val="single" w:color="000000" w:sz="8" w:space="0"/>
            </w:tcBorders>
            <w:tcMar>
              <w:top w:w="0" w:type="dxa"/>
              <w:left w:w="28" w:type="dxa"/>
              <w:bottom w:w="0" w:type="dxa"/>
              <w:right w:w="28" w:type="dxa"/>
            </w:tcMar>
            <w:vAlign w:val="center"/>
          </w:tcPr>
          <w:p w14:paraId="7D2F4A4A">
            <w:pPr>
              <w:jc w:val="center"/>
              <w:rPr>
                <w:highlight w:val="none"/>
              </w:rPr>
            </w:pPr>
            <w:r>
              <w:rPr>
                <w:szCs w:val="21"/>
                <w:highlight w:val="none"/>
              </w:rPr>
              <w:t xml:space="preserve">  </w:t>
            </w:r>
          </w:p>
        </w:tc>
        <w:tc>
          <w:tcPr>
            <w:tcW w:w="778" w:type="pct"/>
            <w:tcBorders>
              <w:top w:val="nil"/>
              <w:left w:val="nil"/>
              <w:bottom w:val="single" w:color="000000" w:sz="8" w:space="0"/>
              <w:right w:val="single" w:color="000000" w:sz="8" w:space="0"/>
            </w:tcBorders>
            <w:tcMar>
              <w:top w:w="0" w:type="dxa"/>
              <w:left w:w="28" w:type="dxa"/>
              <w:bottom w:w="0" w:type="dxa"/>
              <w:right w:w="28" w:type="dxa"/>
            </w:tcMar>
            <w:vAlign w:val="center"/>
          </w:tcPr>
          <w:p w14:paraId="09167CA7">
            <w:pPr>
              <w:jc w:val="center"/>
              <w:rPr>
                <w:highlight w:val="none"/>
              </w:rPr>
            </w:pPr>
            <w:r>
              <w:rPr>
                <w:szCs w:val="21"/>
                <w:highlight w:val="none"/>
              </w:rPr>
              <w:t xml:space="preserve">  </w:t>
            </w:r>
          </w:p>
        </w:tc>
        <w:tc>
          <w:tcPr>
            <w:tcW w:w="1839" w:type="pct"/>
            <w:gridSpan w:val="2"/>
            <w:tcBorders>
              <w:top w:val="nil"/>
              <w:left w:val="nil"/>
              <w:bottom w:val="single" w:color="000000" w:sz="8" w:space="0"/>
              <w:right w:val="single" w:color="000000" w:sz="8" w:space="0"/>
            </w:tcBorders>
            <w:tcMar>
              <w:top w:w="0" w:type="dxa"/>
              <w:left w:w="28" w:type="dxa"/>
              <w:bottom w:w="0" w:type="dxa"/>
              <w:right w:w="28" w:type="dxa"/>
            </w:tcMar>
            <w:vAlign w:val="center"/>
          </w:tcPr>
          <w:p w14:paraId="486606F9">
            <w:pPr>
              <w:jc w:val="center"/>
              <w:rPr>
                <w:highlight w:val="none"/>
              </w:rPr>
            </w:pPr>
            <w:r>
              <w:rPr>
                <w:rFonts w:hint="eastAsia" w:ascii="宋体" w:hAnsi="宋体" w:eastAsia="宋体" w:cs="Times New Roman"/>
                <w:b/>
                <w:szCs w:val="21"/>
              </w:rPr>
              <w:t>供应商保证：除本技术规格、参数偏离表列出的偏离外，我单位对</w:t>
            </w:r>
            <w:r>
              <w:rPr>
                <w:rFonts w:hint="eastAsia" w:ascii="宋体" w:hAnsi="宋体" w:eastAsia="宋体" w:cs="Times New Roman"/>
                <w:b/>
                <w:szCs w:val="21"/>
                <w:lang w:val="en-US" w:eastAsia="zh-CN"/>
              </w:rPr>
              <w:t>招标</w:t>
            </w:r>
            <w:r>
              <w:rPr>
                <w:rFonts w:hint="eastAsia" w:ascii="宋体" w:hAnsi="宋体" w:eastAsia="宋体" w:cs="Times New Roman"/>
                <w:b/>
                <w:szCs w:val="21"/>
              </w:rPr>
              <w:t>文件的其他采购需求</w:t>
            </w:r>
            <w:r>
              <w:rPr>
                <w:rFonts w:hint="eastAsia" w:ascii="宋体" w:hAnsi="宋体" w:eastAsia="宋体" w:cs="Times New Roman"/>
                <w:b/>
                <w:szCs w:val="21"/>
                <w:lang w:val="en-US" w:eastAsia="zh-CN"/>
              </w:rPr>
              <w:t>中的技术条款</w:t>
            </w:r>
            <w:r>
              <w:rPr>
                <w:rFonts w:hint="eastAsia" w:ascii="宋体" w:hAnsi="宋体" w:eastAsia="宋体" w:cs="Times New Roman"/>
                <w:b/>
                <w:szCs w:val="21"/>
              </w:rPr>
              <w:t>完全响应，无偏离。</w:t>
            </w:r>
            <w:r>
              <w:rPr>
                <w:szCs w:val="21"/>
                <w:highlight w:val="none"/>
              </w:rPr>
              <w:t xml:space="preserve">  </w:t>
            </w:r>
          </w:p>
        </w:tc>
      </w:tr>
    </w:tbl>
    <w:p w14:paraId="43A3322A">
      <w:pPr>
        <w:adjustRightInd w:val="0"/>
        <w:snapToGrid w:val="0"/>
        <w:spacing w:before="50" w:line="360" w:lineRule="auto"/>
        <w:rPr>
          <w:rFonts w:hint="eastAsia" w:ascii="宋体"/>
          <w:szCs w:val="21"/>
          <w:highlight w:val="none"/>
        </w:rPr>
      </w:pPr>
      <w:r>
        <w:rPr>
          <w:rFonts w:hint="eastAsia" w:ascii="宋体"/>
          <w:szCs w:val="21"/>
          <w:highlight w:val="none"/>
        </w:rPr>
        <w:t>说明：</w:t>
      </w:r>
    </w:p>
    <w:p w14:paraId="3439897B">
      <w:pPr>
        <w:spacing w:line="360" w:lineRule="auto"/>
        <w:rPr>
          <w:rFonts w:ascii="宋体" w:hAnsi="宋体" w:eastAsia="宋体" w:cs="华文中宋"/>
          <w:kern w:val="2"/>
          <w:sz w:val="21"/>
          <w:szCs w:val="21"/>
          <w:highlight w:val="none"/>
          <w:lang w:val="en-US" w:eastAsia="zh-CN" w:bidi="ar-SA"/>
        </w:rPr>
      </w:pPr>
      <w:r>
        <w:rPr>
          <w:rFonts w:ascii="宋体" w:hAnsi="宋体" w:cs="华文中宋"/>
          <w:bCs/>
          <w:szCs w:val="21"/>
          <w:highlight w:val="none"/>
        </w:rPr>
        <w:t>注：</w:t>
      </w:r>
      <w:r>
        <w:rPr>
          <w:rFonts w:hint="eastAsia" w:ascii="宋体" w:hAnsi="宋体" w:cs="华文中宋"/>
          <w:bCs/>
          <w:szCs w:val="21"/>
          <w:highlight w:val="none"/>
        </w:rPr>
        <w:t>1、</w:t>
      </w:r>
      <w:r>
        <w:rPr>
          <w:rFonts w:ascii="宋体" w:hAnsi="宋体" w:eastAsia="宋体" w:cs="华文中宋"/>
          <w:kern w:val="2"/>
          <w:sz w:val="21"/>
          <w:szCs w:val="21"/>
          <w:highlight w:val="none"/>
          <w:lang w:val="en-US" w:eastAsia="zh-CN" w:bidi="ar-SA"/>
        </w:rPr>
        <w:t>供应商如果对</w:t>
      </w:r>
      <w:r>
        <w:rPr>
          <w:rFonts w:hint="eastAsia" w:ascii="宋体" w:hAnsi="宋体" w:eastAsia="宋体" w:cs="华文中宋"/>
          <w:kern w:val="2"/>
          <w:sz w:val="21"/>
          <w:szCs w:val="21"/>
          <w:highlight w:val="none"/>
          <w:lang w:val="en-US" w:eastAsia="zh-CN" w:bidi="ar-SA"/>
        </w:rPr>
        <w:t>招标</w:t>
      </w:r>
      <w:r>
        <w:rPr>
          <w:rFonts w:ascii="宋体" w:hAnsi="宋体" w:eastAsia="宋体" w:cs="华文中宋"/>
          <w:kern w:val="2"/>
          <w:sz w:val="21"/>
          <w:szCs w:val="21"/>
          <w:highlight w:val="none"/>
          <w:lang w:val="en-US" w:eastAsia="zh-CN" w:bidi="ar-SA"/>
        </w:rPr>
        <w:t>文件第</w:t>
      </w:r>
      <w:r>
        <w:rPr>
          <w:rFonts w:hint="eastAsia" w:ascii="宋体" w:hAnsi="宋体" w:eastAsia="宋体" w:cs="华文中宋"/>
          <w:kern w:val="2"/>
          <w:sz w:val="21"/>
          <w:szCs w:val="21"/>
          <w:highlight w:val="none"/>
          <w:lang w:val="en-US" w:eastAsia="zh-CN" w:bidi="ar-SA"/>
        </w:rPr>
        <w:t>五</w:t>
      </w:r>
      <w:r>
        <w:rPr>
          <w:rFonts w:ascii="宋体" w:hAnsi="宋体" w:eastAsia="宋体" w:cs="华文中宋"/>
          <w:kern w:val="2"/>
          <w:sz w:val="21"/>
          <w:szCs w:val="21"/>
          <w:highlight w:val="none"/>
          <w:lang w:val="en-US" w:eastAsia="zh-CN" w:bidi="ar-SA"/>
        </w:rPr>
        <w:t>章“</w:t>
      </w:r>
      <w:r>
        <w:rPr>
          <w:rFonts w:hint="eastAsia" w:ascii="宋体"/>
          <w:szCs w:val="21"/>
          <w:highlight w:val="none"/>
        </w:rPr>
        <w:t>采购需求</w:t>
      </w:r>
      <w:r>
        <w:rPr>
          <w:rFonts w:ascii="宋体" w:hAnsi="宋体" w:eastAsia="宋体" w:cs="华文中宋"/>
          <w:kern w:val="2"/>
          <w:sz w:val="21"/>
          <w:szCs w:val="21"/>
          <w:highlight w:val="none"/>
          <w:lang w:val="en-US" w:eastAsia="zh-CN" w:bidi="ar-SA"/>
        </w:rPr>
        <w:t>”</w:t>
      </w:r>
      <w:r>
        <w:rPr>
          <w:rFonts w:hint="eastAsia" w:ascii="宋体" w:hAnsi="宋体" w:eastAsia="宋体" w:cs="华文中宋"/>
          <w:kern w:val="2"/>
          <w:sz w:val="21"/>
          <w:szCs w:val="21"/>
          <w:highlight w:val="none"/>
          <w:lang w:val="en-US" w:eastAsia="zh-CN" w:bidi="ar-SA"/>
        </w:rPr>
        <w:t>中</w:t>
      </w:r>
      <w:r>
        <w:rPr>
          <w:rFonts w:hint="eastAsia" w:ascii="宋体"/>
          <w:szCs w:val="21"/>
          <w:highlight w:val="none"/>
          <w:lang w:val="en-US" w:eastAsia="zh-CN"/>
        </w:rPr>
        <w:t>技术要求</w:t>
      </w:r>
      <w:r>
        <w:rPr>
          <w:rFonts w:ascii="宋体" w:hAnsi="宋体" w:eastAsia="宋体" w:cs="华文中宋"/>
          <w:kern w:val="2"/>
          <w:sz w:val="21"/>
          <w:szCs w:val="21"/>
          <w:highlight w:val="none"/>
          <w:lang w:val="en-US" w:eastAsia="zh-CN" w:bidi="ar-SA"/>
        </w:rPr>
        <w:t>响应有偏离，应将偏离条款逐条如实应答，并作出说明；</w:t>
      </w:r>
    </w:p>
    <w:p w14:paraId="20784BDD">
      <w:pPr>
        <w:spacing w:line="360" w:lineRule="auto"/>
        <w:rPr>
          <w:rFonts w:ascii="宋体" w:hAnsi="宋体" w:cs="华文中宋"/>
          <w:szCs w:val="21"/>
          <w:highlight w:val="none"/>
        </w:rPr>
      </w:pPr>
      <w:r>
        <w:rPr>
          <w:rFonts w:hint="eastAsia" w:ascii="宋体" w:hAnsi="宋体" w:cs="华文中宋"/>
          <w:szCs w:val="21"/>
          <w:highlight w:val="none"/>
        </w:rPr>
        <w:t>2、</w:t>
      </w:r>
      <w:r>
        <w:rPr>
          <w:rFonts w:ascii="宋体" w:hAnsi="宋体" w:cs="华文中宋"/>
          <w:szCs w:val="21"/>
          <w:highlight w:val="none"/>
        </w:rPr>
        <w:t>“响应与偏离”应注明“响应”或“偏离”。</w:t>
      </w:r>
    </w:p>
    <w:p w14:paraId="711838F1">
      <w:pPr>
        <w:spacing w:line="360" w:lineRule="auto"/>
        <w:rPr>
          <w:highlight w:val="none"/>
        </w:rPr>
      </w:pPr>
      <w:r>
        <w:rPr>
          <w:rFonts w:hint="eastAsia" w:ascii="宋体" w:hAnsi="宋体" w:cs="宋体"/>
          <w:szCs w:val="21"/>
          <w:highlight w:val="none"/>
          <w:lang w:val="en-US" w:eastAsia="zh-CN"/>
        </w:rPr>
        <w:t>3、</w:t>
      </w:r>
      <w:r>
        <w:rPr>
          <w:color w:val="auto"/>
          <w:spacing w:val="-5"/>
          <w:sz w:val="21"/>
        </w:rPr>
        <w:t>如不提供此表，则视为供应商不满足</w:t>
      </w:r>
      <w:r>
        <w:rPr>
          <w:rFonts w:hint="eastAsia" w:ascii="宋体" w:hAnsi="宋体" w:eastAsia="宋体" w:cs="华文中宋"/>
          <w:kern w:val="2"/>
          <w:sz w:val="21"/>
          <w:szCs w:val="21"/>
          <w:highlight w:val="none"/>
          <w:lang w:val="en-US" w:eastAsia="zh-CN" w:bidi="ar-SA"/>
        </w:rPr>
        <w:t>招标</w:t>
      </w:r>
      <w:r>
        <w:rPr>
          <w:rFonts w:ascii="宋体" w:hAnsi="宋体" w:eastAsia="宋体" w:cs="华文中宋"/>
          <w:kern w:val="2"/>
          <w:sz w:val="21"/>
          <w:szCs w:val="21"/>
          <w:highlight w:val="none"/>
          <w:lang w:val="en-US" w:eastAsia="zh-CN" w:bidi="ar-SA"/>
        </w:rPr>
        <w:t>文件第</w:t>
      </w:r>
      <w:r>
        <w:rPr>
          <w:rFonts w:hint="eastAsia" w:ascii="宋体" w:hAnsi="宋体" w:eastAsia="宋体" w:cs="华文中宋"/>
          <w:kern w:val="2"/>
          <w:sz w:val="21"/>
          <w:szCs w:val="21"/>
          <w:highlight w:val="none"/>
          <w:lang w:val="en-US" w:eastAsia="zh-CN" w:bidi="ar-SA"/>
        </w:rPr>
        <w:t>五</w:t>
      </w:r>
      <w:r>
        <w:rPr>
          <w:rFonts w:ascii="宋体" w:hAnsi="宋体" w:eastAsia="宋体" w:cs="华文中宋"/>
          <w:kern w:val="2"/>
          <w:sz w:val="21"/>
          <w:szCs w:val="21"/>
          <w:highlight w:val="none"/>
          <w:lang w:val="en-US" w:eastAsia="zh-CN" w:bidi="ar-SA"/>
        </w:rPr>
        <w:t>章“</w:t>
      </w:r>
      <w:r>
        <w:rPr>
          <w:rFonts w:hint="eastAsia" w:ascii="宋体" w:hAnsi="宋体" w:eastAsia="宋体" w:cs="华文中宋"/>
          <w:kern w:val="2"/>
          <w:sz w:val="21"/>
          <w:szCs w:val="21"/>
          <w:highlight w:val="none"/>
          <w:lang w:val="en-US" w:eastAsia="zh-CN" w:bidi="ar-SA"/>
        </w:rPr>
        <w:t>采购需求</w:t>
      </w:r>
      <w:r>
        <w:rPr>
          <w:rFonts w:ascii="宋体" w:hAnsi="宋体" w:eastAsia="宋体" w:cs="华文中宋"/>
          <w:kern w:val="2"/>
          <w:sz w:val="21"/>
          <w:szCs w:val="21"/>
          <w:highlight w:val="none"/>
          <w:lang w:val="en-US" w:eastAsia="zh-CN" w:bidi="ar-SA"/>
        </w:rPr>
        <w:t>”</w:t>
      </w:r>
      <w:r>
        <w:rPr>
          <w:rFonts w:hint="eastAsia" w:ascii="宋体" w:hAnsi="宋体" w:eastAsia="宋体" w:cs="华文中宋"/>
          <w:kern w:val="2"/>
          <w:sz w:val="21"/>
          <w:szCs w:val="21"/>
          <w:highlight w:val="none"/>
          <w:lang w:val="en-US" w:eastAsia="zh-CN" w:bidi="ar-SA"/>
        </w:rPr>
        <w:t>中技术要求的所有条款</w:t>
      </w:r>
      <w:r>
        <w:rPr>
          <w:spacing w:val="-5"/>
          <w:sz w:val="21"/>
        </w:rPr>
        <w:t>，其</w:t>
      </w:r>
      <w:r>
        <w:rPr>
          <w:rFonts w:hint="eastAsia"/>
          <w:spacing w:val="-5"/>
          <w:sz w:val="21"/>
          <w:lang w:val="en-US" w:eastAsia="zh-CN"/>
        </w:rPr>
        <w:t>投标</w:t>
      </w:r>
      <w:r>
        <w:rPr>
          <w:spacing w:val="-5"/>
          <w:sz w:val="21"/>
        </w:rPr>
        <w:t>响应无效。</w:t>
      </w:r>
      <w:r>
        <w:rPr>
          <w:rFonts w:ascii="宋体" w:hAnsi="宋体" w:cs="宋体"/>
          <w:szCs w:val="21"/>
          <w:highlight w:val="none"/>
        </w:rPr>
        <w:t>    </w:t>
      </w:r>
      <w:r>
        <w:rPr>
          <w:szCs w:val="21"/>
          <w:highlight w:val="none"/>
        </w:rPr>
        <w:t xml:space="preserve"> </w:t>
      </w:r>
    </w:p>
    <w:p w14:paraId="490F58E5">
      <w:pPr>
        <w:pStyle w:val="62"/>
        <w:ind w:firstLine="480"/>
        <w:rPr>
          <w:highlight w:val="none"/>
        </w:rPr>
      </w:pPr>
    </w:p>
    <w:p w14:paraId="60BD6C6B">
      <w:pPr>
        <w:adjustRightInd w:val="0"/>
        <w:snapToGrid w:val="0"/>
        <w:spacing w:before="50" w:line="360" w:lineRule="auto"/>
        <w:rPr>
          <w:rFonts w:ascii="宋体"/>
          <w:szCs w:val="21"/>
          <w:highlight w:val="none"/>
        </w:rPr>
      </w:pPr>
      <w:r>
        <w:rPr>
          <w:rFonts w:hint="eastAsia" w:ascii="宋体"/>
          <w:szCs w:val="21"/>
          <w:highlight w:val="none"/>
        </w:rPr>
        <w:t>投标人名称（</w:t>
      </w:r>
      <w:r>
        <w:rPr>
          <w:rFonts w:hint="eastAsia" w:ascii="宋体" w:hAnsi="宋体" w:cs="宋体"/>
          <w:color w:val="FF0000"/>
          <w:szCs w:val="21"/>
          <w:highlight w:val="none"/>
        </w:rPr>
        <w:t>电子签章</w:t>
      </w:r>
      <w:r>
        <w:rPr>
          <w:rFonts w:hint="eastAsia" w:ascii="宋体"/>
          <w:szCs w:val="21"/>
          <w:highlight w:val="none"/>
        </w:rPr>
        <w:t>）：</w:t>
      </w:r>
      <w:r>
        <w:rPr>
          <w:rFonts w:hint="eastAsia" w:ascii="宋体"/>
          <w:szCs w:val="21"/>
          <w:highlight w:val="none"/>
          <w:u w:val="single"/>
        </w:rPr>
        <w:t xml:space="preserve">         </w:t>
      </w:r>
    </w:p>
    <w:p w14:paraId="3B8814A6">
      <w:pPr>
        <w:adjustRightInd w:val="0"/>
        <w:snapToGrid w:val="0"/>
        <w:spacing w:line="360" w:lineRule="auto"/>
        <w:rPr>
          <w:rFonts w:ascii="宋体"/>
          <w:szCs w:val="21"/>
          <w:highlight w:val="none"/>
        </w:rPr>
      </w:pPr>
      <w:r>
        <w:rPr>
          <w:rFonts w:hint="eastAsia" w:ascii="宋体" w:hAnsi="宋体" w:cs="微软雅黑"/>
          <w:spacing w:val="-2"/>
          <w:kern w:val="0"/>
          <w:szCs w:val="21"/>
          <w:highlight w:val="none"/>
        </w:rPr>
        <w:t>法</w:t>
      </w:r>
      <w:r>
        <w:rPr>
          <w:rFonts w:hint="eastAsia" w:ascii="宋体" w:hAnsi="宋体" w:cs="微软雅黑"/>
          <w:kern w:val="0"/>
          <w:szCs w:val="21"/>
          <w:highlight w:val="none"/>
        </w:rPr>
        <w:t>定</w:t>
      </w:r>
      <w:r>
        <w:rPr>
          <w:rFonts w:hint="eastAsia" w:ascii="宋体" w:hAnsi="宋体" w:cs="微软雅黑"/>
          <w:spacing w:val="-2"/>
          <w:kern w:val="0"/>
          <w:szCs w:val="21"/>
          <w:highlight w:val="none"/>
        </w:rPr>
        <w:t>代</w:t>
      </w:r>
      <w:r>
        <w:rPr>
          <w:rFonts w:hint="eastAsia" w:ascii="宋体" w:hAnsi="宋体" w:cs="微软雅黑"/>
          <w:kern w:val="0"/>
          <w:szCs w:val="21"/>
          <w:highlight w:val="none"/>
        </w:rPr>
        <w:t>表</w:t>
      </w:r>
      <w:r>
        <w:rPr>
          <w:rFonts w:hint="eastAsia" w:ascii="宋体" w:hAnsi="宋体" w:cs="微软雅黑"/>
          <w:spacing w:val="-2"/>
          <w:kern w:val="0"/>
          <w:szCs w:val="21"/>
          <w:highlight w:val="none"/>
        </w:rPr>
        <w:t>人</w:t>
      </w:r>
      <w:r>
        <w:rPr>
          <w:rFonts w:hint="eastAsia" w:ascii="宋体" w:hAnsi="宋体" w:cs="微软雅黑"/>
          <w:kern w:val="0"/>
          <w:szCs w:val="21"/>
          <w:highlight w:val="none"/>
        </w:rPr>
        <w:t>（</w:t>
      </w:r>
      <w:r>
        <w:rPr>
          <w:rFonts w:hint="eastAsia" w:ascii="宋体" w:hAnsi="宋体" w:cs="微软雅黑"/>
          <w:spacing w:val="-2"/>
          <w:kern w:val="0"/>
          <w:szCs w:val="21"/>
          <w:highlight w:val="none"/>
        </w:rPr>
        <w:t>单</w:t>
      </w:r>
      <w:r>
        <w:rPr>
          <w:rFonts w:hint="eastAsia" w:ascii="宋体" w:hAnsi="宋体" w:cs="微软雅黑"/>
          <w:kern w:val="0"/>
          <w:szCs w:val="21"/>
          <w:highlight w:val="none"/>
        </w:rPr>
        <w:t>位</w:t>
      </w:r>
      <w:r>
        <w:rPr>
          <w:rFonts w:hint="eastAsia" w:ascii="宋体" w:hAnsi="宋体" w:cs="微软雅黑"/>
          <w:spacing w:val="-2"/>
          <w:kern w:val="0"/>
          <w:szCs w:val="21"/>
          <w:highlight w:val="none"/>
        </w:rPr>
        <w:t>负</w:t>
      </w:r>
      <w:r>
        <w:rPr>
          <w:rFonts w:hint="eastAsia" w:ascii="宋体" w:hAnsi="宋体" w:cs="微软雅黑"/>
          <w:kern w:val="0"/>
          <w:szCs w:val="21"/>
          <w:highlight w:val="none"/>
        </w:rPr>
        <w:t>责人</w:t>
      </w:r>
      <w:r>
        <w:rPr>
          <w:rFonts w:hint="eastAsia" w:ascii="宋体" w:hAnsi="宋体" w:cs="微软雅黑"/>
          <w:spacing w:val="-2"/>
          <w:kern w:val="0"/>
          <w:szCs w:val="21"/>
          <w:highlight w:val="none"/>
        </w:rPr>
        <w:t>）</w:t>
      </w:r>
      <w:r>
        <w:rPr>
          <w:rFonts w:hint="eastAsia" w:ascii="宋体" w:hAnsi="宋体"/>
          <w:szCs w:val="21"/>
          <w:highlight w:val="none"/>
        </w:rPr>
        <w:t>或其授权的代理人（签字或印章）：</w:t>
      </w:r>
      <w:r>
        <w:rPr>
          <w:rFonts w:ascii="宋体" w:hAnsi="宋体"/>
          <w:szCs w:val="21"/>
          <w:highlight w:val="none"/>
          <w:u w:val="single"/>
        </w:rPr>
        <w:t xml:space="preserve">                </w:t>
      </w:r>
      <w:r>
        <w:rPr>
          <w:rFonts w:ascii="宋体" w:hAnsi="宋体"/>
          <w:szCs w:val="21"/>
          <w:highlight w:val="none"/>
        </w:rPr>
        <w:t>_</w:t>
      </w:r>
      <w:r>
        <w:rPr>
          <w:rFonts w:hint="eastAsia" w:ascii="宋体"/>
          <w:szCs w:val="21"/>
          <w:highlight w:val="none"/>
        </w:rPr>
        <w:t xml:space="preserve"> </w:t>
      </w:r>
    </w:p>
    <w:p w14:paraId="79A27BC7">
      <w:pPr>
        <w:rPr>
          <w:highlight w:val="none"/>
        </w:rPr>
      </w:pPr>
      <w:r>
        <w:rPr>
          <w:rFonts w:hint="eastAsia" w:ascii="宋体"/>
          <w:szCs w:val="21"/>
          <w:highlight w:val="none"/>
        </w:rPr>
        <w:t>日期：</w:t>
      </w:r>
      <w:r>
        <w:rPr>
          <w:rFonts w:hint="eastAsia" w:ascii="宋体"/>
          <w:szCs w:val="21"/>
          <w:highlight w:val="none"/>
          <w:u w:val="single"/>
        </w:rPr>
        <w:t xml:space="preserve">         </w:t>
      </w:r>
      <w:r>
        <w:rPr>
          <w:rFonts w:hint="eastAsia" w:ascii="宋体"/>
          <w:szCs w:val="21"/>
          <w:highlight w:val="none"/>
        </w:rPr>
        <w:t>年</w:t>
      </w:r>
      <w:r>
        <w:rPr>
          <w:rFonts w:hint="eastAsia" w:ascii="宋体"/>
          <w:szCs w:val="21"/>
          <w:highlight w:val="none"/>
          <w:u w:val="single"/>
        </w:rPr>
        <w:t xml:space="preserve">       </w:t>
      </w:r>
      <w:r>
        <w:rPr>
          <w:rFonts w:hint="eastAsia" w:ascii="宋体"/>
          <w:szCs w:val="21"/>
          <w:highlight w:val="none"/>
        </w:rPr>
        <w:t>月</w:t>
      </w:r>
      <w:r>
        <w:rPr>
          <w:rFonts w:hint="eastAsia" w:ascii="宋体"/>
          <w:szCs w:val="21"/>
          <w:highlight w:val="none"/>
          <w:u w:val="single"/>
        </w:rPr>
        <w:t xml:space="preserve">    </w:t>
      </w:r>
      <w:r>
        <w:rPr>
          <w:rFonts w:hint="eastAsia" w:ascii="宋体"/>
          <w:szCs w:val="21"/>
          <w:highlight w:val="none"/>
        </w:rPr>
        <w:t>日</w:t>
      </w:r>
    </w:p>
    <w:p w14:paraId="3BC60520">
      <w:pPr>
        <w:rPr>
          <w:rFonts w:ascii="黑体" w:hAnsi="宋体" w:eastAsia="黑体"/>
          <w:sz w:val="28"/>
          <w:szCs w:val="28"/>
          <w:highlight w:val="none"/>
        </w:rPr>
      </w:pPr>
      <w:r>
        <w:rPr>
          <w:rFonts w:hint="eastAsia" w:ascii="黑体" w:hAnsi="宋体" w:eastAsia="黑体"/>
          <w:sz w:val="28"/>
          <w:szCs w:val="28"/>
          <w:highlight w:val="none"/>
        </w:rPr>
        <w:br w:type="page"/>
      </w:r>
    </w:p>
    <w:p w14:paraId="4DCCB10F">
      <w:pPr>
        <w:adjustRightInd w:val="0"/>
        <w:snapToGrid w:val="0"/>
        <w:spacing w:line="360" w:lineRule="auto"/>
        <w:jc w:val="center"/>
        <w:rPr>
          <w:rFonts w:ascii="黑体" w:hAnsi="宋体" w:eastAsia="黑体"/>
          <w:sz w:val="28"/>
          <w:szCs w:val="28"/>
          <w:highlight w:val="none"/>
        </w:rPr>
      </w:pPr>
      <w:r>
        <w:rPr>
          <w:rFonts w:hint="eastAsia" w:ascii="黑体" w:hAnsi="宋体" w:eastAsia="黑体"/>
          <w:sz w:val="28"/>
          <w:szCs w:val="28"/>
          <w:highlight w:val="none"/>
        </w:rPr>
        <w:t>十三、投标货物符合招标文件规定的证明文件</w:t>
      </w:r>
    </w:p>
    <w:p w14:paraId="77641049">
      <w:pPr>
        <w:adjustRightInd w:val="0"/>
        <w:snapToGrid w:val="0"/>
        <w:spacing w:before="156" w:beforeLines="50" w:line="360" w:lineRule="auto"/>
        <w:rPr>
          <w:rFonts w:asciiTheme="minorEastAsia" w:hAnsiTheme="minorEastAsia" w:eastAsiaTheme="minorEastAsia"/>
          <w:highlight w:val="none"/>
        </w:rPr>
      </w:pPr>
    </w:p>
    <w:p w14:paraId="0AE0F1CE">
      <w:pPr>
        <w:pStyle w:val="166"/>
        <w:jc w:val="center"/>
        <w:rPr>
          <w:rFonts w:ascii="宋体" w:hAnsi="宋体" w:eastAsia="宋体" w:cs="宋体"/>
          <w:szCs w:val="21"/>
          <w:highlight w:val="none"/>
        </w:rPr>
      </w:pPr>
      <w:r>
        <w:rPr>
          <w:rFonts w:ascii="宋体" w:hAnsi="宋体" w:eastAsia="宋体" w:cs="宋体"/>
          <w:b/>
          <w:bCs/>
          <w:szCs w:val="21"/>
          <w:highlight w:val="none"/>
        </w:rPr>
        <w:t>备注</w:t>
      </w:r>
      <w:r>
        <w:rPr>
          <w:rFonts w:ascii="宋体" w:hAnsi="宋体" w:eastAsia="宋体" w:cs="宋体"/>
          <w:szCs w:val="21"/>
          <w:highlight w:val="none"/>
        </w:rPr>
        <w:t>：提供</w:t>
      </w:r>
      <w:r>
        <w:rPr>
          <w:rFonts w:hint="eastAsia" w:ascii="宋体" w:hAnsi="宋体" w:eastAsia="宋体" w:cs="宋体"/>
          <w:szCs w:val="21"/>
          <w:highlight w:val="none"/>
        </w:rPr>
        <w:t>招标文件</w:t>
      </w:r>
      <w:r>
        <w:rPr>
          <w:rFonts w:ascii="宋体" w:hAnsi="宋体" w:eastAsia="宋体" w:cs="宋体"/>
          <w:szCs w:val="21"/>
          <w:highlight w:val="none"/>
        </w:rPr>
        <w:t>“技术</w:t>
      </w:r>
      <w:r>
        <w:rPr>
          <w:rFonts w:hint="eastAsia" w:ascii="宋体" w:hAnsi="宋体" w:cs="宋体"/>
          <w:szCs w:val="21"/>
          <w:highlight w:val="none"/>
        </w:rPr>
        <w:t>要求</w:t>
      </w:r>
      <w:r>
        <w:rPr>
          <w:rFonts w:ascii="宋体" w:hAnsi="宋体" w:eastAsia="宋体" w:cs="宋体"/>
          <w:szCs w:val="21"/>
          <w:highlight w:val="none"/>
        </w:rPr>
        <w:t>及要求”</w:t>
      </w:r>
      <w:r>
        <w:rPr>
          <w:rFonts w:hint="eastAsia" w:ascii="宋体" w:hAnsi="宋体" w:eastAsia="宋体" w:cs="宋体"/>
          <w:szCs w:val="21"/>
          <w:highlight w:val="none"/>
        </w:rPr>
        <w:t>和“综合评分表”</w:t>
      </w:r>
      <w:r>
        <w:rPr>
          <w:rFonts w:ascii="宋体" w:hAnsi="宋体" w:eastAsia="宋体" w:cs="宋体"/>
          <w:szCs w:val="21"/>
          <w:highlight w:val="none"/>
        </w:rPr>
        <w:t>规定（包括投标货物的强制性认证、注册等）的证明材料复印件</w:t>
      </w:r>
    </w:p>
    <w:p w14:paraId="5AAC638B"/>
    <w:sectPr>
      <w:headerReference r:id="rId12" w:type="default"/>
      <w:footerReference r:id="rId13" w:type="default"/>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2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60E1194C-B877-41FD-8E5B-09CC742C7C92}"/>
  </w:font>
  <w:font w:name="Arial">
    <w:panose1 w:val="020B0604020202020204"/>
    <w:charset w:val="01"/>
    <w:family w:val="swiss"/>
    <w:pitch w:val="default"/>
    <w:sig w:usb0="E0002AFF" w:usb1="C0007843" w:usb2="00000009" w:usb3="00000000" w:csb0="400001FF" w:csb1="FFFF0000"/>
    <w:embedRegular r:id="rId2" w:fontKey="{BAF3E6A3-C8CB-49D3-8A0F-FF2F48C13223}"/>
  </w:font>
  <w:font w:name="黑体">
    <w:panose1 w:val="02010609060101010101"/>
    <w:charset w:val="86"/>
    <w:family w:val="auto"/>
    <w:pitch w:val="default"/>
    <w:sig w:usb0="800002BF" w:usb1="38CF7CFA" w:usb2="00000016" w:usb3="00000000" w:csb0="00040001" w:csb1="00000000"/>
    <w:embedRegular r:id="rId3" w:fontKey="{C15F9A74-8243-49FA-A9EE-6DD737038C23}"/>
  </w:font>
  <w:font w:name="Courier New">
    <w:panose1 w:val="02070309020205020404"/>
    <w:charset w:val="01"/>
    <w:family w:val="modern"/>
    <w:pitch w:val="default"/>
    <w:sig w:usb0="E0002AFF" w:usb1="C0007843" w:usb2="00000009" w:usb3="00000000" w:csb0="400001FF" w:csb1="FFFF0000"/>
    <w:embedRegular r:id="rId4" w:fontKey="{7032D45F-C376-418A-8206-013510D07F6F}"/>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5" w:fontKey="{AF5C961E-A666-4320-AAB0-000C9E637451}"/>
  </w:font>
  <w:font w:name="仿宋_GB2312">
    <w:panose1 w:val="02010609030101010101"/>
    <w:charset w:val="86"/>
    <w:family w:val="modern"/>
    <w:pitch w:val="default"/>
    <w:sig w:usb0="00000001" w:usb1="080E0000" w:usb2="00000000" w:usb3="00000000" w:csb0="00040000" w:csb1="00000000"/>
    <w:embedRegular r:id="rId6" w:fontKey="{3F666E63-41DB-4C68-8C24-7A4E13683601}"/>
  </w:font>
  <w:font w:name="楷体_GB2312">
    <w:panose1 w:val="02010609030101010101"/>
    <w:charset w:val="86"/>
    <w:family w:val="auto"/>
    <w:pitch w:val="default"/>
    <w:sig w:usb0="00000001" w:usb1="080E0000" w:usb2="00000000" w:usb3="00000000" w:csb0="00040000" w:csb1="00000000"/>
    <w:embedRegular r:id="rId7" w:fontKey="{6BE4321D-0AC4-45B8-A32E-B666A8E86F61}"/>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swiss"/>
    <w:pitch w:val="default"/>
    <w:sig w:usb0="80000287" w:usb1="280F3C52" w:usb2="00000016" w:usb3="00000000" w:csb0="0004001F" w:csb1="00000000"/>
    <w:embedRegular r:id="rId8" w:fontKey="{1185C240-68D3-4999-A721-85F0CC869D82}"/>
  </w:font>
  <w:font w:name="华文楷体">
    <w:panose1 w:val="02010600040101010101"/>
    <w:charset w:val="86"/>
    <w:family w:val="auto"/>
    <w:pitch w:val="default"/>
    <w:sig w:usb0="00000287" w:usb1="080F0000" w:usb2="00000000" w:usb3="00000000" w:csb0="0004009F" w:csb1="DFD70000"/>
    <w:embedRegular r:id="rId9" w:fontKey="{802E2E6A-D4B8-4DB0-BF1D-1A1E74630069}"/>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1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603F01FF" w:csb1="FFFF0000"/>
  </w:font>
  <w:font w:name="TimesNewRomanPSMT">
    <w:altName w:val="Times New Roman"/>
    <w:panose1 w:val="00000000000000000000"/>
    <w:charset w:val="00"/>
    <w:family w:val="auto"/>
    <w:pitch w:val="default"/>
    <w:sig w:usb0="00000000" w:usb1="00000000" w:usb2="00000000" w:usb3="00000000" w:csb0="00000001" w:csb1="00000000"/>
  </w:font>
  <w:font w:name="Cambria">
    <w:panose1 w:val="02040503050406030204"/>
    <w:charset w:val="00"/>
    <w:family w:val="roman"/>
    <w:pitch w:val="default"/>
    <w:sig w:usb0="E00002FF" w:usb1="400004FF" w:usb2="00000000" w:usb3="00000000" w:csb0="2000019F" w:csb1="00000000"/>
  </w:font>
  <w:font w:name="FZSSK--GBK1-0">
    <w:altName w:val="Segoe Print"/>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embedRegular r:id="rId10" w:fontKey="{261ED10E-32DB-4809-BA61-DEBD67EE573D}"/>
  </w:font>
  <w:font w:name="华文中宋">
    <w:panose1 w:val="02010600040101010101"/>
    <w:charset w:val="86"/>
    <w:family w:val="auto"/>
    <w:pitch w:val="default"/>
    <w:sig w:usb0="00000287" w:usb1="080F0000" w:usb2="00000000" w:usb3="00000000" w:csb0="0004009F" w:csb1="DFD70000"/>
    <w:embedRegular r:id="rId11" w:fontKey="{6BD4C4ED-6252-430F-BD06-CAB3ED202ACC}"/>
  </w:font>
  <w:font w:name="Wingdings 2">
    <w:altName w:val="Wingdings"/>
    <w:panose1 w:val="05020102010507070707"/>
    <w:charset w:val="02"/>
    <w:family w:val="decorative"/>
    <w:pitch w:val="default"/>
    <w:sig w:usb0="00000000" w:usb1="00000000" w:usb2="00000000" w:usb3="00000000" w:csb0="80000000" w:csb1="00000000"/>
    <w:embedRegular r:id="rId12" w:fontKey="{24583759-C098-4F5D-BCCB-EC3EAAD25E10}"/>
  </w:font>
  <w:font w:name="方正仿宋_GBK">
    <w:panose1 w:val="02000000000000000000"/>
    <w:charset w:val="86"/>
    <w:family w:val="script"/>
    <w:pitch w:val="default"/>
    <w:sig w:usb0="A00002BF" w:usb1="38CF7CFA" w:usb2="00082016" w:usb3="00000000" w:csb0="00040001" w:csb1="00000000"/>
    <w:embedRegular r:id="rId13" w:fontKey="{F044C1FA-7FA8-49FA-94FC-DEE338511881}"/>
  </w:font>
  <w:font w:name="华文宋体">
    <w:panose1 w:val="02010600040101010101"/>
    <w:charset w:val="86"/>
    <w:family w:val="auto"/>
    <w:pitch w:val="default"/>
    <w:sig w:usb0="00000287" w:usb1="080F0000" w:usb2="00000000" w:usb3="00000000" w:csb0="0004009F" w:csb1="DFD70000"/>
    <w:embedRegular r:id="rId14" w:fontKey="{D932D8D3-F440-4C4A-8414-90DA743A9861}"/>
  </w:font>
  <w:font w:name="仿宋">
    <w:panose1 w:val="02010609060101010101"/>
    <w:charset w:val="86"/>
    <w:family w:val="auto"/>
    <w:pitch w:val="default"/>
    <w:sig w:usb0="800002BF" w:usb1="38CF7CFA" w:usb2="00000016" w:usb3="00000000" w:csb0="00040001" w:csb1="00000000"/>
    <w:embedRegular r:id="rId15" w:fontKey="{4EAA8D0C-23F4-485F-B248-7A17480C65CA}"/>
  </w:font>
  <w:font w:name="汉仪书宋二S">
    <w:altName w:val="宋体"/>
    <w:panose1 w:val="00000000000000000000"/>
    <w:charset w:val="86"/>
    <w:family w:val="auto"/>
    <w:pitch w:val="default"/>
    <w:sig w:usb0="00000000" w:usb1="00000000" w:usb2="00000016" w:usb3="00000000" w:csb0="00040000" w:csb1="00000000"/>
    <w:embedRegular r:id="rId16" w:fontKey="{33A53541-8BD8-4DBE-AE1E-762456ED34EF}"/>
  </w:font>
  <w:font w:name="Times New &#10;&#10;Roman">
    <w:altName w:val="微软雅黑"/>
    <w:panose1 w:val="00000000000000000000"/>
    <w:charset w:val="00"/>
    <w:family w:val="auto"/>
    <w:pitch w:val="default"/>
    <w:sig w:usb0="00000000" w:usb1="00000000" w:usb2="00000000" w:usb3="00000000" w:csb0="00040001" w:csb1="00000000"/>
    <w:embedRegular r:id="rId17" w:fontKey="{D18342CA-457E-427C-8B75-2119A45BF5AB}"/>
  </w:font>
  <w:font w:name="方正小标宋_GBK">
    <w:panose1 w:val="02000000000000000000"/>
    <w:charset w:val="86"/>
    <w:family w:val="auto"/>
    <w:pitch w:val="default"/>
    <w:sig w:usb0="A00002BF" w:usb1="38CF7CFA" w:usb2="00082016" w:usb3="00000000" w:csb0="00040001" w:csb1="00000000"/>
    <w:embedRegular r:id="rId18" w:fontKey="{E55B3B88-2D61-4AC0-95EA-92225CE79D3A}"/>
  </w:font>
  <w:font w:name="楷体">
    <w:panose1 w:val="02010609060101010101"/>
    <w:charset w:val="86"/>
    <w:family w:val="modern"/>
    <w:pitch w:val="default"/>
    <w:sig w:usb0="800002BF" w:usb1="38CF7CFA" w:usb2="00000016" w:usb3="00000000" w:csb0="00040001" w:csb1="00000000"/>
    <w:embedRegular r:id="rId19" w:fontKey="{05976EE9-2B53-48FD-843C-67947F48D0F3}"/>
  </w:font>
  <w:font w:name="WPSEMBED6">
    <w:panose1 w:val="02010600040101010101"/>
    <w:charset w:val="86"/>
    <w:family w:val="auto"/>
    <w:pitch w:val="default"/>
    <w:sig w:usb0="00000287" w:usb1="080F0000" w:usb2="00000000" w:usb3="00000000" w:csb0="0004009F" w:csb1="DFD70000"/>
  </w:font>
  <w:font w:name="Kingsoft UE">
    <w:altName w:val="Segoe Print"/>
    <w:panose1 w:val="00000000000000000000"/>
    <w:charset w:val="00"/>
    <w:family w:val="auto"/>
    <w:pitch w:val="default"/>
    <w:sig w:usb0="00000000" w:usb1="00000000" w:usb2="00000000" w:usb3="00000000" w:csb0="00000000" w:csb1="00000000"/>
  </w:font>
  <w:font w:name="WPSEMBED7">
    <w:panose1 w:val="02000000000000000000"/>
    <w:charset w:val="86"/>
    <w:family w:val="auto"/>
    <w:pitch w:val="default"/>
    <w:sig w:usb0="A00002BF" w:usb1="38CF7CFA" w:usb2="00082016" w:usb3="00000000" w:csb0="00040001" w:csb1="00000000"/>
  </w:font>
  <w:font w:name="WPSEMBED3">
    <w:panose1 w:val="02010609030101010101"/>
    <w:charset w:val="86"/>
    <w:family w:val="auto"/>
    <w:pitch w:val="default"/>
    <w:sig w:usb0="00000001" w:usb1="080E0000" w:usb2="00000000" w:usb3="00000000" w:csb0="00040000" w:csb1="00000000"/>
  </w:font>
  <w:font w:name="PMingLiU">
    <w:panose1 w:val="02020500000000000000"/>
    <w:charset w:val="88"/>
    <w:family w:val="auto"/>
    <w:pitch w:val="default"/>
    <w:sig w:usb0="A00002FF" w:usb1="28CFFCFA" w:usb2="00000016" w:usb3="00000000" w:csb0="00100001" w:csb1="00000000"/>
  </w:font>
  <w:font w:name="WPSEMBED8">
    <w:panose1 w:val="02010600040101010101"/>
    <w:charset w:val="86"/>
    <w:family w:val="auto"/>
    <w:pitch w:val="default"/>
    <w:sig w:usb0="00000287" w:usb1="080F0000" w:usb2="00000000" w:usb3="00000000" w:csb0="0004009F" w:csb1="DFD70000"/>
  </w:font>
  <w:font w:name="Gulim">
    <w:panose1 w:val="020B0600000101010101"/>
    <w:charset w:val="81"/>
    <w:family w:val="auto"/>
    <w:pitch w:val="default"/>
    <w:sig w:usb0="B00002AF" w:usb1="69D77CFB" w:usb2="00000030" w:usb3="00000000" w:csb0="4008009F" w:csb1="DFD70000"/>
  </w:font>
  <w:font w:name="WPSEMBED4">
    <w:panose1 w:val="02010609030101010101"/>
    <w:charset w:val="86"/>
    <w:family w:val="auto"/>
    <w:pitch w:val="default"/>
    <w:sig w:usb0="00000001" w:usb1="080E0000" w:usb2="00000000" w:usb3="00000000" w:csb0="00040000" w:csb1="00000000"/>
  </w:font>
  <w:font w:name="WPSEMBED5">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5ADDB8">
    <w:pPr>
      <w:pStyle w:val="28"/>
      <w:ind w:left="180" w:right="359" w:rightChars="171" w:hanging="180" w:hangingChars="100"/>
      <w:jc w:val="right"/>
      <w:rPr>
        <w:rFonts w:eastAsia="楷体_GB2312"/>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0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4E66E52">
                          <w:pPr>
                            <w:pStyle w:val="28"/>
                            <w:rPr>
                              <w:sz w:val="24"/>
                              <w:szCs w:val="24"/>
                            </w:rPr>
                          </w:pPr>
                          <w:r>
                            <w:rPr>
                              <w:rFonts w:hint="eastAsia"/>
                              <w:sz w:val="24"/>
                              <w:szCs w:val="24"/>
                            </w:rPr>
                            <w:fldChar w:fldCharType="begin"/>
                          </w:r>
                          <w:r>
                            <w:rPr>
                              <w:rFonts w:hint="eastAsia"/>
                              <w:sz w:val="24"/>
                              <w:szCs w:val="24"/>
                            </w:rPr>
                            <w:instrText xml:space="preserve"> PAGE  \* MERGEFORMAT </w:instrText>
                          </w:r>
                          <w:r>
                            <w:rPr>
                              <w:rFonts w:hint="eastAsia"/>
                              <w:sz w:val="24"/>
                              <w:szCs w:val="24"/>
                            </w:rPr>
                            <w:fldChar w:fldCharType="separate"/>
                          </w:r>
                          <w:r>
                            <w:rPr>
                              <w:sz w:val="24"/>
                              <w:szCs w:val="24"/>
                            </w:rPr>
                            <w:t>1</w:t>
                          </w:r>
                          <w:r>
                            <w:rPr>
                              <w:rFonts w:hint="eastAsia"/>
                              <w:sz w:val="24"/>
                              <w:szCs w:val="24"/>
                            </w:rPr>
                            <w:fldChar w:fldCharType="end"/>
                          </w:r>
                        </w:p>
                      </w:txbxContent>
                    </wps:txbx>
                    <wps:bodyPr wrap="none" lIns="0" tIns="0" rIns="0" bIns="0" upright="1">
                      <a:spAutoFit/>
                    </wps:bodyPr>
                  </wps:wsp>
                </a:graphicData>
              </a:graphic>
            </wp:anchor>
          </w:drawing>
        </mc:Choice>
        <mc:Fallback>
          <w:pict>
            <v:shape id="文本框 1032"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qXm5zwAAAAUBAAAPAAAAAAAAAAEAIAAAACIAAABkcnMvZG93&#10;bnJldi54bWxQSwECFAAUAAAACACHTuJAu4jVN9ABAACqAwAADgAAAAAAAAABACAAAAAeAQAAZHJz&#10;L2Uyb0RvYy54bWxQSwUGAAAAAAYABgBZAQAAYAUAAAAA&#10;">
              <v:fill on="f" focussize="0,0"/>
              <v:stroke on="f"/>
              <v:imagedata o:title=""/>
              <o:lock v:ext="edit" aspectratio="f"/>
              <v:textbox inset="0mm,0mm,0mm,0mm" style="mso-fit-shape-to-text:t;">
                <w:txbxContent>
                  <w:p w14:paraId="54E66E52">
                    <w:pPr>
                      <w:pStyle w:val="28"/>
                      <w:rPr>
                        <w:sz w:val="24"/>
                        <w:szCs w:val="24"/>
                      </w:rPr>
                    </w:pPr>
                    <w:r>
                      <w:rPr>
                        <w:rFonts w:hint="eastAsia"/>
                        <w:sz w:val="24"/>
                        <w:szCs w:val="24"/>
                      </w:rPr>
                      <w:fldChar w:fldCharType="begin"/>
                    </w:r>
                    <w:r>
                      <w:rPr>
                        <w:rFonts w:hint="eastAsia"/>
                        <w:sz w:val="24"/>
                        <w:szCs w:val="24"/>
                      </w:rPr>
                      <w:instrText xml:space="preserve"> PAGE  \* MERGEFORMAT </w:instrText>
                    </w:r>
                    <w:r>
                      <w:rPr>
                        <w:rFonts w:hint="eastAsia"/>
                        <w:sz w:val="24"/>
                        <w:szCs w:val="24"/>
                      </w:rPr>
                      <w:fldChar w:fldCharType="separate"/>
                    </w:r>
                    <w:r>
                      <w:rPr>
                        <w:sz w:val="24"/>
                        <w:szCs w:val="24"/>
                      </w:rPr>
                      <w:t>1</w:t>
                    </w:r>
                    <w:r>
                      <w:rPr>
                        <w:rFonts w:hint="eastAsia"/>
                        <w:sz w:val="24"/>
                        <w:szCs w:val="24"/>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D8256D">
    <w:pPr>
      <w:tabs>
        <w:tab w:val="center" w:pos="4153"/>
        <w:tab w:val="right" w:pos="8306"/>
      </w:tabs>
      <w:snapToGrid w:val="0"/>
      <w:jc w:val="left"/>
      <w:rPr>
        <w:sz w:val="18"/>
        <w:szCs w:val="18"/>
      </w:rPr>
    </w:pPr>
    <w:r>
      <w:rPr>
        <w:sz w:val="18"/>
        <w:szCs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6C8C495">
                          <w:pPr>
                            <w:tabs>
                              <w:tab w:val="center" w:pos="4153"/>
                              <w:tab w:val="right" w:pos="8306"/>
                            </w:tabs>
                            <w:snapToGrid w:val="0"/>
                            <w:jc w:val="left"/>
                            <w:rPr>
                              <w:sz w:val="18"/>
                              <w:szCs w:val="18"/>
                            </w:rPr>
                          </w:pPr>
                          <w:r>
                            <w:rPr>
                              <w:sz w:val="18"/>
                              <w:szCs w:val="18"/>
                            </w:rPr>
                            <w:fldChar w:fldCharType="begin"/>
                          </w:r>
                          <w:r>
                            <w:rPr>
                              <w:sz w:val="18"/>
                              <w:szCs w:val="18"/>
                            </w:rPr>
                            <w:instrText xml:space="preserve"> PAGE  \* MERGEFORMAT </w:instrText>
                          </w:r>
                          <w:r>
                            <w:rPr>
                              <w:sz w:val="18"/>
                              <w:szCs w:val="18"/>
                            </w:rPr>
                            <w:fldChar w:fldCharType="separate"/>
                          </w:r>
                          <w:r>
                            <w:rPr>
                              <w:sz w:val="18"/>
                              <w:szCs w:val="18"/>
                            </w:rPr>
                            <w:t>40</w:t>
                          </w:r>
                          <w:r>
                            <w:rPr>
                              <w:sz w:val="18"/>
                              <w:szCs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B4HF0wAgAAY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eEybMsbPXO&#10;8ggd5fF2dQyQs1M5itIrge7EDWav69PwTuJw/7nvoh7/D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FB4HF0wAgAAYwQAAA4AAAAAAAAAAQAgAAAAHwEAAGRycy9lMm9Eb2MueG1sUEsFBgAA&#10;AAAGAAYAWQEAAMEFAAAAAA==&#10;">
              <v:fill on="f" focussize="0,0"/>
              <v:stroke on="f" weight="0.5pt"/>
              <v:imagedata o:title=""/>
              <o:lock v:ext="edit" aspectratio="f"/>
              <v:textbox inset="0mm,0mm,0mm,0mm" style="mso-fit-shape-to-text:t;">
                <w:txbxContent>
                  <w:p w14:paraId="36C8C495">
                    <w:pPr>
                      <w:tabs>
                        <w:tab w:val="center" w:pos="4153"/>
                        <w:tab w:val="right" w:pos="8306"/>
                      </w:tabs>
                      <w:snapToGrid w:val="0"/>
                      <w:jc w:val="left"/>
                      <w:rPr>
                        <w:sz w:val="18"/>
                        <w:szCs w:val="18"/>
                      </w:rPr>
                    </w:pPr>
                    <w:r>
                      <w:rPr>
                        <w:sz w:val="18"/>
                        <w:szCs w:val="18"/>
                      </w:rPr>
                      <w:fldChar w:fldCharType="begin"/>
                    </w:r>
                    <w:r>
                      <w:rPr>
                        <w:sz w:val="18"/>
                        <w:szCs w:val="18"/>
                      </w:rPr>
                      <w:instrText xml:space="preserve"> PAGE  \* MERGEFORMAT </w:instrText>
                    </w:r>
                    <w:r>
                      <w:rPr>
                        <w:sz w:val="18"/>
                        <w:szCs w:val="18"/>
                      </w:rPr>
                      <w:fldChar w:fldCharType="separate"/>
                    </w:r>
                    <w:r>
                      <w:rPr>
                        <w:sz w:val="18"/>
                        <w:szCs w:val="18"/>
                      </w:rPr>
                      <w:t>40</w:t>
                    </w:r>
                    <w:r>
                      <w:rPr>
                        <w:sz w:val="18"/>
                        <w:szCs w:val="1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0A11C9">
    <w:pPr>
      <w:pStyle w:val="28"/>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5865936">
                          <w:pPr>
                            <w:pStyle w:val="28"/>
                          </w:pPr>
                          <w:r>
                            <w:fldChar w:fldCharType="begin"/>
                          </w:r>
                          <w:r>
                            <w:instrText xml:space="preserve"> PAGE  \* MERGEFORMAT </w:instrText>
                          </w:r>
                          <w:r>
                            <w:fldChar w:fldCharType="separate"/>
                          </w:r>
                          <w:r>
                            <w:t>41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2GuRsyAgAAZ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HYa5GzICAABnBAAADgAAAAAAAAABACAAAAAfAQAAZHJzL2Uyb0RvYy54bWxQSwUG&#10;AAAAAAYABgBZAQAAwwUAAAAA&#10;">
              <v:fill on="f" focussize="0,0"/>
              <v:stroke on="f" weight="0.5pt"/>
              <v:imagedata o:title=""/>
              <o:lock v:ext="edit" aspectratio="f"/>
              <v:textbox inset="0mm,0mm,0mm,0mm" style="mso-fit-shape-to-text:t;">
                <w:txbxContent>
                  <w:p w14:paraId="55865936">
                    <w:pPr>
                      <w:pStyle w:val="28"/>
                    </w:pPr>
                    <w:r>
                      <w:fldChar w:fldCharType="begin"/>
                    </w:r>
                    <w:r>
                      <w:instrText xml:space="preserve"> PAGE  \* MERGEFORMAT </w:instrText>
                    </w:r>
                    <w:r>
                      <w:fldChar w:fldCharType="separate"/>
                    </w:r>
                    <w:r>
                      <w:t>41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5F82A">
    <w:pPr>
      <w:pStyle w:val="28"/>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1D5EA31">
                          <w:pPr>
                            <w:pStyle w:val="28"/>
                          </w:pPr>
                          <w:r>
                            <w:fldChar w:fldCharType="begin"/>
                          </w:r>
                          <w:r>
                            <w:instrText xml:space="preserve"> PAGE  \* MERGEFORMAT </w:instrText>
                          </w:r>
                          <w:r>
                            <w:fldChar w:fldCharType="separate"/>
                          </w:r>
                          <w:r>
                            <w:t>59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hXZ18zAgAAZw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hXZ18zAgAAZwQAAA4AAAAAAAAAAQAgAAAAHwEAAGRycy9lMm9Eb2MueG1sUEsF&#10;BgAAAAAGAAYAWQEAAMQFAAAAAA==&#10;">
              <v:fill on="f" focussize="0,0"/>
              <v:stroke on="f" weight="0.5pt"/>
              <v:imagedata o:title=""/>
              <o:lock v:ext="edit" aspectratio="f"/>
              <v:textbox inset="0mm,0mm,0mm,0mm" style="mso-fit-shape-to-text:t;">
                <w:txbxContent>
                  <w:p w14:paraId="31D5EA31">
                    <w:pPr>
                      <w:pStyle w:val="28"/>
                    </w:pPr>
                    <w:r>
                      <w:fldChar w:fldCharType="begin"/>
                    </w:r>
                    <w:r>
                      <w:instrText xml:space="preserve"> PAGE  \* MERGEFORMAT </w:instrText>
                    </w:r>
                    <w:r>
                      <w:fldChar w:fldCharType="separate"/>
                    </w:r>
                    <w:r>
                      <w:t>59</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C7024D">
    <w:pPr>
      <w:pStyle w:val="28"/>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221EAD3">
                          <w:pPr>
                            <w:pStyle w:val="28"/>
                          </w:pPr>
                          <w:r>
                            <w:fldChar w:fldCharType="begin"/>
                          </w:r>
                          <w:r>
                            <w:instrText xml:space="preserve"> PAGE  \* MERGEFORMAT </w:instrText>
                          </w:r>
                          <w:r>
                            <w:fldChar w:fldCharType="separate"/>
                          </w:r>
                          <w:r>
                            <w:t>85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v:fill on="f" focussize="0,0"/>
              <v:stroke on="f" weight="0.5pt"/>
              <v:imagedata o:title=""/>
              <o:lock v:ext="edit" aspectratio="f"/>
              <v:textbox inset="0mm,0mm,0mm,0mm" style="mso-fit-shape-to-text:t;">
                <w:txbxContent>
                  <w:p w14:paraId="3221EAD3">
                    <w:pPr>
                      <w:pStyle w:val="28"/>
                    </w:pPr>
                    <w:r>
                      <w:fldChar w:fldCharType="begin"/>
                    </w:r>
                    <w:r>
                      <w:instrText xml:space="preserve"> PAGE  \* MERGEFORMAT </w:instrText>
                    </w:r>
                    <w:r>
                      <w:fldChar w:fldCharType="separate"/>
                    </w:r>
                    <w:r>
                      <w:t>85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46E0AA">
    <w:pPr>
      <w:pStyle w:val="28"/>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3" name="文本框 1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08543E1">
                          <w:pPr>
                            <w:pStyle w:val="28"/>
                          </w:pPr>
                          <w:r>
                            <w:fldChar w:fldCharType="begin"/>
                          </w:r>
                          <w:r>
                            <w:instrText xml:space="preserve"> PAGE  \* MERGEFORMAT </w:instrText>
                          </w:r>
                          <w:r>
                            <w:fldChar w:fldCharType="separate"/>
                          </w:r>
                          <w:r>
                            <w:t>85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yg7WkzAgAAZ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yg7WkzAgAAZwQAAA4AAAAAAAAAAQAgAAAAHwEAAGRycy9lMm9Eb2MueG1sUEsF&#10;BgAAAAAGAAYAWQEAAMQFAAAAAA==&#10;">
              <v:fill on="f" focussize="0,0"/>
              <v:stroke on="f" weight="0.5pt"/>
              <v:imagedata o:title=""/>
              <o:lock v:ext="edit" aspectratio="f"/>
              <v:textbox inset="0mm,0mm,0mm,0mm" style="mso-fit-shape-to-text:t;">
                <w:txbxContent>
                  <w:p w14:paraId="108543E1">
                    <w:pPr>
                      <w:pStyle w:val="28"/>
                    </w:pPr>
                    <w:r>
                      <w:fldChar w:fldCharType="begin"/>
                    </w:r>
                    <w:r>
                      <w:instrText xml:space="preserve"> PAGE  \* MERGEFORMAT </w:instrText>
                    </w:r>
                    <w:r>
                      <w:fldChar w:fldCharType="separate"/>
                    </w:r>
                    <w:r>
                      <w:t>85</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718F0">
    <w:pPr>
      <w:pStyle w:val="29"/>
      <w:pBdr>
        <w:bottom w:val="none" w:color="auto" w:sz="0" w:space="0"/>
      </w:pBdr>
      <w:jc w:val="right"/>
    </w:pPr>
    <w:r>
      <w:rPr>
        <w:rFonts w:hint="eastAsia"/>
      </w:rPr>
      <w:t>邵阳市政府采购中心</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C11B69">
    <w:pPr>
      <w:pStyle w:val="2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B1F3C3">
    <w:pPr>
      <w:pBdr>
        <w:bottom w:val="single" w:color="auto" w:sz="6" w:space="1"/>
      </w:pBdr>
      <w:tabs>
        <w:tab w:val="center" w:pos="4153"/>
        <w:tab w:val="right" w:pos="8306"/>
      </w:tabs>
      <w:snapToGrid w:val="0"/>
      <w:jc w:val="center"/>
      <w:rPr>
        <w:sz w:val="18"/>
        <w:szCs w:val="18"/>
      </w:rPr>
    </w:pPr>
  </w:p>
  <w:p w14:paraId="20AE065E">
    <w:pPr>
      <w:pBdr>
        <w:bottom w:val="single" w:color="auto" w:sz="6" w:space="1"/>
      </w:pBdr>
      <w:tabs>
        <w:tab w:val="center" w:pos="4153"/>
        <w:tab w:val="right" w:pos="8306"/>
      </w:tabs>
      <w:snapToGrid w:val="0"/>
      <w:jc w:val="center"/>
      <w:rPr>
        <w:sz w:val="18"/>
        <w:szCs w:val="18"/>
      </w:rPr>
    </w:pPr>
  </w:p>
  <w:p w14:paraId="28C76318">
    <w:pPr>
      <w:pBdr>
        <w:bottom w:val="single" w:color="auto" w:sz="6" w:space="1"/>
      </w:pBdr>
      <w:tabs>
        <w:tab w:val="center" w:pos="4153"/>
        <w:tab w:val="right" w:pos="8306"/>
      </w:tabs>
      <w:snapToGrid w:val="0"/>
      <w:jc w:val="center"/>
      <w:rPr>
        <w:sz w:val="18"/>
        <w:szCs w:val="18"/>
      </w:rPr>
    </w:pPr>
  </w:p>
  <w:p w14:paraId="101421DA">
    <w:pPr>
      <w:pBdr>
        <w:bottom w:val="single" w:color="auto" w:sz="6" w:space="1"/>
      </w:pBdr>
      <w:tabs>
        <w:tab w:val="center" w:pos="4153"/>
        <w:tab w:val="right" w:pos="8306"/>
      </w:tabs>
      <w:snapToGrid w:val="0"/>
      <w:jc w:val="center"/>
      <w:rPr>
        <w:rFonts w:hint="eastAsia" w:eastAsia="宋体"/>
        <w:sz w:val="18"/>
        <w:szCs w:val="18"/>
        <w:lang w:eastAsia="zh-CN"/>
      </w:rPr>
    </w:pPr>
    <w:r>
      <w:rPr>
        <w:rFonts w:hint="eastAsia"/>
        <w:sz w:val="18"/>
        <w:szCs w:val="18"/>
        <w:lang w:eastAsia="zh-CN"/>
      </w:rPr>
      <w:t>邵阳市政府采购中心</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9D30D">
    <w:pPr>
      <w:pStyle w:val="29"/>
    </w:pPr>
  </w:p>
  <w:p w14:paraId="38BBA391">
    <w:pPr>
      <w:pStyle w:val="29"/>
      <w:rPr>
        <w:rFonts w:hint="eastAsia"/>
        <w:lang w:eastAsia="zh-CN"/>
      </w:rPr>
    </w:pPr>
    <w:r>
      <w:rPr>
        <w:rFonts w:hint="eastAsia"/>
        <w:lang w:eastAsia="zh-CN"/>
      </w:rPr>
      <w:t>邵阳市政府采购中心</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562761">
    <w:pPr>
      <w:pStyle w:val="29"/>
    </w:pPr>
  </w:p>
  <w:p w14:paraId="1DA5771F">
    <w:pPr>
      <w:pStyle w:val="29"/>
      <w:rPr>
        <w:rFonts w:hint="eastAsia"/>
        <w:lang w:eastAsia="zh-CN"/>
      </w:rPr>
    </w:pPr>
    <w:r>
      <w:rPr>
        <w:rFonts w:hint="eastAsia"/>
        <w:lang w:eastAsia="zh-CN"/>
      </w:rPr>
      <w:t>邵阳市政府采购中心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CED18"/>
    <w:multiLevelType w:val="singleLevel"/>
    <w:tmpl w:val="806CED18"/>
    <w:lvl w:ilvl="0" w:tentative="0">
      <w:start w:val="1"/>
      <w:numFmt w:val="chineseCounting"/>
      <w:suff w:val="nothing"/>
      <w:lvlText w:val="%1、"/>
      <w:lvlJc w:val="left"/>
      <w:rPr>
        <w:rFonts w:hint="eastAsia"/>
      </w:rPr>
    </w:lvl>
  </w:abstractNum>
  <w:abstractNum w:abstractNumId="1">
    <w:nsid w:val="8145423F"/>
    <w:multiLevelType w:val="singleLevel"/>
    <w:tmpl w:val="8145423F"/>
    <w:lvl w:ilvl="0" w:tentative="0">
      <w:start w:val="1"/>
      <w:numFmt w:val="decimal"/>
      <w:suff w:val="nothing"/>
      <w:lvlText w:val="%1、"/>
      <w:lvlJc w:val="left"/>
    </w:lvl>
  </w:abstractNum>
  <w:abstractNum w:abstractNumId="2">
    <w:nsid w:val="832D27F2"/>
    <w:multiLevelType w:val="singleLevel"/>
    <w:tmpl w:val="832D27F2"/>
    <w:lvl w:ilvl="0" w:tentative="0">
      <w:start w:val="1"/>
      <w:numFmt w:val="decimal"/>
      <w:lvlText w:val="%1."/>
      <w:lvlJc w:val="left"/>
      <w:pPr>
        <w:tabs>
          <w:tab w:val="left" w:pos="312"/>
        </w:tabs>
      </w:pPr>
    </w:lvl>
  </w:abstractNum>
  <w:abstractNum w:abstractNumId="3">
    <w:nsid w:val="874C9784"/>
    <w:multiLevelType w:val="singleLevel"/>
    <w:tmpl w:val="874C9784"/>
    <w:lvl w:ilvl="0" w:tentative="0">
      <w:start w:val="19"/>
      <w:numFmt w:val="decimal"/>
      <w:suff w:val="space"/>
      <w:lvlText w:val="%1."/>
      <w:lvlJc w:val="left"/>
    </w:lvl>
  </w:abstractNum>
  <w:abstractNum w:abstractNumId="4">
    <w:nsid w:val="884B3075"/>
    <w:multiLevelType w:val="singleLevel"/>
    <w:tmpl w:val="884B3075"/>
    <w:lvl w:ilvl="0" w:tentative="0">
      <w:start w:val="1"/>
      <w:numFmt w:val="decimal"/>
      <w:suff w:val="nothing"/>
      <w:lvlText w:val="%1、"/>
      <w:lvlJc w:val="left"/>
    </w:lvl>
  </w:abstractNum>
  <w:abstractNum w:abstractNumId="5">
    <w:nsid w:val="8865399C"/>
    <w:multiLevelType w:val="singleLevel"/>
    <w:tmpl w:val="8865399C"/>
    <w:lvl w:ilvl="0" w:tentative="0">
      <w:start w:val="1"/>
      <w:numFmt w:val="decimal"/>
      <w:lvlText w:val="%1."/>
      <w:lvlJc w:val="left"/>
      <w:pPr>
        <w:tabs>
          <w:tab w:val="left" w:pos="312"/>
        </w:tabs>
      </w:pPr>
    </w:lvl>
  </w:abstractNum>
  <w:abstractNum w:abstractNumId="6">
    <w:nsid w:val="88A6CC5A"/>
    <w:multiLevelType w:val="singleLevel"/>
    <w:tmpl w:val="88A6CC5A"/>
    <w:lvl w:ilvl="0" w:tentative="0">
      <w:start w:val="2"/>
      <w:numFmt w:val="decimal"/>
      <w:suff w:val="nothing"/>
      <w:lvlText w:val="（%1）"/>
      <w:lvlJc w:val="left"/>
    </w:lvl>
  </w:abstractNum>
  <w:abstractNum w:abstractNumId="7">
    <w:nsid w:val="89A1F525"/>
    <w:multiLevelType w:val="singleLevel"/>
    <w:tmpl w:val="89A1F525"/>
    <w:lvl w:ilvl="0" w:tentative="0">
      <w:start w:val="1"/>
      <w:numFmt w:val="decimal"/>
      <w:lvlText w:val="%1."/>
      <w:lvlJc w:val="left"/>
      <w:pPr>
        <w:tabs>
          <w:tab w:val="left" w:pos="312"/>
        </w:tabs>
      </w:pPr>
    </w:lvl>
  </w:abstractNum>
  <w:abstractNum w:abstractNumId="8">
    <w:nsid w:val="8DDB1CF2"/>
    <w:multiLevelType w:val="singleLevel"/>
    <w:tmpl w:val="8DDB1CF2"/>
    <w:lvl w:ilvl="0" w:tentative="0">
      <w:start w:val="1"/>
      <w:numFmt w:val="decimal"/>
      <w:lvlText w:val="%1."/>
      <w:lvlJc w:val="left"/>
      <w:pPr>
        <w:tabs>
          <w:tab w:val="left" w:pos="312"/>
        </w:tabs>
      </w:pPr>
    </w:lvl>
  </w:abstractNum>
  <w:abstractNum w:abstractNumId="9">
    <w:nsid w:val="8EA8B548"/>
    <w:multiLevelType w:val="singleLevel"/>
    <w:tmpl w:val="8EA8B548"/>
    <w:lvl w:ilvl="0" w:tentative="0">
      <w:start w:val="1"/>
      <w:numFmt w:val="decimal"/>
      <w:lvlText w:val="%1."/>
      <w:lvlJc w:val="left"/>
      <w:pPr>
        <w:tabs>
          <w:tab w:val="left" w:pos="312"/>
        </w:tabs>
      </w:pPr>
    </w:lvl>
  </w:abstractNum>
  <w:abstractNum w:abstractNumId="10">
    <w:nsid w:val="8F920F8F"/>
    <w:multiLevelType w:val="singleLevel"/>
    <w:tmpl w:val="8F920F8F"/>
    <w:lvl w:ilvl="0" w:tentative="0">
      <w:start w:val="1"/>
      <w:numFmt w:val="decimal"/>
      <w:suff w:val="nothing"/>
      <w:lvlText w:val="%1、"/>
      <w:lvlJc w:val="left"/>
    </w:lvl>
  </w:abstractNum>
  <w:abstractNum w:abstractNumId="11">
    <w:nsid w:val="92336D0E"/>
    <w:multiLevelType w:val="singleLevel"/>
    <w:tmpl w:val="92336D0E"/>
    <w:lvl w:ilvl="0" w:tentative="0">
      <w:start w:val="1"/>
      <w:numFmt w:val="decimal"/>
      <w:suff w:val="nothing"/>
      <w:lvlText w:val="%1、"/>
      <w:lvlJc w:val="left"/>
    </w:lvl>
  </w:abstractNum>
  <w:abstractNum w:abstractNumId="12">
    <w:nsid w:val="92BA3163"/>
    <w:multiLevelType w:val="singleLevel"/>
    <w:tmpl w:val="92BA3163"/>
    <w:lvl w:ilvl="0" w:tentative="0">
      <w:start w:val="1"/>
      <w:numFmt w:val="decimal"/>
      <w:lvlText w:val="%1."/>
      <w:lvlJc w:val="left"/>
      <w:pPr>
        <w:tabs>
          <w:tab w:val="left" w:pos="312"/>
        </w:tabs>
      </w:pPr>
    </w:lvl>
  </w:abstractNum>
  <w:abstractNum w:abstractNumId="13">
    <w:nsid w:val="932AD1E6"/>
    <w:multiLevelType w:val="singleLevel"/>
    <w:tmpl w:val="932AD1E6"/>
    <w:lvl w:ilvl="0" w:tentative="0">
      <w:start w:val="1"/>
      <w:numFmt w:val="decimal"/>
      <w:suff w:val="nothing"/>
      <w:lvlText w:val="%1、"/>
      <w:lvlJc w:val="left"/>
    </w:lvl>
  </w:abstractNum>
  <w:abstractNum w:abstractNumId="14">
    <w:nsid w:val="933EC2A2"/>
    <w:multiLevelType w:val="singleLevel"/>
    <w:tmpl w:val="933EC2A2"/>
    <w:lvl w:ilvl="0" w:tentative="0">
      <w:start w:val="1"/>
      <w:numFmt w:val="decimal"/>
      <w:lvlText w:val="%1."/>
      <w:lvlJc w:val="left"/>
      <w:pPr>
        <w:tabs>
          <w:tab w:val="left" w:pos="312"/>
        </w:tabs>
      </w:pPr>
    </w:lvl>
  </w:abstractNum>
  <w:abstractNum w:abstractNumId="15">
    <w:nsid w:val="987AECFD"/>
    <w:multiLevelType w:val="singleLevel"/>
    <w:tmpl w:val="987AECFD"/>
    <w:lvl w:ilvl="0" w:tentative="0">
      <w:start w:val="1"/>
      <w:numFmt w:val="decimal"/>
      <w:suff w:val="nothing"/>
      <w:lvlText w:val="%1、"/>
      <w:lvlJc w:val="left"/>
    </w:lvl>
  </w:abstractNum>
  <w:abstractNum w:abstractNumId="16">
    <w:nsid w:val="9C3C885B"/>
    <w:multiLevelType w:val="singleLevel"/>
    <w:tmpl w:val="9C3C885B"/>
    <w:lvl w:ilvl="0" w:tentative="0">
      <w:start w:val="1"/>
      <w:numFmt w:val="decimal"/>
      <w:suff w:val="nothing"/>
      <w:lvlText w:val="%1、"/>
      <w:lvlJc w:val="left"/>
    </w:lvl>
  </w:abstractNum>
  <w:abstractNum w:abstractNumId="17">
    <w:nsid w:val="A3FC9D36"/>
    <w:multiLevelType w:val="singleLevel"/>
    <w:tmpl w:val="A3FC9D36"/>
    <w:lvl w:ilvl="0" w:tentative="0">
      <w:start w:val="1"/>
      <w:numFmt w:val="decimal"/>
      <w:lvlText w:val="%1."/>
      <w:lvlJc w:val="left"/>
      <w:pPr>
        <w:tabs>
          <w:tab w:val="left" w:pos="312"/>
        </w:tabs>
      </w:pPr>
    </w:lvl>
  </w:abstractNum>
  <w:abstractNum w:abstractNumId="18">
    <w:nsid w:val="A4C4C8F3"/>
    <w:multiLevelType w:val="singleLevel"/>
    <w:tmpl w:val="A4C4C8F3"/>
    <w:lvl w:ilvl="0" w:tentative="0">
      <w:start w:val="1"/>
      <w:numFmt w:val="decimal"/>
      <w:suff w:val="nothing"/>
      <w:lvlText w:val="%1、"/>
      <w:lvlJc w:val="left"/>
    </w:lvl>
  </w:abstractNum>
  <w:abstractNum w:abstractNumId="19">
    <w:nsid w:val="A5776410"/>
    <w:multiLevelType w:val="singleLevel"/>
    <w:tmpl w:val="A5776410"/>
    <w:lvl w:ilvl="0" w:tentative="0">
      <w:start w:val="1"/>
      <w:numFmt w:val="decimal"/>
      <w:lvlText w:val="%1."/>
      <w:lvlJc w:val="left"/>
      <w:pPr>
        <w:tabs>
          <w:tab w:val="left" w:pos="312"/>
        </w:tabs>
      </w:pPr>
    </w:lvl>
  </w:abstractNum>
  <w:abstractNum w:abstractNumId="20">
    <w:nsid w:val="A5CFAF97"/>
    <w:multiLevelType w:val="singleLevel"/>
    <w:tmpl w:val="A5CFAF97"/>
    <w:lvl w:ilvl="0" w:tentative="0">
      <w:start w:val="1"/>
      <w:numFmt w:val="decimal"/>
      <w:lvlText w:val="%1."/>
      <w:lvlJc w:val="left"/>
      <w:pPr>
        <w:tabs>
          <w:tab w:val="left" w:pos="312"/>
        </w:tabs>
      </w:pPr>
    </w:lvl>
  </w:abstractNum>
  <w:abstractNum w:abstractNumId="21">
    <w:nsid w:val="A67C225E"/>
    <w:multiLevelType w:val="singleLevel"/>
    <w:tmpl w:val="A67C225E"/>
    <w:lvl w:ilvl="0" w:tentative="0">
      <w:start w:val="1"/>
      <w:numFmt w:val="decimal"/>
      <w:lvlText w:val="%1."/>
      <w:lvlJc w:val="left"/>
      <w:pPr>
        <w:tabs>
          <w:tab w:val="left" w:pos="312"/>
        </w:tabs>
      </w:pPr>
    </w:lvl>
  </w:abstractNum>
  <w:abstractNum w:abstractNumId="22">
    <w:nsid w:val="A7E67230"/>
    <w:multiLevelType w:val="singleLevel"/>
    <w:tmpl w:val="A7E67230"/>
    <w:lvl w:ilvl="0" w:tentative="0">
      <w:start w:val="1"/>
      <w:numFmt w:val="decimal"/>
      <w:lvlText w:val="%1."/>
      <w:lvlJc w:val="left"/>
      <w:pPr>
        <w:tabs>
          <w:tab w:val="left" w:pos="312"/>
        </w:tabs>
      </w:pPr>
    </w:lvl>
  </w:abstractNum>
  <w:abstractNum w:abstractNumId="23">
    <w:nsid w:val="A7EDEA3A"/>
    <w:multiLevelType w:val="singleLevel"/>
    <w:tmpl w:val="A7EDEA3A"/>
    <w:lvl w:ilvl="0" w:tentative="0">
      <w:start w:val="1"/>
      <w:numFmt w:val="decimal"/>
      <w:lvlText w:val="%1."/>
      <w:lvlJc w:val="left"/>
      <w:pPr>
        <w:tabs>
          <w:tab w:val="left" w:pos="312"/>
        </w:tabs>
      </w:pPr>
    </w:lvl>
  </w:abstractNum>
  <w:abstractNum w:abstractNumId="24">
    <w:nsid w:val="A85E64E0"/>
    <w:multiLevelType w:val="singleLevel"/>
    <w:tmpl w:val="A85E64E0"/>
    <w:lvl w:ilvl="0" w:tentative="0">
      <w:start w:val="1"/>
      <w:numFmt w:val="decimal"/>
      <w:lvlText w:val="%1."/>
      <w:lvlJc w:val="left"/>
      <w:pPr>
        <w:tabs>
          <w:tab w:val="left" w:pos="312"/>
        </w:tabs>
      </w:pPr>
    </w:lvl>
  </w:abstractNum>
  <w:abstractNum w:abstractNumId="25">
    <w:nsid w:val="AB5D182F"/>
    <w:multiLevelType w:val="singleLevel"/>
    <w:tmpl w:val="AB5D182F"/>
    <w:lvl w:ilvl="0" w:tentative="0">
      <w:start w:val="1"/>
      <w:numFmt w:val="decimal"/>
      <w:suff w:val="nothing"/>
      <w:lvlText w:val="%1、"/>
      <w:lvlJc w:val="left"/>
    </w:lvl>
  </w:abstractNum>
  <w:abstractNum w:abstractNumId="26">
    <w:nsid w:val="AC32CF36"/>
    <w:multiLevelType w:val="singleLevel"/>
    <w:tmpl w:val="AC32CF36"/>
    <w:lvl w:ilvl="0" w:tentative="0">
      <w:start w:val="1"/>
      <w:numFmt w:val="decimal"/>
      <w:lvlText w:val="%1."/>
      <w:lvlJc w:val="left"/>
      <w:pPr>
        <w:tabs>
          <w:tab w:val="left" w:pos="312"/>
        </w:tabs>
      </w:pPr>
    </w:lvl>
  </w:abstractNum>
  <w:abstractNum w:abstractNumId="27">
    <w:nsid w:val="AD3196C2"/>
    <w:multiLevelType w:val="singleLevel"/>
    <w:tmpl w:val="AD3196C2"/>
    <w:lvl w:ilvl="0" w:tentative="0">
      <w:start w:val="1"/>
      <w:numFmt w:val="decimal"/>
      <w:suff w:val="nothing"/>
      <w:lvlText w:val="%1、"/>
      <w:lvlJc w:val="left"/>
    </w:lvl>
  </w:abstractNum>
  <w:abstractNum w:abstractNumId="28">
    <w:nsid w:val="AF1912B0"/>
    <w:multiLevelType w:val="singleLevel"/>
    <w:tmpl w:val="AF1912B0"/>
    <w:lvl w:ilvl="0" w:tentative="0">
      <w:start w:val="1"/>
      <w:numFmt w:val="decimal"/>
      <w:lvlText w:val="%1."/>
      <w:lvlJc w:val="left"/>
      <w:pPr>
        <w:tabs>
          <w:tab w:val="left" w:pos="312"/>
        </w:tabs>
      </w:pPr>
    </w:lvl>
  </w:abstractNum>
  <w:abstractNum w:abstractNumId="29">
    <w:nsid w:val="B0CF2324"/>
    <w:multiLevelType w:val="singleLevel"/>
    <w:tmpl w:val="B0CF2324"/>
    <w:lvl w:ilvl="0" w:tentative="0">
      <w:start w:val="1"/>
      <w:numFmt w:val="decimal"/>
      <w:lvlText w:val="%1."/>
      <w:lvlJc w:val="left"/>
      <w:pPr>
        <w:tabs>
          <w:tab w:val="left" w:pos="312"/>
        </w:tabs>
      </w:pPr>
    </w:lvl>
  </w:abstractNum>
  <w:abstractNum w:abstractNumId="30">
    <w:nsid w:val="B279065A"/>
    <w:multiLevelType w:val="singleLevel"/>
    <w:tmpl w:val="B279065A"/>
    <w:lvl w:ilvl="0" w:tentative="0">
      <w:start w:val="1"/>
      <w:numFmt w:val="decimal"/>
      <w:lvlText w:val="%1."/>
      <w:lvlJc w:val="left"/>
      <w:pPr>
        <w:tabs>
          <w:tab w:val="left" w:pos="312"/>
        </w:tabs>
      </w:pPr>
    </w:lvl>
  </w:abstractNum>
  <w:abstractNum w:abstractNumId="31">
    <w:nsid w:val="B431C28A"/>
    <w:multiLevelType w:val="singleLevel"/>
    <w:tmpl w:val="B431C28A"/>
    <w:lvl w:ilvl="0" w:tentative="0">
      <w:start w:val="1"/>
      <w:numFmt w:val="decimal"/>
      <w:lvlText w:val="%1."/>
      <w:lvlJc w:val="left"/>
      <w:pPr>
        <w:tabs>
          <w:tab w:val="left" w:pos="312"/>
        </w:tabs>
      </w:pPr>
    </w:lvl>
  </w:abstractNum>
  <w:abstractNum w:abstractNumId="32">
    <w:nsid w:val="B5E6BD11"/>
    <w:multiLevelType w:val="singleLevel"/>
    <w:tmpl w:val="B5E6BD11"/>
    <w:lvl w:ilvl="0" w:tentative="0">
      <w:start w:val="1"/>
      <w:numFmt w:val="decimal"/>
      <w:lvlText w:val="%1."/>
      <w:lvlJc w:val="left"/>
      <w:pPr>
        <w:tabs>
          <w:tab w:val="left" w:pos="312"/>
        </w:tabs>
      </w:pPr>
    </w:lvl>
  </w:abstractNum>
  <w:abstractNum w:abstractNumId="33">
    <w:nsid w:val="B68789FD"/>
    <w:multiLevelType w:val="singleLevel"/>
    <w:tmpl w:val="B68789FD"/>
    <w:lvl w:ilvl="0" w:tentative="0">
      <w:start w:val="1"/>
      <w:numFmt w:val="decimal"/>
      <w:lvlText w:val="%1."/>
      <w:lvlJc w:val="left"/>
      <w:pPr>
        <w:tabs>
          <w:tab w:val="left" w:pos="312"/>
        </w:tabs>
      </w:pPr>
    </w:lvl>
  </w:abstractNum>
  <w:abstractNum w:abstractNumId="34">
    <w:nsid w:val="B8ED6C35"/>
    <w:multiLevelType w:val="singleLevel"/>
    <w:tmpl w:val="B8ED6C35"/>
    <w:lvl w:ilvl="0" w:tentative="0">
      <w:start w:val="1"/>
      <w:numFmt w:val="decimal"/>
      <w:lvlText w:val="%1."/>
      <w:lvlJc w:val="left"/>
      <w:pPr>
        <w:tabs>
          <w:tab w:val="left" w:pos="312"/>
        </w:tabs>
      </w:pPr>
    </w:lvl>
  </w:abstractNum>
  <w:abstractNum w:abstractNumId="35">
    <w:nsid w:val="BCC0C870"/>
    <w:multiLevelType w:val="singleLevel"/>
    <w:tmpl w:val="BCC0C870"/>
    <w:lvl w:ilvl="0" w:tentative="0">
      <w:start w:val="1"/>
      <w:numFmt w:val="decimal"/>
      <w:suff w:val="nothing"/>
      <w:lvlText w:val="%1、"/>
      <w:lvlJc w:val="left"/>
    </w:lvl>
  </w:abstractNum>
  <w:abstractNum w:abstractNumId="36">
    <w:nsid w:val="BD309BF6"/>
    <w:multiLevelType w:val="singleLevel"/>
    <w:tmpl w:val="BD309BF6"/>
    <w:lvl w:ilvl="0" w:tentative="0">
      <w:start w:val="1"/>
      <w:numFmt w:val="decimal"/>
      <w:lvlText w:val="%1."/>
      <w:lvlJc w:val="left"/>
      <w:pPr>
        <w:tabs>
          <w:tab w:val="left" w:pos="312"/>
        </w:tabs>
      </w:pPr>
    </w:lvl>
  </w:abstractNum>
  <w:abstractNum w:abstractNumId="37">
    <w:nsid w:val="BDA0F6FA"/>
    <w:multiLevelType w:val="singleLevel"/>
    <w:tmpl w:val="BDA0F6FA"/>
    <w:lvl w:ilvl="0" w:tentative="0">
      <w:start w:val="1"/>
      <w:numFmt w:val="decimal"/>
      <w:lvlText w:val="%1."/>
      <w:lvlJc w:val="left"/>
      <w:pPr>
        <w:tabs>
          <w:tab w:val="left" w:pos="312"/>
        </w:tabs>
      </w:pPr>
    </w:lvl>
  </w:abstractNum>
  <w:abstractNum w:abstractNumId="38">
    <w:nsid w:val="BDA4362E"/>
    <w:multiLevelType w:val="singleLevel"/>
    <w:tmpl w:val="BDA4362E"/>
    <w:lvl w:ilvl="0" w:tentative="0">
      <w:start w:val="1"/>
      <w:numFmt w:val="decimal"/>
      <w:lvlText w:val="%1."/>
      <w:lvlJc w:val="left"/>
      <w:pPr>
        <w:tabs>
          <w:tab w:val="left" w:pos="312"/>
        </w:tabs>
      </w:pPr>
    </w:lvl>
  </w:abstractNum>
  <w:abstractNum w:abstractNumId="39">
    <w:nsid w:val="BF6BC116"/>
    <w:multiLevelType w:val="singleLevel"/>
    <w:tmpl w:val="BF6BC116"/>
    <w:lvl w:ilvl="0" w:tentative="0">
      <w:start w:val="16"/>
      <w:numFmt w:val="decimal"/>
      <w:suff w:val="space"/>
      <w:lvlText w:val="%1."/>
      <w:lvlJc w:val="left"/>
    </w:lvl>
  </w:abstractNum>
  <w:abstractNum w:abstractNumId="40">
    <w:nsid w:val="C02E8968"/>
    <w:multiLevelType w:val="singleLevel"/>
    <w:tmpl w:val="C02E8968"/>
    <w:lvl w:ilvl="0" w:tentative="0">
      <w:start w:val="2"/>
      <w:numFmt w:val="decimal"/>
      <w:suff w:val="nothing"/>
      <w:lvlText w:val="%1、"/>
      <w:lvlJc w:val="left"/>
    </w:lvl>
  </w:abstractNum>
  <w:abstractNum w:abstractNumId="41">
    <w:nsid w:val="C0BA7655"/>
    <w:multiLevelType w:val="singleLevel"/>
    <w:tmpl w:val="C0BA7655"/>
    <w:lvl w:ilvl="0" w:tentative="0">
      <w:start w:val="1"/>
      <w:numFmt w:val="decimal"/>
      <w:lvlText w:val="%1."/>
      <w:lvlJc w:val="left"/>
      <w:pPr>
        <w:tabs>
          <w:tab w:val="left" w:pos="312"/>
        </w:tabs>
      </w:pPr>
    </w:lvl>
  </w:abstractNum>
  <w:abstractNum w:abstractNumId="42">
    <w:nsid w:val="C0FADA5E"/>
    <w:multiLevelType w:val="singleLevel"/>
    <w:tmpl w:val="C0FADA5E"/>
    <w:lvl w:ilvl="0" w:tentative="0">
      <w:start w:val="1"/>
      <w:numFmt w:val="decimal"/>
      <w:lvlText w:val="%1."/>
      <w:lvlJc w:val="left"/>
      <w:pPr>
        <w:tabs>
          <w:tab w:val="left" w:pos="312"/>
        </w:tabs>
      </w:pPr>
    </w:lvl>
  </w:abstractNum>
  <w:abstractNum w:abstractNumId="43">
    <w:nsid w:val="C5ACE326"/>
    <w:multiLevelType w:val="singleLevel"/>
    <w:tmpl w:val="C5ACE326"/>
    <w:lvl w:ilvl="0" w:tentative="0">
      <w:start w:val="1"/>
      <w:numFmt w:val="decimal"/>
      <w:lvlText w:val="%1."/>
      <w:lvlJc w:val="left"/>
      <w:pPr>
        <w:tabs>
          <w:tab w:val="left" w:pos="312"/>
        </w:tabs>
      </w:pPr>
    </w:lvl>
  </w:abstractNum>
  <w:abstractNum w:abstractNumId="44">
    <w:nsid w:val="C5E9C4E8"/>
    <w:multiLevelType w:val="singleLevel"/>
    <w:tmpl w:val="C5E9C4E8"/>
    <w:lvl w:ilvl="0" w:tentative="0">
      <w:start w:val="1"/>
      <w:numFmt w:val="decimal"/>
      <w:lvlText w:val="%1."/>
      <w:lvlJc w:val="left"/>
      <w:pPr>
        <w:tabs>
          <w:tab w:val="left" w:pos="312"/>
        </w:tabs>
      </w:pPr>
    </w:lvl>
  </w:abstractNum>
  <w:abstractNum w:abstractNumId="45">
    <w:nsid w:val="C74820C6"/>
    <w:multiLevelType w:val="singleLevel"/>
    <w:tmpl w:val="C74820C6"/>
    <w:lvl w:ilvl="0" w:tentative="0">
      <w:start w:val="1"/>
      <w:numFmt w:val="decimal"/>
      <w:lvlText w:val="%1."/>
      <w:lvlJc w:val="left"/>
      <w:pPr>
        <w:tabs>
          <w:tab w:val="left" w:pos="312"/>
        </w:tabs>
      </w:pPr>
    </w:lvl>
  </w:abstractNum>
  <w:abstractNum w:abstractNumId="46">
    <w:nsid w:val="C7632937"/>
    <w:multiLevelType w:val="singleLevel"/>
    <w:tmpl w:val="C7632937"/>
    <w:lvl w:ilvl="0" w:tentative="0">
      <w:start w:val="1"/>
      <w:numFmt w:val="decimal"/>
      <w:lvlText w:val="%1."/>
      <w:lvlJc w:val="left"/>
      <w:pPr>
        <w:tabs>
          <w:tab w:val="left" w:pos="312"/>
        </w:tabs>
      </w:pPr>
    </w:lvl>
  </w:abstractNum>
  <w:abstractNum w:abstractNumId="47">
    <w:nsid w:val="C8E7170B"/>
    <w:multiLevelType w:val="singleLevel"/>
    <w:tmpl w:val="C8E7170B"/>
    <w:lvl w:ilvl="0" w:tentative="0">
      <w:start w:val="1"/>
      <w:numFmt w:val="decimal"/>
      <w:lvlText w:val="%1."/>
      <w:lvlJc w:val="left"/>
      <w:pPr>
        <w:tabs>
          <w:tab w:val="left" w:pos="312"/>
        </w:tabs>
      </w:pPr>
    </w:lvl>
  </w:abstractNum>
  <w:abstractNum w:abstractNumId="48">
    <w:nsid w:val="CAF2BFBB"/>
    <w:multiLevelType w:val="singleLevel"/>
    <w:tmpl w:val="CAF2BFBB"/>
    <w:lvl w:ilvl="0" w:tentative="0">
      <w:start w:val="1"/>
      <w:numFmt w:val="decimal"/>
      <w:lvlText w:val="%1."/>
      <w:lvlJc w:val="left"/>
      <w:pPr>
        <w:tabs>
          <w:tab w:val="left" w:pos="312"/>
        </w:tabs>
      </w:pPr>
    </w:lvl>
  </w:abstractNum>
  <w:abstractNum w:abstractNumId="49">
    <w:nsid w:val="CD94BF54"/>
    <w:multiLevelType w:val="singleLevel"/>
    <w:tmpl w:val="CD94BF54"/>
    <w:lvl w:ilvl="0" w:tentative="0">
      <w:start w:val="1"/>
      <w:numFmt w:val="decimal"/>
      <w:suff w:val="nothing"/>
      <w:lvlText w:val="%1、"/>
      <w:lvlJc w:val="left"/>
    </w:lvl>
  </w:abstractNum>
  <w:abstractNum w:abstractNumId="50">
    <w:nsid w:val="CFD4FC2A"/>
    <w:multiLevelType w:val="singleLevel"/>
    <w:tmpl w:val="CFD4FC2A"/>
    <w:lvl w:ilvl="0" w:tentative="0">
      <w:start w:val="1"/>
      <w:numFmt w:val="decimal"/>
      <w:suff w:val="nothing"/>
      <w:lvlText w:val="%1、"/>
      <w:lvlJc w:val="left"/>
    </w:lvl>
  </w:abstractNum>
  <w:abstractNum w:abstractNumId="51">
    <w:nsid w:val="CFE7C3F8"/>
    <w:multiLevelType w:val="singleLevel"/>
    <w:tmpl w:val="CFE7C3F8"/>
    <w:lvl w:ilvl="0" w:tentative="0">
      <w:start w:val="1"/>
      <w:numFmt w:val="decimal"/>
      <w:suff w:val="nothing"/>
      <w:lvlText w:val="（%1）"/>
      <w:lvlJc w:val="left"/>
    </w:lvl>
  </w:abstractNum>
  <w:abstractNum w:abstractNumId="52">
    <w:nsid w:val="D07BF82B"/>
    <w:multiLevelType w:val="singleLevel"/>
    <w:tmpl w:val="D07BF82B"/>
    <w:lvl w:ilvl="0" w:tentative="0">
      <w:start w:val="1"/>
      <w:numFmt w:val="decimal"/>
      <w:lvlText w:val="%1."/>
      <w:lvlJc w:val="left"/>
      <w:pPr>
        <w:tabs>
          <w:tab w:val="left" w:pos="312"/>
        </w:tabs>
      </w:pPr>
    </w:lvl>
  </w:abstractNum>
  <w:abstractNum w:abstractNumId="53">
    <w:nsid w:val="D34D280F"/>
    <w:multiLevelType w:val="singleLevel"/>
    <w:tmpl w:val="D34D280F"/>
    <w:lvl w:ilvl="0" w:tentative="0">
      <w:start w:val="1"/>
      <w:numFmt w:val="decimal"/>
      <w:suff w:val="nothing"/>
      <w:lvlText w:val="%1、"/>
      <w:lvlJc w:val="left"/>
    </w:lvl>
  </w:abstractNum>
  <w:abstractNum w:abstractNumId="54">
    <w:nsid w:val="D4402157"/>
    <w:multiLevelType w:val="singleLevel"/>
    <w:tmpl w:val="D4402157"/>
    <w:lvl w:ilvl="0" w:tentative="0">
      <w:start w:val="1"/>
      <w:numFmt w:val="decimal"/>
      <w:lvlText w:val="%1."/>
      <w:lvlJc w:val="left"/>
      <w:pPr>
        <w:tabs>
          <w:tab w:val="left" w:pos="312"/>
        </w:tabs>
      </w:pPr>
    </w:lvl>
  </w:abstractNum>
  <w:abstractNum w:abstractNumId="55">
    <w:nsid w:val="D6D4C75E"/>
    <w:multiLevelType w:val="singleLevel"/>
    <w:tmpl w:val="D6D4C75E"/>
    <w:lvl w:ilvl="0" w:tentative="0">
      <w:start w:val="1"/>
      <w:numFmt w:val="decimal"/>
      <w:lvlText w:val="%1."/>
      <w:lvlJc w:val="left"/>
      <w:pPr>
        <w:tabs>
          <w:tab w:val="left" w:pos="312"/>
        </w:tabs>
      </w:pPr>
    </w:lvl>
  </w:abstractNum>
  <w:abstractNum w:abstractNumId="56">
    <w:nsid w:val="D8323654"/>
    <w:multiLevelType w:val="singleLevel"/>
    <w:tmpl w:val="D8323654"/>
    <w:lvl w:ilvl="0" w:tentative="0">
      <w:start w:val="1"/>
      <w:numFmt w:val="decimal"/>
      <w:lvlText w:val="%1."/>
      <w:lvlJc w:val="left"/>
      <w:pPr>
        <w:tabs>
          <w:tab w:val="left" w:pos="312"/>
        </w:tabs>
      </w:pPr>
    </w:lvl>
  </w:abstractNum>
  <w:abstractNum w:abstractNumId="57">
    <w:nsid w:val="D9C796C2"/>
    <w:multiLevelType w:val="singleLevel"/>
    <w:tmpl w:val="D9C796C2"/>
    <w:lvl w:ilvl="0" w:tentative="0">
      <w:start w:val="3"/>
      <w:numFmt w:val="decimal"/>
      <w:lvlText w:val="%1."/>
      <w:lvlJc w:val="left"/>
      <w:pPr>
        <w:tabs>
          <w:tab w:val="left" w:pos="312"/>
        </w:tabs>
      </w:pPr>
    </w:lvl>
  </w:abstractNum>
  <w:abstractNum w:abstractNumId="58">
    <w:nsid w:val="DCE71D01"/>
    <w:multiLevelType w:val="singleLevel"/>
    <w:tmpl w:val="DCE71D01"/>
    <w:lvl w:ilvl="0" w:tentative="0">
      <w:start w:val="1"/>
      <w:numFmt w:val="decimal"/>
      <w:suff w:val="nothing"/>
      <w:lvlText w:val="%1、"/>
      <w:lvlJc w:val="left"/>
    </w:lvl>
  </w:abstractNum>
  <w:abstractNum w:abstractNumId="59">
    <w:nsid w:val="DDCF90A2"/>
    <w:multiLevelType w:val="singleLevel"/>
    <w:tmpl w:val="DDCF90A2"/>
    <w:lvl w:ilvl="0" w:tentative="0">
      <w:start w:val="1"/>
      <w:numFmt w:val="decimal"/>
      <w:suff w:val="nothing"/>
      <w:lvlText w:val="%1、"/>
      <w:lvlJc w:val="left"/>
    </w:lvl>
  </w:abstractNum>
  <w:abstractNum w:abstractNumId="60">
    <w:nsid w:val="DDECD3BC"/>
    <w:multiLevelType w:val="singleLevel"/>
    <w:tmpl w:val="DDECD3BC"/>
    <w:lvl w:ilvl="0" w:tentative="0">
      <w:start w:val="6"/>
      <w:numFmt w:val="decimal"/>
      <w:suff w:val="space"/>
      <w:lvlText w:val="%1."/>
      <w:lvlJc w:val="left"/>
    </w:lvl>
  </w:abstractNum>
  <w:abstractNum w:abstractNumId="61">
    <w:nsid w:val="DE759F4B"/>
    <w:multiLevelType w:val="singleLevel"/>
    <w:tmpl w:val="DE759F4B"/>
    <w:lvl w:ilvl="0" w:tentative="0">
      <w:start w:val="2"/>
      <w:numFmt w:val="decimal"/>
      <w:suff w:val="space"/>
      <w:lvlText w:val="%1."/>
      <w:lvlJc w:val="left"/>
    </w:lvl>
  </w:abstractNum>
  <w:abstractNum w:abstractNumId="62">
    <w:nsid w:val="DEABE1DB"/>
    <w:multiLevelType w:val="singleLevel"/>
    <w:tmpl w:val="DEABE1DB"/>
    <w:lvl w:ilvl="0" w:tentative="0">
      <w:start w:val="23"/>
      <w:numFmt w:val="decimal"/>
      <w:suff w:val="space"/>
      <w:lvlText w:val="%1."/>
      <w:lvlJc w:val="left"/>
    </w:lvl>
  </w:abstractNum>
  <w:abstractNum w:abstractNumId="63">
    <w:nsid w:val="E0B191F8"/>
    <w:multiLevelType w:val="singleLevel"/>
    <w:tmpl w:val="E0B191F8"/>
    <w:lvl w:ilvl="0" w:tentative="0">
      <w:start w:val="1"/>
      <w:numFmt w:val="decimal"/>
      <w:lvlText w:val="%1."/>
      <w:lvlJc w:val="left"/>
      <w:pPr>
        <w:tabs>
          <w:tab w:val="left" w:pos="312"/>
        </w:tabs>
      </w:pPr>
    </w:lvl>
  </w:abstractNum>
  <w:abstractNum w:abstractNumId="64">
    <w:nsid w:val="E448635B"/>
    <w:multiLevelType w:val="singleLevel"/>
    <w:tmpl w:val="E448635B"/>
    <w:lvl w:ilvl="0" w:tentative="0">
      <w:start w:val="1"/>
      <w:numFmt w:val="decimal"/>
      <w:lvlText w:val="%1."/>
      <w:lvlJc w:val="left"/>
      <w:pPr>
        <w:tabs>
          <w:tab w:val="left" w:pos="312"/>
        </w:tabs>
      </w:pPr>
    </w:lvl>
  </w:abstractNum>
  <w:abstractNum w:abstractNumId="65">
    <w:nsid w:val="E5A8145E"/>
    <w:multiLevelType w:val="singleLevel"/>
    <w:tmpl w:val="E5A8145E"/>
    <w:lvl w:ilvl="0" w:tentative="0">
      <w:start w:val="1"/>
      <w:numFmt w:val="decimal"/>
      <w:suff w:val="nothing"/>
      <w:lvlText w:val="%1、"/>
      <w:lvlJc w:val="left"/>
    </w:lvl>
  </w:abstractNum>
  <w:abstractNum w:abstractNumId="66">
    <w:nsid w:val="E7654B19"/>
    <w:multiLevelType w:val="singleLevel"/>
    <w:tmpl w:val="E7654B19"/>
    <w:lvl w:ilvl="0" w:tentative="0">
      <w:start w:val="1"/>
      <w:numFmt w:val="decimal"/>
      <w:lvlText w:val="%1."/>
      <w:lvlJc w:val="left"/>
      <w:pPr>
        <w:tabs>
          <w:tab w:val="left" w:pos="312"/>
        </w:tabs>
      </w:pPr>
    </w:lvl>
  </w:abstractNum>
  <w:abstractNum w:abstractNumId="67">
    <w:nsid w:val="E7C090B7"/>
    <w:multiLevelType w:val="singleLevel"/>
    <w:tmpl w:val="E7C090B7"/>
    <w:lvl w:ilvl="0" w:tentative="0">
      <w:start w:val="1"/>
      <w:numFmt w:val="decimal"/>
      <w:lvlText w:val="%1."/>
      <w:lvlJc w:val="left"/>
      <w:pPr>
        <w:tabs>
          <w:tab w:val="left" w:pos="312"/>
        </w:tabs>
      </w:pPr>
    </w:lvl>
  </w:abstractNum>
  <w:abstractNum w:abstractNumId="68">
    <w:nsid w:val="E80C3CCB"/>
    <w:multiLevelType w:val="singleLevel"/>
    <w:tmpl w:val="E80C3CCB"/>
    <w:lvl w:ilvl="0" w:tentative="0">
      <w:start w:val="1"/>
      <w:numFmt w:val="decimal"/>
      <w:lvlText w:val="%1."/>
      <w:lvlJc w:val="left"/>
      <w:pPr>
        <w:tabs>
          <w:tab w:val="left" w:pos="312"/>
        </w:tabs>
      </w:pPr>
    </w:lvl>
  </w:abstractNum>
  <w:abstractNum w:abstractNumId="69">
    <w:nsid w:val="E8A34600"/>
    <w:multiLevelType w:val="singleLevel"/>
    <w:tmpl w:val="E8A34600"/>
    <w:lvl w:ilvl="0" w:tentative="0">
      <w:start w:val="1"/>
      <w:numFmt w:val="decimal"/>
      <w:suff w:val="nothing"/>
      <w:lvlText w:val="%1、"/>
      <w:lvlJc w:val="left"/>
    </w:lvl>
  </w:abstractNum>
  <w:abstractNum w:abstractNumId="70">
    <w:nsid w:val="EA19C602"/>
    <w:multiLevelType w:val="singleLevel"/>
    <w:tmpl w:val="EA19C602"/>
    <w:lvl w:ilvl="0" w:tentative="0">
      <w:start w:val="1"/>
      <w:numFmt w:val="decimal"/>
      <w:suff w:val="nothing"/>
      <w:lvlText w:val="%1、"/>
      <w:lvlJc w:val="left"/>
    </w:lvl>
  </w:abstractNum>
  <w:abstractNum w:abstractNumId="71">
    <w:nsid w:val="EA346AAA"/>
    <w:multiLevelType w:val="singleLevel"/>
    <w:tmpl w:val="EA346AAA"/>
    <w:lvl w:ilvl="0" w:tentative="0">
      <w:start w:val="1"/>
      <w:numFmt w:val="decimal"/>
      <w:suff w:val="nothing"/>
      <w:lvlText w:val="%1．"/>
      <w:lvlJc w:val="left"/>
    </w:lvl>
  </w:abstractNum>
  <w:abstractNum w:abstractNumId="72">
    <w:nsid w:val="EA374D21"/>
    <w:multiLevelType w:val="singleLevel"/>
    <w:tmpl w:val="EA374D21"/>
    <w:lvl w:ilvl="0" w:tentative="0">
      <w:start w:val="1"/>
      <w:numFmt w:val="decimalEnclosedCircleChinese"/>
      <w:suff w:val="nothing"/>
      <w:lvlText w:val="%1　"/>
      <w:lvlJc w:val="left"/>
      <w:pPr>
        <w:ind w:left="0" w:firstLine="400"/>
      </w:pPr>
      <w:rPr>
        <w:rFonts w:hint="eastAsia"/>
      </w:rPr>
    </w:lvl>
  </w:abstractNum>
  <w:abstractNum w:abstractNumId="73">
    <w:nsid w:val="EC1E056B"/>
    <w:multiLevelType w:val="singleLevel"/>
    <w:tmpl w:val="EC1E056B"/>
    <w:lvl w:ilvl="0" w:tentative="0">
      <w:start w:val="1"/>
      <w:numFmt w:val="decimal"/>
      <w:suff w:val="nothing"/>
      <w:lvlText w:val="%1、"/>
      <w:lvlJc w:val="left"/>
    </w:lvl>
  </w:abstractNum>
  <w:abstractNum w:abstractNumId="74">
    <w:nsid w:val="EE201F96"/>
    <w:multiLevelType w:val="singleLevel"/>
    <w:tmpl w:val="EE201F96"/>
    <w:lvl w:ilvl="0" w:tentative="0">
      <w:start w:val="1"/>
      <w:numFmt w:val="decimal"/>
      <w:lvlText w:val="%1."/>
      <w:lvlJc w:val="left"/>
      <w:pPr>
        <w:tabs>
          <w:tab w:val="left" w:pos="312"/>
        </w:tabs>
      </w:pPr>
    </w:lvl>
  </w:abstractNum>
  <w:abstractNum w:abstractNumId="75">
    <w:nsid w:val="EF4C9731"/>
    <w:multiLevelType w:val="singleLevel"/>
    <w:tmpl w:val="EF4C9731"/>
    <w:lvl w:ilvl="0" w:tentative="0">
      <w:start w:val="1"/>
      <w:numFmt w:val="decimal"/>
      <w:suff w:val="nothing"/>
      <w:lvlText w:val="%1、"/>
      <w:lvlJc w:val="left"/>
    </w:lvl>
  </w:abstractNum>
  <w:abstractNum w:abstractNumId="76">
    <w:nsid w:val="F347AFB8"/>
    <w:multiLevelType w:val="singleLevel"/>
    <w:tmpl w:val="F347AFB8"/>
    <w:lvl w:ilvl="0" w:tentative="0">
      <w:start w:val="1"/>
      <w:numFmt w:val="chineseCounting"/>
      <w:suff w:val="nothing"/>
      <w:lvlText w:val="%1、"/>
      <w:lvlJc w:val="left"/>
      <w:rPr>
        <w:rFonts w:hint="eastAsia"/>
      </w:rPr>
    </w:lvl>
  </w:abstractNum>
  <w:abstractNum w:abstractNumId="77">
    <w:nsid w:val="F451ABE0"/>
    <w:multiLevelType w:val="singleLevel"/>
    <w:tmpl w:val="F451ABE0"/>
    <w:lvl w:ilvl="0" w:tentative="0">
      <w:start w:val="1"/>
      <w:numFmt w:val="decimal"/>
      <w:lvlText w:val="%1."/>
      <w:lvlJc w:val="left"/>
      <w:pPr>
        <w:tabs>
          <w:tab w:val="left" w:pos="312"/>
        </w:tabs>
      </w:pPr>
    </w:lvl>
  </w:abstractNum>
  <w:abstractNum w:abstractNumId="78">
    <w:nsid w:val="F515BE6F"/>
    <w:multiLevelType w:val="singleLevel"/>
    <w:tmpl w:val="F515BE6F"/>
    <w:lvl w:ilvl="0" w:tentative="0">
      <w:start w:val="1"/>
      <w:numFmt w:val="decimal"/>
      <w:suff w:val="nothing"/>
      <w:lvlText w:val="%1、"/>
      <w:lvlJc w:val="left"/>
    </w:lvl>
  </w:abstractNum>
  <w:abstractNum w:abstractNumId="79">
    <w:nsid w:val="F5DA69D9"/>
    <w:multiLevelType w:val="singleLevel"/>
    <w:tmpl w:val="F5DA69D9"/>
    <w:lvl w:ilvl="0" w:tentative="0">
      <w:start w:val="1"/>
      <w:numFmt w:val="decimal"/>
      <w:lvlText w:val="%1."/>
      <w:lvlJc w:val="left"/>
      <w:pPr>
        <w:tabs>
          <w:tab w:val="left" w:pos="312"/>
        </w:tabs>
      </w:pPr>
    </w:lvl>
  </w:abstractNum>
  <w:abstractNum w:abstractNumId="80">
    <w:nsid w:val="F6261B6A"/>
    <w:multiLevelType w:val="singleLevel"/>
    <w:tmpl w:val="F6261B6A"/>
    <w:lvl w:ilvl="0" w:tentative="0">
      <w:start w:val="1"/>
      <w:numFmt w:val="decimal"/>
      <w:suff w:val="nothing"/>
      <w:lvlText w:val="%1、"/>
      <w:lvlJc w:val="left"/>
    </w:lvl>
  </w:abstractNum>
  <w:abstractNum w:abstractNumId="81">
    <w:nsid w:val="FAD015F5"/>
    <w:multiLevelType w:val="singleLevel"/>
    <w:tmpl w:val="FAD015F5"/>
    <w:lvl w:ilvl="0" w:tentative="0">
      <w:start w:val="1"/>
      <w:numFmt w:val="decimal"/>
      <w:lvlText w:val="%1."/>
      <w:lvlJc w:val="left"/>
      <w:pPr>
        <w:tabs>
          <w:tab w:val="left" w:pos="312"/>
        </w:tabs>
      </w:pPr>
    </w:lvl>
  </w:abstractNum>
  <w:abstractNum w:abstractNumId="82">
    <w:nsid w:val="FD54DC2F"/>
    <w:multiLevelType w:val="singleLevel"/>
    <w:tmpl w:val="FD54DC2F"/>
    <w:lvl w:ilvl="0" w:tentative="0">
      <w:start w:val="1"/>
      <w:numFmt w:val="decimal"/>
      <w:suff w:val="nothing"/>
      <w:lvlText w:val="%1、"/>
      <w:lvlJc w:val="left"/>
    </w:lvl>
  </w:abstractNum>
  <w:abstractNum w:abstractNumId="83">
    <w:nsid w:val="FE661EFD"/>
    <w:multiLevelType w:val="singleLevel"/>
    <w:tmpl w:val="FE661EFD"/>
    <w:lvl w:ilvl="0" w:tentative="0">
      <w:start w:val="1"/>
      <w:numFmt w:val="decimal"/>
      <w:lvlText w:val="%1."/>
      <w:lvlJc w:val="left"/>
      <w:pPr>
        <w:tabs>
          <w:tab w:val="left" w:pos="312"/>
        </w:tabs>
      </w:pPr>
    </w:lvl>
  </w:abstractNum>
  <w:abstractNum w:abstractNumId="84">
    <w:nsid w:val="FEB0B88D"/>
    <w:multiLevelType w:val="singleLevel"/>
    <w:tmpl w:val="FEB0B88D"/>
    <w:lvl w:ilvl="0" w:tentative="0">
      <w:start w:val="1"/>
      <w:numFmt w:val="decimal"/>
      <w:lvlText w:val="%1."/>
      <w:lvlJc w:val="left"/>
      <w:pPr>
        <w:tabs>
          <w:tab w:val="left" w:pos="312"/>
        </w:tabs>
      </w:pPr>
    </w:lvl>
  </w:abstractNum>
  <w:abstractNum w:abstractNumId="85">
    <w:nsid w:val="FF2A6ABC"/>
    <w:multiLevelType w:val="singleLevel"/>
    <w:tmpl w:val="FF2A6ABC"/>
    <w:lvl w:ilvl="0" w:tentative="0">
      <w:start w:val="1"/>
      <w:numFmt w:val="decimal"/>
      <w:suff w:val="nothing"/>
      <w:lvlText w:val="%1、"/>
      <w:lvlJc w:val="left"/>
    </w:lvl>
  </w:abstractNum>
  <w:abstractNum w:abstractNumId="86">
    <w:nsid w:val="FFEFC674"/>
    <w:multiLevelType w:val="singleLevel"/>
    <w:tmpl w:val="FFEFC674"/>
    <w:lvl w:ilvl="0" w:tentative="0">
      <w:start w:val="1"/>
      <w:numFmt w:val="decimal"/>
      <w:suff w:val="nothing"/>
      <w:lvlText w:val="（%1）"/>
      <w:lvlJc w:val="left"/>
    </w:lvl>
  </w:abstractNum>
  <w:abstractNum w:abstractNumId="87">
    <w:nsid w:val="00000000"/>
    <w:multiLevelType w:val="singleLevel"/>
    <w:tmpl w:val="00000000"/>
    <w:lvl w:ilvl="0" w:tentative="0">
      <w:start w:val="1"/>
      <w:numFmt w:val="decimal"/>
      <w:suff w:val="nothing"/>
      <w:lvlText w:val="%1."/>
      <w:lvlJc w:val="left"/>
    </w:lvl>
  </w:abstractNum>
  <w:abstractNum w:abstractNumId="88">
    <w:nsid w:val="013C4CC0"/>
    <w:multiLevelType w:val="singleLevel"/>
    <w:tmpl w:val="013C4CC0"/>
    <w:lvl w:ilvl="0" w:tentative="0">
      <w:start w:val="1"/>
      <w:numFmt w:val="decimal"/>
      <w:suff w:val="space"/>
      <w:lvlText w:val="%1."/>
      <w:lvlJc w:val="left"/>
    </w:lvl>
  </w:abstractNum>
  <w:abstractNum w:abstractNumId="89">
    <w:nsid w:val="02F7918F"/>
    <w:multiLevelType w:val="singleLevel"/>
    <w:tmpl w:val="02F7918F"/>
    <w:lvl w:ilvl="0" w:tentative="0">
      <w:start w:val="1"/>
      <w:numFmt w:val="decimal"/>
      <w:suff w:val="nothing"/>
      <w:lvlText w:val="%1、"/>
      <w:lvlJc w:val="left"/>
    </w:lvl>
  </w:abstractNum>
  <w:abstractNum w:abstractNumId="90">
    <w:nsid w:val="0353529A"/>
    <w:multiLevelType w:val="singleLevel"/>
    <w:tmpl w:val="0353529A"/>
    <w:lvl w:ilvl="0" w:tentative="0">
      <w:start w:val="1"/>
      <w:numFmt w:val="decimal"/>
      <w:suff w:val="nothing"/>
      <w:lvlText w:val="%1．"/>
      <w:lvlJc w:val="left"/>
    </w:lvl>
  </w:abstractNum>
  <w:abstractNum w:abstractNumId="91">
    <w:nsid w:val="03969863"/>
    <w:multiLevelType w:val="singleLevel"/>
    <w:tmpl w:val="03969863"/>
    <w:lvl w:ilvl="0" w:tentative="0">
      <w:start w:val="1"/>
      <w:numFmt w:val="decimal"/>
      <w:lvlText w:val="%1."/>
      <w:lvlJc w:val="left"/>
      <w:pPr>
        <w:tabs>
          <w:tab w:val="left" w:pos="312"/>
        </w:tabs>
      </w:pPr>
    </w:lvl>
  </w:abstractNum>
  <w:abstractNum w:abstractNumId="92">
    <w:nsid w:val="04247E1C"/>
    <w:multiLevelType w:val="multilevel"/>
    <w:tmpl w:val="04247E1C"/>
    <w:lvl w:ilvl="0" w:tentative="0">
      <w:start w:val="1"/>
      <w:numFmt w:val="decimal"/>
      <w:lvlText w:val="（%1）"/>
      <w:lvlJc w:val="left"/>
      <w:pPr>
        <w:ind w:left="987" w:hanging="420"/>
      </w:pPr>
      <w:rPr>
        <w:rFonts w:hint="eastAsia"/>
      </w:rPr>
    </w:lvl>
    <w:lvl w:ilvl="1" w:tentative="0">
      <w:start w:val="1"/>
      <w:numFmt w:val="lowerLetter"/>
      <w:pStyle w:val="71"/>
      <w:lvlText w:val="%2)"/>
      <w:lvlJc w:val="left"/>
      <w:pPr>
        <w:ind w:left="1554"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lvlText w:val="%5)"/>
      <w:lvlJc w:val="left"/>
      <w:pPr>
        <w:ind w:left="2667" w:hanging="420"/>
      </w:pPr>
    </w:lvl>
    <w:lvl w:ilvl="5" w:tentative="0">
      <w:start w:val="1"/>
      <w:numFmt w:val="lowerRoman"/>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93">
    <w:nsid w:val="0459AEAD"/>
    <w:multiLevelType w:val="singleLevel"/>
    <w:tmpl w:val="0459AEAD"/>
    <w:lvl w:ilvl="0" w:tentative="0">
      <w:start w:val="1"/>
      <w:numFmt w:val="decimal"/>
      <w:suff w:val="nothing"/>
      <w:lvlText w:val="%1、"/>
      <w:lvlJc w:val="left"/>
    </w:lvl>
  </w:abstractNum>
  <w:abstractNum w:abstractNumId="94">
    <w:nsid w:val="065874B9"/>
    <w:multiLevelType w:val="singleLevel"/>
    <w:tmpl w:val="065874B9"/>
    <w:lvl w:ilvl="0" w:tentative="0">
      <w:start w:val="1"/>
      <w:numFmt w:val="decimal"/>
      <w:lvlText w:val="%1."/>
      <w:lvlJc w:val="left"/>
      <w:pPr>
        <w:tabs>
          <w:tab w:val="left" w:pos="312"/>
        </w:tabs>
      </w:pPr>
    </w:lvl>
  </w:abstractNum>
  <w:abstractNum w:abstractNumId="95">
    <w:nsid w:val="06C6672C"/>
    <w:multiLevelType w:val="singleLevel"/>
    <w:tmpl w:val="06C6672C"/>
    <w:lvl w:ilvl="0" w:tentative="0">
      <w:start w:val="1"/>
      <w:numFmt w:val="chineseCounting"/>
      <w:suff w:val="nothing"/>
      <w:lvlText w:val="%1、"/>
      <w:lvlJc w:val="left"/>
      <w:rPr>
        <w:rFonts w:hint="eastAsia"/>
      </w:rPr>
    </w:lvl>
  </w:abstractNum>
  <w:abstractNum w:abstractNumId="96">
    <w:nsid w:val="06C9209B"/>
    <w:multiLevelType w:val="singleLevel"/>
    <w:tmpl w:val="06C9209B"/>
    <w:lvl w:ilvl="0" w:tentative="0">
      <w:start w:val="1"/>
      <w:numFmt w:val="decimal"/>
      <w:lvlText w:val="%1."/>
      <w:lvlJc w:val="left"/>
      <w:pPr>
        <w:tabs>
          <w:tab w:val="left" w:pos="312"/>
        </w:tabs>
      </w:pPr>
    </w:lvl>
  </w:abstractNum>
  <w:abstractNum w:abstractNumId="97">
    <w:nsid w:val="07486699"/>
    <w:multiLevelType w:val="singleLevel"/>
    <w:tmpl w:val="07486699"/>
    <w:lvl w:ilvl="0" w:tentative="0">
      <w:start w:val="1"/>
      <w:numFmt w:val="decimal"/>
      <w:lvlText w:val="%1."/>
      <w:lvlJc w:val="left"/>
      <w:pPr>
        <w:tabs>
          <w:tab w:val="left" w:pos="312"/>
        </w:tabs>
      </w:pPr>
    </w:lvl>
  </w:abstractNum>
  <w:abstractNum w:abstractNumId="98">
    <w:nsid w:val="080AF627"/>
    <w:multiLevelType w:val="singleLevel"/>
    <w:tmpl w:val="080AF627"/>
    <w:lvl w:ilvl="0" w:tentative="0">
      <w:start w:val="1"/>
      <w:numFmt w:val="decimal"/>
      <w:suff w:val="nothing"/>
      <w:lvlText w:val="%1、"/>
      <w:lvlJc w:val="left"/>
    </w:lvl>
  </w:abstractNum>
  <w:abstractNum w:abstractNumId="99">
    <w:nsid w:val="0850E790"/>
    <w:multiLevelType w:val="singleLevel"/>
    <w:tmpl w:val="0850E790"/>
    <w:lvl w:ilvl="0" w:tentative="0">
      <w:start w:val="1"/>
      <w:numFmt w:val="decimal"/>
      <w:lvlText w:val="%1."/>
      <w:lvlJc w:val="left"/>
      <w:pPr>
        <w:tabs>
          <w:tab w:val="left" w:pos="312"/>
        </w:tabs>
      </w:pPr>
    </w:lvl>
  </w:abstractNum>
  <w:abstractNum w:abstractNumId="100">
    <w:nsid w:val="0885AD1B"/>
    <w:multiLevelType w:val="singleLevel"/>
    <w:tmpl w:val="0885AD1B"/>
    <w:lvl w:ilvl="0" w:tentative="0">
      <w:start w:val="1"/>
      <w:numFmt w:val="decimal"/>
      <w:suff w:val="nothing"/>
      <w:lvlText w:val="%1．"/>
      <w:lvlJc w:val="left"/>
    </w:lvl>
  </w:abstractNum>
  <w:abstractNum w:abstractNumId="101">
    <w:nsid w:val="0894D0E7"/>
    <w:multiLevelType w:val="singleLevel"/>
    <w:tmpl w:val="0894D0E7"/>
    <w:lvl w:ilvl="0" w:tentative="0">
      <w:start w:val="1"/>
      <w:numFmt w:val="decimal"/>
      <w:lvlText w:val="%1."/>
      <w:lvlJc w:val="left"/>
      <w:pPr>
        <w:tabs>
          <w:tab w:val="left" w:pos="312"/>
        </w:tabs>
      </w:pPr>
    </w:lvl>
  </w:abstractNum>
  <w:abstractNum w:abstractNumId="102">
    <w:nsid w:val="0C609FEA"/>
    <w:multiLevelType w:val="singleLevel"/>
    <w:tmpl w:val="0C609FEA"/>
    <w:lvl w:ilvl="0" w:tentative="0">
      <w:start w:val="1"/>
      <w:numFmt w:val="decimal"/>
      <w:suff w:val="nothing"/>
      <w:lvlText w:val="%1、"/>
      <w:lvlJc w:val="left"/>
    </w:lvl>
  </w:abstractNum>
  <w:abstractNum w:abstractNumId="103">
    <w:nsid w:val="0E5541EA"/>
    <w:multiLevelType w:val="singleLevel"/>
    <w:tmpl w:val="0E5541EA"/>
    <w:lvl w:ilvl="0" w:tentative="0">
      <w:start w:val="1"/>
      <w:numFmt w:val="decimal"/>
      <w:suff w:val="nothing"/>
      <w:lvlText w:val="%1、"/>
      <w:lvlJc w:val="left"/>
    </w:lvl>
  </w:abstractNum>
  <w:abstractNum w:abstractNumId="104">
    <w:nsid w:val="0F33D608"/>
    <w:multiLevelType w:val="singleLevel"/>
    <w:tmpl w:val="0F33D608"/>
    <w:lvl w:ilvl="0" w:tentative="0">
      <w:start w:val="1"/>
      <w:numFmt w:val="decimal"/>
      <w:lvlText w:val="%1."/>
      <w:lvlJc w:val="left"/>
      <w:pPr>
        <w:tabs>
          <w:tab w:val="left" w:pos="312"/>
        </w:tabs>
      </w:pPr>
    </w:lvl>
  </w:abstractNum>
  <w:abstractNum w:abstractNumId="105">
    <w:nsid w:val="0FCF719D"/>
    <w:multiLevelType w:val="singleLevel"/>
    <w:tmpl w:val="0FCF719D"/>
    <w:lvl w:ilvl="0" w:tentative="0">
      <w:start w:val="1"/>
      <w:numFmt w:val="decimal"/>
      <w:lvlText w:val="%1."/>
      <w:lvlJc w:val="left"/>
      <w:pPr>
        <w:tabs>
          <w:tab w:val="left" w:pos="312"/>
        </w:tabs>
      </w:pPr>
    </w:lvl>
  </w:abstractNum>
  <w:abstractNum w:abstractNumId="106">
    <w:nsid w:val="10F83049"/>
    <w:multiLevelType w:val="singleLevel"/>
    <w:tmpl w:val="10F83049"/>
    <w:lvl w:ilvl="0" w:tentative="0">
      <w:start w:val="1"/>
      <w:numFmt w:val="decimal"/>
      <w:suff w:val="nothing"/>
      <w:lvlText w:val="%1、"/>
      <w:lvlJc w:val="left"/>
    </w:lvl>
  </w:abstractNum>
  <w:abstractNum w:abstractNumId="107">
    <w:nsid w:val="1489E9A4"/>
    <w:multiLevelType w:val="singleLevel"/>
    <w:tmpl w:val="1489E9A4"/>
    <w:lvl w:ilvl="0" w:tentative="0">
      <w:start w:val="1"/>
      <w:numFmt w:val="decimal"/>
      <w:lvlText w:val="%1."/>
      <w:lvlJc w:val="left"/>
      <w:pPr>
        <w:tabs>
          <w:tab w:val="left" w:pos="312"/>
        </w:tabs>
      </w:pPr>
    </w:lvl>
  </w:abstractNum>
  <w:abstractNum w:abstractNumId="108">
    <w:nsid w:val="14AAD4CE"/>
    <w:multiLevelType w:val="singleLevel"/>
    <w:tmpl w:val="14AAD4CE"/>
    <w:lvl w:ilvl="0" w:tentative="0">
      <w:start w:val="1"/>
      <w:numFmt w:val="decimal"/>
      <w:lvlText w:val="%1."/>
      <w:lvlJc w:val="left"/>
      <w:pPr>
        <w:tabs>
          <w:tab w:val="left" w:pos="312"/>
        </w:tabs>
      </w:pPr>
    </w:lvl>
  </w:abstractNum>
  <w:abstractNum w:abstractNumId="109">
    <w:nsid w:val="16BE010A"/>
    <w:multiLevelType w:val="singleLevel"/>
    <w:tmpl w:val="16BE010A"/>
    <w:lvl w:ilvl="0" w:tentative="0">
      <w:start w:val="1"/>
      <w:numFmt w:val="decimal"/>
      <w:lvlText w:val="%1."/>
      <w:lvlJc w:val="left"/>
      <w:pPr>
        <w:tabs>
          <w:tab w:val="left" w:pos="312"/>
        </w:tabs>
      </w:pPr>
    </w:lvl>
  </w:abstractNum>
  <w:abstractNum w:abstractNumId="110">
    <w:nsid w:val="19EF24AD"/>
    <w:multiLevelType w:val="singleLevel"/>
    <w:tmpl w:val="19EF24AD"/>
    <w:lvl w:ilvl="0" w:tentative="0">
      <w:start w:val="1"/>
      <w:numFmt w:val="decimal"/>
      <w:lvlText w:val="%1."/>
      <w:lvlJc w:val="left"/>
      <w:pPr>
        <w:tabs>
          <w:tab w:val="left" w:pos="312"/>
        </w:tabs>
      </w:pPr>
    </w:lvl>
  </w:abstractNum>
  <w:abstractNum w:abstractNumId="111">
    <w:nsid w:val="1B45FD34"/>
    <w:multiLevelType w:val="singleLevel"/>
    <w:tmpl w:val="1B45FD34"/>
    <w:lvl w:ilvl="0" w:tentative="0">
      <w:start w:val="1"/>
      <w:numFmt w:val="decimal"/>
      <w:lvlText w:val="%1."/>
      <w:lvlJc w:val="left"/>
      <w:pPr>
        <w:tabs>
          <w:tab w:val="left" w:pos="312"/>
        </w:tabs>
      </w:pPr>
    </w:lvl>
  </w:abstractNum>
  <w:abstractNum w:abstractNumId="112">
    <w:nsid w:val="1D703018"/>
    <w:multiLevelType w:val="singleLevel"/>
    <w:tmpl w:val="1D703018"/>
    <w:lvl w:ilvl="0" w:tentative="0">
      <w:start w:val="1"/>
      <w:numFmt w:val="decimal"/>
      <w:suff w:val="nothing"/>
      <w:lvlText w:val="%1、"/>
      <w:lvlJc w:val="left"/>
    </w:lvl>
  </w:abstractNum>
  <w:abstractNum w:abstractNumId="113">
    <w:nsid w:val="1DBEF10F"/>
    <w:multiLevelType w:val="singleLevel"/>
    <w:tmpl w:val="1DBEF10F"/>
    <w:lvl w:ilvl="0" w:tentative="0">
      <w:start w:val="1"/>
      <w:numFmt w:val="decimal"/>
      <w:lvlText w:val="%1."/>
      <w:lvlJc w:val="left"/>
      <w:pPr>
        <w:tabs>
          <w:tab w:val="left" w:pos="312"/>
        </w:tabs>
      </w:pPr>
    </w:lvl>
  </w:abstractNum>
  <w:abstractNum w:abstractNumId="114">
    <w:nsid w:val="1FE99246"/>
    <w:multiLevelType w:val="singleLevel"/>
    <w:tmpl w:val="1FE99246"/>
    <w:lvl w:ilvl="0" w:tentative="0">
      <w:start w:val="1"/>
      <w:numFmt w:val="decimal"/>
      <w:suff w:val="nothing"/>
      <w:lvlText w:val="%1、"/>
      <w:lvlJc w:val="left"/>
    </w:lvl>
  </w:abstractNum>
  <w:abstractNum w:abstractNumId="115">
    <w:nsid w:val="224EA307"/>
    <w:multiLevelType w:val="singleLevel"/>
    <w:tmpl w:val="224EA307"/>
    <w:lvl w:ilvl="0" w:tentative="0">
      <w:start w:val="1"/>
      <w:numFmt w:val="decimal"/>
      <w:suff w:val="nothing"/>
      <w:lvlText w:val="%1、"/>
      <w:lvlJc w:val="left"/>
    </w:lvl>
  </w:abstractNum>
  <w:abstractNum w:abstractNumId="116">
    <w:nsid w:val="252557E6"/>
    <w:multiLevelType w:val="singleLevel"/>
    <w:tmpl w:val="252557E6"/>
    <w:lvl w:ilvl="0" w:tentative="0">
      <w:start w:val="1"/>
      <w:numFmt w:val="decimal"/>
      <w:suff w:val="nothing"/>
      <w:lvlText w:val="%1、"/>
      <w:lvlJc w:val="left"/>
    </w:lvl>
  </w:abstractNum>
  <w:abstractNum w:abstractNumId="117">
    <w:nsid w:val="2AF3182A"/>
    <w:multiLevelType w:val="singleLevel"/>
    <w:tmpl w:val="2AF3182A"/>
    <w:lvl w:ilvl="0" w:tentative="0">
      <w:start w:val="1"/>
      <w:numFmt w:val="decimal"/>
      <w:suff w:val="nothing"/>
      <w:lvlText w:val="%1、"/>
      <w:lvlJc w:val="left"/>
    </w:lvl>
  </w:abstractNum>
  <w:abstractNum w:abstractNumId="118">
    <w:nsid w:val="2BC066F9"/>
    <w:multiLevelType w:val="singleLevel"/>
    <w:tmpl w:val="2BC066F9"/>
    <w:lvl w:ilvl="0" w:tentative="0">
      <w:start w:val="1"/>
      <w:numFmt w:val="decimal"/>
      <w:suff w:val="nothing"/>
      <w:lvlText w:val="%1．"/>
      <w:lvlJc w:val="left"/>
    </w:lvl>
  </w:abstractNum>
  <w:abstractNum w:abstractNumId="119">
    <w:nsid w:val="2CB574E3"/>
    <w:multiLevelType w:val="singleLevel"/>
    <w:tmpl w:val="2CB574E3"/>
    <w:lvl w:ilvl="0" w:tentative="0">
      <w:start w:val="1"/>
      <w:numFmt w:val="decimal"/>
      <w:suff w:val="nothing"/>
      <w:lvlText w:val="%1、"/>
      <w:lvlJc w:val="left"/>
    </w:lvl>
  </w:abstractNum>
  <w:abstractNum w:abstractNumId="120">
    <w:nsid w:val="2EB6C8C6"/>
    <w:multiLevelType w:val="singleLevel"/>
    <w:tmpl w:val="2EB6C8C6"/>
    <w:lvl w:ilvl="0" w:tentative="0">
      <w:start w:val="1"/>
      <w:numFmt w:val="decimal"/>
      <w:suff w:val="nothing"/>
      <w:lvlText w:val="%1、"/>
      <w:lvlJc w:val="left"/>
    </w:lvl>
  </w:abstractNum>
  <w:abstractNum w:abstractNumId="121">
    <w:nsid w:val="3099D219"/>
    <w:multiLevelType w:val="singleLevel"/>
    <w:tmpl w:val="3099D219"/>
    <w:lvl w:ilvl="0" w:tentative="0">
      <w:start w:val="1"/>
      <w:numFmt w:val="chineseCounting"/>
      <w:suff w:val="nothing"/>
      <w:lvlText w:val="%1、"/>
      <w:lvlJc w:val="left"/>
      <w:rPr>
        <w:rFonts w:hint="eastAsia"/>
      </w:rPr>
    </w:lvl>
  </w:abstractNum>
  <w:abstractNum w:abstractNumId="122">
    <w:nsid w:val="30F9097C"/>
    <w:multiLevelType w:val="singleLevel"/>
    <w:tmpl w:val="30F9097C"/>
    <w:lvl w:ilvl="0" w:tentative="0">
      <w:start w:val="1"/>
      <w:numFmt w:val="decimal"/>
      <w:lvlText w:val="%1."/>
      <w:lvlJc w:val="left"/>
      <w:pPr>
        <w:tabs>
          <w:tab w:val="left" w:pos="312"/>
        </w:tabs>
      </w:pPr>
    </w:lvl>
  </w:abstractNum>
  <w:abstractNum w:abstractNumId="123">
    <w:nsid w:val="33728461"/>
    <w:multiLevelType w:val="singleLevel"/>
    <w:tmpl w:val="33728461"/>
    <w:lvl w:ilvl="0" w:tentative="0">
      <w:start w:val="1"/>
      <w:numFmt w:val="decimal"/>
      <w:lvlText w:val="%1."/>
      <w:lvlJc w:val="left"/>
      <w:pPr>
        <w:tabs>
          <w:tab w:val="left" w:pos="312"/>
        </w:tabs>
      </w:pPr>
    </w:lvl>
  </w:abstractNum>
  <w:abstractNum w:abstractNumId="124">
    <w:nsid w:val="33B11271"/>
    <w:multiLevelType w:val="singleLevel"/>
    <w:tmpl w:val="33B11271"/>
    <w:lvl w:ilvl="0" w:tentative="0">
      <w:start w:val="1"/>
      <w:numFmt w:val="decimal"/>
      <w:lvlText w:val="%1."/>
      <w:lvlJc w:val="left"/>
      <w:pPr>
        <w:tabs>
          <w:tab w:val="left" w:pos="312"/>
        </w:tabs>
      </w:pPr>
    </w:lvl>
  </w:abstractNum>
  <w:abstractNum w:abstractNumId="125">
    <w:nsid w:val="35C8A22A"/>
    <w:multiLevelType w:val="singleLevel"/>
    <w:tmpl w:val="35C8A22A"/>
    <w:lvl w:ilvl="0" w:tentative="0">
      <w:start w:val="1"/>
      <w:numFmt w:val="decimal"/>
      <w:lvlText w:val="%1."/>
      <w:lvlJc w:val="left"/>
      <w:pPr>
        <w:tabs>
          <w:tab w:val="left" w:pos="312"/>
        </w:tabs>
      </w:pPr>
    </w:lvl>
  </w:abstractNum>
  <w:abstractNum w:abstractNumId="126">
    <w:nsid w:val="369A20CC"/>
    <w:multiLevelType w:val="singleLevel"/>
    <w:tmpl w:val="369A20CC"/>
    <w:lvl w:ilvl="0" w:tentative="0">
      <w:start w:val="1"/>
      <w:numFmt w:val="decimal"/>
      <w:lvlText w:val="%1."/>
      <w:lvlJc w:val="left"/>
      <w:pPr>
        <w:tabs>
          <w:tab w:val="left" w:pos="312"/>
        </w:tabs>
      </w:pPr>
    </w:lvl>
  </w:abstractNum>
  <w:abstractNum w:abstractNumId="127">
    <w:nsid w:val="37139D48"/>
    <w:multiLevelType w:val="singleLevel"/>
    <w:tmpl w:val="37139D48"/>
    <w:lvl w:ilvl="0" w:tentative="0">
      <w:start w:val="1"/>
      <w:numFmt w:val="decimal"/>
      <w:lvlText w:val="%1."/>
      <w:lvlJc w:val="left"/>
      <w:pPr>
        <w:tabs>
          <w:tab w:val="left" w:pos="312"/>
        </w:tabs>
      </w:pPr>
    </w:lvl>
  </w:abstractNum>
  <w:abstractNum w:abstractNumId="128">
    <w:nsid w:val="378D5B18"/>
    <w:multiLevelType w:val="singleLevel"/>
    <w:tmpl w:val="378D5B18"/>
    <w:lvl w:ilvl="0" w:tentative="0">
      <w:start w:val="37"/>
      <w:numFmt w:val="decimal"/>
      <w:lvlText w:val="%1."/>
      <w:lvlJc w:val="left"/>
      <w:pPr>
        <w:tabs>
          <w:tab w:val="left" w:pos="312"/>
        </w:tabs>
      </w:pPr>
    </w:lvl>
  </w:abstractNum>
  <w:abstractNum w:abstractNumId="129">
    <w:nsid w:val="3936182F"/>
    <w:multiLevelType w:val="singleLevel"/>
    <w:tmpl w:val="3936182F"/>
    <w:lvl w:ilvl="0" w:tentative="0">
      <w:start w:val="1"/>
      <w:numFmt w:val="decimal"/>
      <w:suff w:val="nothing"/>
      <w:lvlText w:val="%1、"/>
      <w:lvlJc w:val="left"/>
    </w:lvl>
  </w:abstractNum>
  <w:abstractNum w:abstractNumId="130">
    <w:nsid w:val="3C2F9600"/>
    <w:multiLevelType w:val="singleLevel"/>
    <w:tmpl w:val="3C2F9600"/>
    <w:lvl w:ilvl="0" w:tentative="0">
      <w:start w:val="1"/>
      <w:numFmt w:val="decimal"/>
      <w:lvlText w:val="%1."/>
      <w:lvlJc w:val="left"/>
      <w:pPr>
        <w:tabs>
          <w:tab w:val="left" w:pos="312"/>
        </w:tabs>
      </w:pPr>
    </w:lvl>
  </w:abstractNum>
  <w:abstractNum w:abstractNumId="131">
    <w:nsid w:val="3CC9CF45"/>
    <w:multiLevelType w:val="singleLevel"/>
    <w:tmpl w:val="3CC9CF45"/>
    <w:lvl w:ilvl="0" w:tentative="0">
      <w:start w:val="1"/>
      <w:numFmt w:val="decimal"/>
      <w:lvlText w:val="%1."/>
      <w:lvlJc w:val="left"/>
      <w:pPr>
        <w:tabs>
          <w:tab w:val="left" w:pos="312"/>
        </w:tabs>
      </w:pPr>
    </w:lvl>
  </w:abstractNum>
  <w:abstractNum w:abstractNumId="132">
    <w:nsid w:val="3FFC6DA8"/>
    <w:multiLevelType w:val="singleLevel"/>
    <w:tmpl w:val="3FFC6DA8"/>
    <w:lvl w:ilvl="0" w:tentative="0">
      <w:start w:val="1"/>
      <w:numFmt w:val="decimal"/>
      <w:suff w:val="nothing"/>
      <w:lvlText w:val="%1、"/>
      <w:lvlJc w:val="left"/>
    </w:lvl>
  </w:abstractNum>
  <w:abstractNum w:abstractNumId="133">
    <w:nsid w:val="40A98962"/>
    <w:multiLevelType w:val="singleLevel"/>
    <w:tmpl w:val="40A98962"/>
    <w:lvl w:ilvl="0" w:tentative="0">
      <w:start w:val="1"/>
      <w:numFmt w:val="chineseCounting"/>
      <w:suff w:val="nothing"/>
      <w:lvlText w:val="%1、"/>
      <w:lvlJc w:val="left"/>
      <w:rPr>
        <w:rFonts w:hint="eastAsia"/>
      </w:rPr>
    </w:lvl>
  </w:abstractNum>
  <w:abstractNum w:abstractNumId="134">
    <w:nsid w:val="40ADF21C"/>
    <w:multiLevelType w:val="singleLevel"/>
    <w:tmpl w:val="40ADF21C"/>
    <w:lvl w:ilvl="0" w:tentative="0">
      <w:start w:val="1"/>
      <w:numFmt w:val="decimal"/>
      <w:suff w:val="nothing"/>
      <w:lvlText w:val="%1、"/>
      <w:lvlJc w:val="left"/>
    </w:lvl>
  </w:abstractNum>
  <w:abstractNum w:abstractNumId="135">
    <w:nsid w:val="42C8A31B"/>
    <w:multiLevelType w:val="singleLevel"/>
    <w:tmpl w:val="42C8A31B"/>
    <w:lvl w:ilvl="0" w:tentative="0">
      <w:start w:val="1"/>
      <w:numFmt w:val="decimal"/>
      <w:lvlText w:val="%1."/>
      <w:lvlJc w:val="left"/>
      <w:pPr>
        <w:tabs>
          <w:tab w:val="left" w:pos="312"/>
        </w:tabs>
      </w:pPr>
    </w:lvl>
  </w:abstractNum>
  <w:abstractNum w:abstractNumId="136">
    <w:nsid w:val="42CF25E9"/>
    <w:multiLevelType w:val="singleLevel"/>
    <w:tmpl w:val="42CF25E9"/>
    <w:lvl w:ilvl="0" w:tentative="0">
      <w:start w:val="1"/>
      <w:numFmt w:val="decimal"/>
      <w:lvlText w:val="%1."/>
      <w:lvlJc w:val="left"/>
      <w:pPr>
        <w:tabs>
          <w:tab w:val="left" w:pos="312"/>
        </w:tabs>
      </w:pPr>
    </w:lvl>
  </w:abstractNum>
  <w:abstractNum w:abstractNumId="137">
    <w:nsid w:val="45243BB3"/>
    <w:multiLevelType w:val="singleLevel"/>
    <w:tmpl w:val="45243BB3"/>
    <w:lvl w:ilvl="0" w:tentative="0">
      <w:start w:val="1"/>
      <w:numFmt w:val="decimal"/>
      <w:suff w:val="nothing"/>
      <w:lvlText w:val="%1、"/>
      <w:lvlJc w:val="left"/>
    </w:lvl>
  </w:abstractNum>
  <w:abstractNum w:abstractNumId="138">
    <w:nsid w:val="457AD4F7"/>
    <w:multiLevelType w:val="singleLevel"/>
    <w:tmpl w:val="457AD4F7"/>
    <w:lvl w:ilvl="0" w:tentative="0">
      <w:start w:val="1"/>
      <w:numFmt w:val="decimal"/>
      <w:lvlText w:val="%1."/>
      <w:lvlJc w:val="left"/>
      <w:pPr>
        <w:tabs>
          <w:tab w:val="left" w:pos="312"/>
        </w:tabs>
      </w:pPr>
    </w:lvl>
  </w:abstractNum>
  <w:abstractNum w:abstractNumId="139">
    <w:nsid w:val="47C57D39"/>
    <w:multiLevelType w:val="singleLevel"/>
    <w:tmpl w:val="47C57D39"/>
    <w:lvl w:ilvl="0" w:tentative="0">
      <w:start w:val="1"/>
      <w:numFmt w:val="decimal"/>
      <w:suff w:val="nothing"/>
      <w:lvlText w:val="%1、"/>
      <w:lvlJc w:val="left"/>
    </w:lvl>
  </w:abstractNum>
  <w:abstractNum w:abstractNumId="140">
    <w:nsid w:val="47FFEE3E"/>
    <w:multiLevelType w:val="singleLevel"/>
    <w:tmpl w:val="47FFEE3E"/>
    <w:lvl w:ilvl="0" w:tentative="0">
      <w:start w:val="1"/>
      <w:numFmt w:val="decimal"/>
      <w:lvlText w:val="%1."/>
      <w:lvlJc w:val="left"/>
      <w:pPr>
        <w:tabs>
          <w:tab w:val="left" w:pos="312"/>
        </w:tabs>
      </w:pPr>
    </w:lvl>
  </w:abstractNum>
  <w:abstractNum w:abstractNumId="141">
    <w:nsid w:val="481BC598"/>
    <w:multiLevelType w:val="singleLevel"/>
    <w:tmpl w:val="481BC598"/>
    <w:lvl w:ilvl="0" w:tentative="0">
      <w:start w:val="1"/>
      <w:numFmt w:val="decimal"/>
      <w:lvlText w:val="%1."/>
      <w:lvlJc w:val="left"/>
      <w:pPr>
        <w:tabs>
          <w:tab w:val="left" w:pos="312"/>
        </w:tabs>
      </w:pPr>
    </w:lvl>
  </w:abstractNum>
  <w:abstractNum w:abstractNumId="142">
    <w:nsid w:val="484A6104"/>
    <w:multiLevelType w:val="singleLevel"/>
    <w:tmpl w:val="484A6104"/>
    <w:lvl w:ilvl="0" w:tentative="0">
      <w:start w:val="1"/>
      <w:numFmt w:val="decimal"/>
      <w:suff w:val="nothing"/>
      <w:lvlText w:val="%1、"/>
      <w:lvlJc w:val="left"/>
    </w:lvl>
  </w:abstractNum>
  <w:abstractNum w:abstractNumId="143">
    <w:nsid w:val="4F35E85E"/>
    <w:multiLevelType w:val="singleLevel"/>
    <w:tmpl w:val="4F35E85E"/>
    <w:lvl w:ilvl="0" w:tentative="0">
      <w:start w:val="1"/>
      <w:numFmt w:val="decimal"/>
      <w:lvlText w:val="%1."/>
      <w:lvlJc w:val="left"/>
      <w:pPr>
        <w:tabs>
          <w:tab w:val="left" w:pos="312"/>
        </w:tabs>
      </w:pPr>
    </w:lvl>
  </w:abstractNum>
  <w:abstractNum w:abstractNumId="144">
    <w:nsid w:val="519AA7EC"/>
    <w:multiLevelType w:val="singleLevel"/>
    <w:tmpl w:val="519AA7EC"/>
    <w:lvl w:ilvl="0" w:tentative="0">
      <w:start w:val="1"/>
      <w:numFmt w:val="decimal"/>
      <w:lvlText w:val="%1."/>
      <w:lvlJc w:val="left"/>
      <w:pPr>
        <w:tabs>
          <w:tab w:val="left" w:pos="312"/>
        </w:tabs>
      </w:pPr>
    </w:lvl>
  </w:abstractNum>
  <w:abstractNum w:abstractNumId="145">
    <w:nsid w:val="5792DEC6"/>
    <w:multiLevelType w:val="singleLevel"/>
    <w:tmpl w:val="5792DEC6"/>
    <w:lvl w:ilvl="0" w:tentative="0">
      <w:start w:val="1"/>
      <w:numFmt w:val="chineseCounting"/>
      <w:suff w:val="nothing"/>
      <w:lvlText w:val="%1、"/>
      <w:lvlJc w:val="left"/>
      <w:rPr>
        <w:rFonts w:hint="eastAsia"/>
      </w:rPr>
    </w:lvl>
  </w:abstractNum>
  <w:abstractNum w:abstractNumId="146">
    <w:nsid w:val="58BC9025"/>
    <w:multiLevelType w:val="singleLevel"/>
    <w:tmpl w:val="58BC9025"/>
    <w:lvl w:ilvl="0" w:tentative="0">
      <w:start w:val="1"/>
      <w:numFmt w:val="decimal"/>
      <w:lvlText w:val="%1."/>
      <w:lvlJc w:val="left"/>
      <w:pPr>
        <w:tabs>
          <w:tab w:val="left" w:pos="312"/>
        </w:tabs>
      </w:pPr>
    </w:lvl>
  </w:abstractNum>
  <w:abstractNum w:abstractNumId="147">
    <w:nsid w:val="58F9BE7D"/>
    <w:multiLevelType w:val="singleLevel"/>
    <w:tmpl w:val="58F9BE7D"/>
    <w:lvl w:ilvl="0" w:tentative="0">
      <w:start w:val="1"/>
      <w:numFmt w:val="decimal"/>
      <w:lvlText w:val="%1."/>
      <w:lvlJc w:val="left"/>
      <w:pPr>
        <w:tabs>
          <w:tab w:val="left" w:pos="312"/>
        </w:tabs>
      </w:pPr>
    </w:lvl>
  </w:abstractNum>
  <w:abstractNum w:abstractNumId="148">
    <w:nsid w:val="59DE0AF0"/>
    <w:multiLevelType w:val="singleLevel"/>
    <w:tmpl w:val="59DE0AF0"/>
    <w:lvl w:ilvl="0" w:tentative="0">
      <w:start w:val="1"/>
      <w:numFmt w:val="decimal"/>
      <w:lvlText w:val="%1."/>
      <w:lvlJc w:val="left"/>
      <w:pPr>
        <w:tabs>
          <w:tab w:val="left" w:pos="312"/>
        </w:tabs>
      </w:pPr>
    </w:lvl>
  </w:abstractNum>
  <w:abstractNum w:abstractNumId="149">
    <w:nsid w:val="5DAEF928"/>
    <w:multiLevelType w:val="singleLevel"/>
    <w:tmpl w:val="5DAEF928"/>
    <w:lvl w:ilvl="0" w:tentative="0">
      <w:start w:val="1"/>
      <w:numFmt w:val="decimal"/>
      <w:lvlText w:val="%1."/>
      <w:lvlJc w:val="left"/>
      <w:pPr>
        <w:tabs>
          <w:tab w:val="left" w:pos="312"/>
        </w:tabs>
      </w:pPr>
    </w:lvl>
  </w:abstractNum>
  <w:abstractNum w:abstractNumId="150">
    <w:nsid w:val="5F57DF62"/>
    <w:multiLevelType w:val="singleLevel"/>
    <w:tmpl w:val="5F57DF62"/>
    <w:lvl w:ilvl="0" w:tentative="0">
      <w:start w:val="1"/>
      <w:numFmt w:val="decimal"/>
      <w:lvlText w:val="%1."/>
      <w:lvlJc w:val="left"/>
      <w:pPr>
        <w:tabs>
          <w:tab w:val="left" w:pos="312"/>
        </w:tabs>
      </w:pPr>
    </w:lvl>
  </w:abstractNum>
  <w:abstractNum w:abstractNumId="151">
    <w:nsid w:val="625FC54A"/>
    <w:multiLevelType w:val="singleLevel"/>
    <w:tmpl w:val="625FC54A"/>
    <w:lvl w:ilvl="0" w:tentative="0">
      <w:start w:val="1"/>
      <w:numFmt w:val="decimal"/>
      <w:lvlText w:val="%1."/>
      <w:lvlJc w:val="left"/>
      <w:pPr>
        <w:tabs>
          <w:tab w:val="left" w:pos="312"/>
        </w:tabs>
      </w:pPr>
    </w:lvl>
  </w:abstractNum>
  <w:abstractNum w:abstractNumId="152">
    <w:nsid w:val="63773C4A"/>
    <w:multiLevelType w:val="singleLevel"/>
    <w:tmpl w:val="63773C4A"/>
    <w:lvl w:ilvl="0" w:tentative="0">
      <w:start w:val="1"/>
      <w:numFmt w:val="decimal"/>
      <w:lvlText w:val="%1."/>
      <w:lvlJc w:val="left"/>
      <w:pPr>
        <w:tabs>
          <w:tab w:val="left" w:pos="312"/>
        </w:tabs>
      </w:pPr>
    </w:lvl>
  </w:abstractNum>
  <w:abstractNum w:abstractNumId="153">
    <w:nsid w:val="64953231"/>
    <w:multiLevelType w:val="singleLevel"/>
    <w:tmpl w:val="64953231"/>
    <w:lvl w:ilvl="0" w:tentative="0">
      <w:start w:val="1"/>
      <w:numFmt w:val="decimal"/>
      <w:lvlText w:val="%1."/>
      <w:lvlJc w:val="left"/>
      <w:pPr>
        <w:tabs>
          <w:tab w:val="left" w:pos="312"/>
        </w:tabs>
      </w:pPr>
    </w:lvl>
  </w:abstractNum>
  <w:abstractNum w:abstractNumId="154">
    <w:nsid w:val="665EFF18"/>
    <w:multiLevelType w:val="singleLevel"/>
    <w:tmpl w:val="665EFF18"/>
    <w:lvl w:ilvl="0" w:tentative="0">
      <w:start w:val="1"/>
      <w:numFmt w:val="decimal"/>
      <w:suff w:val="nothing"/>
      <w:lvlText w:val="%1、"/>
      <w:lvlJc w:val="left"/>
    </w:lvl>
  </w:abstractNum>
  <w:abstractNum w:abstractNumId="155">
    <w:nsid w:val="66986304"/>
    <w:multiLevelType w:val="singleLevel"/>
    <w:tmpl w:val="66986304"/>
    <w:lvl w:ilvl="0" w:tentative="0">
      <w:start w:val="1"/>
      <w:numFmt w:val="decimal"/>
      <w:suff w:val="nothing"/>
      <w:lvlText w:val="%1、"/>
      <w:lvlJc w:val="left"/>
    </w:lvl>
  </w:abstractNum>
  <w:abstractNum w:abstractNumId="156">
    <w:nsid w:val="68B49EDA"/>
    <w:multiLevelType w:val="singleLevel"/>
    <w:tmpl w:val="68B49EDA"/>
    <w:lvl w:ilvl="0" w:tentative="0">
      <w:start w:val="1"/>
      <w:numFmt w:val="decimal"/>
      <w:lvlText w:val="%1."/>
      <w:lvlJc w:val="left"/>
      <w:pPr>
        <w:tabs>
          <w:tab w:val="left" w:pos="312"/>
        </w:tabs>
      </w:pPr>
    </w:lvl>
  </w:abstractNum>
  <w:abstractNum w:abstractNumId="157">
    <w:nsid w:val="6AD910E6"/>
    <w:multiLevelType w:val="singleLevel"/>
    <w:tmpl w:val="6AD910E6"/>
    <w:lvl w:ilvl="0" w:tentative="0">
      <w:start w:val="1"/>
      <w:numFmt w:val="decimal"/>
      <w:lvlText w:val="%1."/>
      <w:lvlJc w:val="left"/>
      <w:pPr>
        <w:tabs>
          <w:tab w:val="left" w:pos="312"/>
        </w:tabs>
      </w:pPr>
    </w:lvl>
  </w:abstractNum>
  <w:abstractNum w:abstractNumId="158">
    <w:nsid w:val="6C1EF6E8"/>
    <w:multiLevelType w:val="singleLevel"/>
    <w:tmpl w:val="6C1EF6E8"/>
    <w:lvl w:ilvl="0" w:tentative="0">
      <w:start w:val="1"/>
      <w:numFmt w:val="decimal"/>
      <w:lvlText w:val="%1."/>
      <w:lvlJc w:val="left"/>
      <w:pPr>
        <w:tabs>
          <w:tab w:val="left" w:pos="312"/>
        </w:tabs>
      </w:pPr>
    </w:lvl>
  </w:abstractNum>
  <w:abstractNum w:abstractNumId="159">
    <w:nsid w:val="6D5FBD00"/>
    <w:multiLevelType w:val="singleLevel"/>
    <w:tmpl w:val="6D5FBD00"/>
    <w:lvl w:ilvl="0" w:tentative="0">
      <w:start w:val="1"/>
      <w:numFmt w:val="decimal"/>
      <w:suff w:val="nothing"/>
      <w:lvlText w:val="%1、"/>
      <w:lvlJc w:val="left"/>
    </w:lvl>
  </w:abstractNum>
  <w:abstractNum w:abstractNumId="160">
    <w:nsid w:val="6DF20EFC"/>
    <w:multiLevelType w:val="singleLevel"/>
    <w:tmpl w:val="6DF20EFC"/>
    <w:lvl w:ilvl="0" w:tentative="0">
      <w:start w:val="1"/>
      <w:numFmt w:val="decimal"/>
      <w:lvlText w:val="%1."/>
      <w:lvlJc w:val="left"/>
      <w:pPr>
        <w:tabs>
          <w:tab w:val="left" w:pos="312"/>
        </w:tabs>
      </w:pPr>
    </w:lvl>
  </w:abstractNum>
  <w:abstractNum w:abstractNumId="161">
    <w:nsid w:val="6E91488A"/>
    <w:multiLevelType w:val="singleLevel"/>
    <w:tmpl w:val="6E91488A"/>
    <w:lvl w:ilvl="0" w:tentative="0">
      <w:start w:val="1"/>
      <w:numFmt w:val="decimal"/>
      <w:lvlText w:val="%1."/>
      <w:lvlJc w:val="left"/>
      <w:pPr>
        <w:tabs>
          <w:tab w:val="left" w:pos="312"/>
        </w:tabs>
      </w:pPr>
    </w:lvl>
  </w:abstractNum>
  <w:abstractNum w:abstractNumId="162">
    <w:nsid w:val="71ED53B8"/>
    <w:multiLevelType w:val="singleLevel"/>
    <w:tmpl w:val="71ED53B8"/>
    <w:lvl w:ilvl="0" w:tentative="0">
      <w:start w:val="1"/>
      <w:numFmt w:val="decimal"/>
      <w:suff w:val="nothing"/>
      <w:lvlText w:val="%1．"/>
      <w:lvlJc w:val="left"/>
    </w:lvl>
  </w:abstractNum>
  <w:abstractNum w:abstractNumId="163">
    <w:nsid w:val="737C9A1F"/>
    <w:multiLevelType w:val="singleLevel"/>
    <w:tmpl w:val="737C9A1F"/>
    <w:lvl w:ilvl="0" w:tentative="0">
      <w:start w:val="1"/>
      <w:numFmt w:val="decimal"/>
      <w:lvlText w:val="%1."/>
      <w:lvlJc w:val="left"/>
      <w:pPr>
        <w:tabs>
          <w:tab w:val="left" w:pos="312"/>
        </w:tabs>
      </w:pPr>
    </w:lvl>
  </w:abstractNum>
  <w:abstractNum w:abstractNumId="164">
    <w:nsid w:val="748D16CD"/>
    <w:multiLevelType w:val="multilevel"/>
    <w:tmpl w:val="748D16CD"/>
    <w:lvl w:ilvl="0" w:tentative="0">
      <w:start w:val="1"/>
      <w:numFmt w:val="decimal"/>
      <w:pStyle w:val="72"/>
      <w:lvlText w:val="（%1）"/>
      <w:lvlJc w:val="left"/>
      <w:pPr>
        <w:tabs>
          <w:tab w:val="left" w:pos="1200"/>
        </w:tabs>
        <w:ind w:left="1200" w:hanging="720"/>
      </w:pPr>
      <w:rPr>
        <w:rFonts w:hint="default"/>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165">
    <w:nsid w:val="757277DD"/>
    <w:multiLevelType w:val="singleLevel"/>
    <w:tmpl w:val="757277DD"/>
    <w:lvl w:ilvl="0" w:tentative="0">
      <w:start w:val="1"/>
      <w:numFmt w:val="decimal"/>
      <w:suff w:val="nothing"/>
      <w:lvlText w:val="%1、"/>
      <w:lvlJc w:val="left"/>
    </w:lvl>
  </w:abstractNum>
  <w:abstractNum w:abstractNumId="166">
    <w:nsid w:val="7654A5FA"/>
    <w:multiLevelType w:val="singleLevel"/>
    <w:tmpl w:val="7654A5FA"/>
    <w:lvl w:ilvl="0" w:tentative="0">
      <w:start w:val="1"/>
      <w:numFmt w:val="decimal"/>
      <w:suff w:val="nothing"/>
      <w:lvlText w:val="%1、"/>
      <w:lvlJc w:val="left"/>
    </w:lvl>
  </w:abstractNum>
  <w:abstractNum w:abstractNumId="167">
    <w:nsid w:val="77CD520B"/>
    <w:multiLevelType w:val="singleLevel"/>
    <w:tmpl w:val="77CD520B"/>
    <w:lvl w:ilvl="0" w:tentative="0">
      <w:start w:val="1"/>
      <w:numFmt w:val="decimal"/>
      <w:lvlText w:val="%1."/>
      <w:lvlJc w:val="left"/>
      <w:pPr>
        <w:tabs>
          <w:tab w:val="left" w:pos="312"/>
        </w:tabs>
      </w:pPr>
    </w:lvl>
  </w:abstractNum>
  <w:abstractNum w:abstractNumId="168">
    <w:nsid w:val="799CF93E"/>
    <w:multiLevelType w:val="singleLevel"/>
    <w:tmpl w:val="799CF93E"/>
    <w:lvl w:ilvl="0" w:tentative="0">
      <w:start w:val="1"/>
      <w:numFmt w:val="decimal"/>
      <w:suff w:val="nothing"/>
      <w:lvlText w:val="%1、"/>
      <w:lvlJc w:val="left"/>
    </w:lvl>
  </w:abstractNum>
  <w:abstractNum w:abstractNumId="169">
    <w:nsid w:val="7A0F6431"/>
    <w:multiLevelType w:val="singleLevel"/>
    <w:tmpl w:val="7A0F6431"/>
    <w:lvl w:ilvl="0" w:tentative="0">
      <w:start w:val="1"/>
      <w:numFmt w:val="decimal"/>
      <w:suff w:val="space"/>
      <w:lvlText w:val="%1."/>
      <w:lvlJc w:val="left"/>
    </w:lvl>
  </w:abstractNum>
  <w:abstractNum w:abstractNumId="170">
    <w:nsid w:val="7A49D60F"/>
    <w:multiLevelType w:val="singleLevel"/>
    <w:tmpl w:val="7A49D60F"/>
    <w:lvl w:ilvl="0" w:tentative="0">
      <w:start w:val="1"/>
      <w:numFmt w:val="decimal"/>
      <w:lvlText w:val="%1."/>
      <w:lvlJc w:val="left"/>
      <w:pPr>
        <w:tabs>
          <w:tab w:val="left" w:pos="312"/>
        </w:tabs>
      </w:pPr>
    </w:lvl>
  </w:abstractNum>
  <w:abstractNum w:abstractNumId="171">
    <w:nsid w:val="7DB0609E"/>
    <w:multiLevelType w:val="singleLevel"/>
    <w:tmpl w:val="7DB0609E"/>
    <w:lvl w:ilvl="0" w:tentative="0">
      <w:start w:val="1"/>
      <w:numFmt w:val="decimal"/>
      <w:suff w:val="nothing"/>
      <w:lvlText w:val="%1、"/>
      <w:lvlJc w:val="left"/>
    </w:lvl>
  </w:abstractNum>
  <w:abstractNum w:abstractNumId="172">
    <w:nsid w:val="7E6BDF31"/>
    <w:multiLevelType w:val="singleLevel"/>
    <w:tmpl w:val="7E6BDF31"/>
    <w:lvl w:ilvl="0" w:tentative="0">
      <w:start w:val="1"/>
      <w:numFmt w:val="decimal"/>
      <w:lvlText w:val="%1."/>
      <w:lvlJc w:val="left"/>
      <w:pPr>
        <w:tabs>
          <w:tab w:val="left" w:pos="312"/>
        </w:tabs>
      </w:pPr>
    </w:lvl>
  </w:abstractNum>
  <w:num w:numId="1">
    <w:abstractNumId w:val="92"/>
  </w:num>
  <w:num w:numId="2">
    <w:abstractNumId w:val="164"/>
  </w:num>
  <w:num w:numId="3">
    <w:abstractNumId w:val="3"/>
  </w:num>
  <w:num w:numId="4">
    <w:abstractNumId w:val="128"/>
  </w:num>
  <w:num w:numId="5">
    <w:abstractNumId w:val="6"/>
  </w:num>
  <w:num w:numId="6">
    <w:abstractNumId w:val="57"/>
  </w:num>
  <w:num w:numId="7">
    <w:abstractNumId w:val="87"/>
  </w:num>
  <w:num w:numId="8">
    <w:abstractNumId w:val="83"/>
  </w:num>
  <w:num w:numId="9">
    <w:abstractNumId w:val="94"/>
  </w:num>
  <w:num w:numId="10">
    <w:abstractNumId w:val="66"/>
  </w:num>
  <w:num w:numId="11">
    <w:abstractNumId w:val="147"/>
  </w:num>
  <w:num w:numId="12">
    <w:abstractNumId w:val="24"/>
  </w:num>
  <w:num w:numId="13">
    <w:abstractNumId w:val="44"/>
  </w:num>
  <w:num w:numId="14">
    <w:abstractNumId w:val="91"/>
  </w:num>
  <w:num w:numId="15">
    <w:abstractNumId w:val="144"/>
  </w:num>
  <w:num w:numId="16">
    <w:abstractNumId w:val="9"/>
  </w:num>
  <w:num w:numId="17">
    <w:abstractNumId w:val="22"/>
  </w:num>
  <w:num w:numId="18">
    <w:abstractNumId w:val="37"/>
  </w:num>
  <w:num w:numId="19">
    <w:abstractNumId w:val="121"/>
  </w:num>
  <w:num w:numId="20">
    <w:abstractNumId w:val="107"/>
  </w:num>
  <w:num w:numId="21">
    <w:abstractNumId w:val="141"/>
  </w:num>
  <w:num w:numId="22">
    <w:abstractNumId w:val="74"/>
  </w:num>
  <w:num w:numId="23">
    <w:abstractNumId w:val="125"/>
  </w:num>
  <w:num w:numId="24">
    <w:abstractNumId w:val="43"/>
  </w:num>
  <w:num w:numId="25">
    <w:abstractNumId w:val="52"/>
  </w:num>
  <w:num w:numId="26">
    <w:abstractNumId w:val="79"/>
  </w:num>
  <w:num w:numId="27">
    <w:abstractNumId w:val="47"/>
  </w:num>
  <w:num w:numId="28">
    <w:abstractNumId w:val="81"/>
  </w:num>
  <w:num w:numId="29">
    <w:abstractNumId w:val="154"/>
  </w:num>
  <w:num w:numId="30">
    <w:abstractNumId w:val="165"/>
  </w:num>
  <w:num w:numId="31">
    <w:abstractNumId w:val="63"/>
  </w:num>
  <w:num w:numId="32">
    <w:abstractNumId w:val="149"/>
  </w:num>
  <w:num w:numId="33">
    <w:abstractNumId w:val="26"/>
  </w:num>
  <w:num w:numId="34">
    <w:abstractNumId w:val="73"/>
  </w:num>
  <w:num w:numId="35">
    <w:abstractNumId w:val="172"/>
  </w:num>
  <w:num w:numId="36">
    <w:abstractNumId w:val="134"/>
  </w:num>
  <w:num w:numId="37">
    <w:abstractNumId w:val="148"/>
  </w:num>
  <w:num w:numId="38">
    <w:abstractNumId w:val="90"/>
  </w:num>
  <w:num w:numId="39">
    <w:abstractNumId w:val="127"/>
  </w:num>
  <w:num w:numId="40">
    <w:abstractNumId w:val="95"/>
  </w:num>
  <w:num w:numId="41">
    <w:abstractNumId w:val="56"/>
  </w:num>
  <w:num w:numId="42">
    <w:abstractNumId w:val="157"/>
  </w:num>
  <w:num w:numId="43">
    <w:abstractNumId w:val="145"/>
  </w:num>
  <w:num w:numId="44">
    <w:abstractNumId w:val="36"/>
  </w:num>
  <w:num w:numId="45">
    <w:abstractNumId w:val="131"/>
  </w:num>
  <w:num w:numId="46">
    <w:abstractNumId w:val="0"/>
  </w:num>
  <w:num w:numId="47">
    <w:abstractNumId w:val="28"/>
  </w:num>
  <w:num w:numId="48">
    <w:abstractNumId w:val="104"/>
  </w:num>
  <w:num w:numId="49">
    <w:abstractNumId w:val="133"/>
  </w:num>
  <w:num w:numId="50">
    <w:abstractNumId w:val="40"/>
  </w:num>
  <w:num w:numId="51">
    <w:abstractNumId w:val="105"/>
  </w:num>
  <w:num w:numId="52">
    <w:abstractNumId w:val="135"/>
  </w:num>
  <w:num w:numId="53">
    <w:abstractNumId w:val="72"/>
  </w:num>
  <w:num w:numId="54">
    <w:abstractNumId w:val="161"/>
  </w:num>
  <w:num w:numId="55">
    <w:abstractNumId w:val="12"/>
  </w:num>
  <w:num w:numId="56">
    <w:abstractNumId w:val="109"/>
  </w:num>
  <w:num w:numId="57">
    <w:abstractNumId w:val="138"/>
  </w:num>
  <w:num w:numId="58">
    <w:abstractNumId w:val="96"/>
  </w:num>
  <w:num w:numId="59">
    <w:abstractNumId w:val="103"/>
  </w:num>
  <w:num w:numId="60">
    <w:abstractNumId w:val="76"/>
  </w:num>
  <w:num w:numId="61">
    <w:abstractNumId w:val="124"/>
  </w:num>
  <w:num w:numId="62">
    <w:abstractNumId w:val="33"/>
  </w:num>
  <w:num w:numId="63">
    <w:abstractNumId w:val="7"/>
  </w:num>
  <w:num w:numId="64">
    <w:abstractNumId w:val="29"/>
  </w:num>
  <w:num w:numId="65">
    <w:abstractNumId w:val="38"/>
  </w:num>
  <w:num w:numId="66">
    <w:abstractNumId w:val="143"/>
  </w:num>
  <w:num w:numId="67">
    <w:abstractNumId w:val="167"/>
  </w:num>
  <w:num w:numId="68">
    <w:abstractNumId w:val="126"/>
  </w:num>
  <w:num w:numId="69">
    <w:abstractNumId w:val="160"/>
  </w:num>
  <w:num w:numId="70">
    <w:abstractNumId w:val="55"/>
  </w:num>
  <w:num w:numId="71">
    <w:abstractNumId w:val="108"/>
  </w:num>
  <w:num w:numId="72">
    <w:abstractNumId w:val="142"/>
  </w:num>
  <w:num w:numId="73">
    <w:abstractNumId w:val="163"/>
  </w:num>
  <w:num w:numId="74">
    <w:abstractNumId w:val="30"/>
  </w:num>
  <w:num w:numId="75">
    <w:abstractNumId w:val="54"/>
  </w:num>
  <w:num w:numId="76">
    <w:abstractNumId w:val="19"/>
  </w:num>
  <w:num w:numId="77">
    <w:abstractNumId w:val="5"/>
  </w:num>
  <w:num w:numId="78">
    <w:abstractNumId w:val="48"/>
  </w:num>
  <w:num w:numId="79">
    <w:abstractNumId w:val="65"/>
  </w:num>
  <w:num w:numId="80">
    <w:abstractNumId w:val="67"/>
  </w:num>
  <w:num w:numId="81">
    <w:abstractNumId w:val="106"/>
  </w:num>
  <w:num w:numId="82">
    <w:abstractNumId w:val="50"/>
  </w:num>
  <w:num w:numId="83">
    <w:abstractNumId w:val="18"/>
  </w:num>
  <w:num w:numId="84">
    <w:abstractNumId w:val="118"/>
  </w:num>
  <w:num w:numId="85">
    <w:abstractNumId w:val="31"/>
  </w:num>
  <w:num w:numId="86">
    <w:abstractNumId w:val="159"/>
  </w:num>
  <w:num w:numId="87">
    <w:abstractNumId w:val="68"/>
  </w:num>
  <w:num w:numId="88">
    <w:abstractNumId w:val="120"/>
  </w:num>
  <w:num w:numId="89">
    <w:abstractNumId w:val="16"/>
  </w:num>
  <w:num w:numId="90">
    <w:abstractNumId w:val="75"/>
  </w:num>
  <w:num w:numId="91">
    <w:abstractNumId w:val="58"/>
  </w:num>
  <w:num w:numId="92">
    <w:abstractNumId w:val="25"/>
  </w:num>
  <w:num w:numId="93">
    <w:abstractNumId w:val="98"/>
  </w:num>
  <w:num w:numId="94">
    <w:abstractNumId w:val="123"/>
  </w:num>
  <w:num w:numId="95">
    <w:abstractNumId w:val="136"/>
  </w:num>
  <w:num w:numId="96">
    <w:abstractNumId w:val="100"/>
  </w:num>
  <w:num w:numId="97">
    <w:abstractNumId w:val="89"/>
  </w:num>
  <w:num w:numId="98">
    <w:abstractNumId w:val="85"/>
  </w:num>
  <w:num w:numId="99">
    <w:abstractNumId w:val="23"/>
  </w:num>
  <w:num w:numId="100">
    <w:abstractNumId w:val="45"/>
  </w:num>
  <w:num w:numId="101">
    <w:abstractNumId w:val="41"/>
  </w:num>
  <w:num w:numId="102">
    <w:abstractNumId w:val="146"/>
  </w:num>
  <w:num w:numId="103">
    <w:abstractNumId w:val="110"/>
  </w:num>
  <w:num w:numId="104">
    <w:abstractNumId w:val="114"/>
  </w:num>
  <w:num w:numId="105">
    <w:abstractNumId w:val="102"/>
  </w:num>
  <w:num w:numId="106">
    <w:abstractNumId w:val="82"/>
  </w:num>
  <w:num w:numId="107">
    <w:abstractNumId w:val="116"/>
  </w:num>
  <w:num w:numId="108">
    <w:abstractNumId w:val="139"/>
  </w:num>
  <w:num w:numId="109">
    <w:abstractNumId w:val="69"/>
  </w:num>
  <w:num w:numId="110">
    <w:abstractNumId w:val="137"/>
  </w:num>
  <w:num w:numId="111">
    <w:abstractNumId w:val="152"/>
  </w:num>
  <w:num w:numId="112">
    <w:abstractNumId w:val="20"/>
  </w:num>
  <w:num w:numId="113">
    <w:abstractNumId w:val="8"/>
  </w:num>
  <w:num w:numId="114">
    <w:abstractNumId w:val="112"/>
  </w:num>
  <w:num w:numId="115">
    <w:abstractNumId w:val="140"/>
  </w:num>
  <w:num w:numId="116">
    <w:abstractNumId w:val="2"/>
  </w:num>
  <w:num w:numId="117">
    <w:abstractNumId w:val="78"/>
  </w:num>
  <w:num w:numId="118">
    <w:abstractNumId w:val="53"/>
  </w:num>
  <w:num w:numId="119">
    <w:abstractNumId w:val="59"/>
  </w:num>
  <w:num w:numId="120">
    <w:abstractNumId w:val="168"/>
  </w:num>
  <w:num w:numId="121">
    <w:abstractNumId w:val="122"/>
  </w:num>
  <w:num w:numId="122">
    <w:abstractNumId w:val="151"/>
  </w:num>
  <w:num w:numId="123">
    <w:abstractNumId w:val="14"/>
  </w:num>
  <w:num w:numId="124">
    <w:abstractNumId w:val="158"/>
  </w:num>
  <w:num w:numId="125">
    <w:abstractNumId w:val="17"/>
  </w:num>
  <w:num w:numId="126">
    <w:abstractNumId w:val="166"/>
  </w:num>
  <w:num w:numId="127">
    <w:abstractNumId w:val="35"/>
  </w:num>
  <w:num w:numId="128">
    <w:abstractNumId w:val="77"/>
  </w:num>
  <w:num w:numId="129">
    <w:abstractNumId w:val="84"/>
  </w:num>
  <w:num w:numId="130">
    <w:abstractNumId w:val="42"/>
  </w:num>
  <w:num w:numId="131">
    <w:abstractNumId w:val="132"/>
  </w:num>
  <w:num w:numId="132">
    <w:abstractNumId w:val="97"/>
  </w:num>
  <w:num w:numId="133">
    <w:abstractNumId w:val="115"/>
  </w:num>
  <w:num w:numId="134">
    <w:abstractNumId w:val="49"/>
  </w:num>
  <w:num w:numId="135">
    <w:abstractNumId w:val="150"/>
  </w:num>
  <w:num w:numId="136">
    <w:abstractNumId w:val="93"/>
  </w:num>
  <w:num w:numId="137">
    <w:abstractNumId w:val="71"/>
  </w:num>
  <w:num w:numId="138">
    <w:abstractNumId w:val="46"/>
  </w:num>
  <w:num w:numId="139">
    <w:abstractNumId w:val="162"/>
  </w:num>
  <w:num w:numId="140">
    <w:abstractNumId w:val="119"/>
  </w:num>
  <w:num w:numId="141">
    <w:abstractNumId w:val="70"/>
  </w:num>
  <w:num w:numId="142">
    <w:abstractNumId w:val="27"/>
  </w:num>
  <w:num w:numId="143">
    <w:abstractNumId w:val="155"/>
  </w:num>
  <w:num w:numId="144">
    <w:abstractNumId w:val="170"/>
  </w:num>
  <w:num w:numId="145">
    <w:abstractNumId w:val="113"/>
  </w:num>
  <w:num w:numId="146">
    <w:abstractNumId w:val="34"/>
  </w:num>
  <w:num w:numId="147">
    <w:abstractNumId w:val="80"/>
  </w:num>
  <w:num w:numId="148">
    <w:abstractNumId w:val="32"/>
  </w:num>
  <w:num w:numId="149">
    <w:abstractNumId w:val="10"/>
  </w:num>
  <w:num w:numId="150">
    <w:abstractNumId w:val="21"/>
  </w:num>
  <w:num w:numId="151">
    <w:abstractNumId w:val="130"/>
  </w:num>
  <w:num w:numId="152">
    <w:abstractNumId w:val="156"/>
  </w:num>
  <w:num w:numId="153">
    <w:abstractNumId w:val="111"/>
  </w:num>
  <w:num w:numId="154">
    <w:abstractNumId w:val="64"/>
  </w:num>
  <w:num w:numId="155">
    <w:abstractNumId w:val="101"/>
  </w:num>
  <w:num w:numId="156">
    <w:abstractNumId w:val="99"/>
  </w:num>
  <w:num w:numId="157">
    <w:abstractNumId w:val="153"/>
  </w:num>
  <w:num w:numId="158">
    <w:abstractNumId w:val="88"/>
  </w:num>
  <w:num w:numId="159">
    <w:abstractNumId w:val="129"/>
  </w:num>
  <w:num w:numId="160">
    <w:abstractNumId w:val="117"/>
  </w:num>
  <w:num w:numId="161">
    <w:abstractNumId w:val="15"/>
  </w:num>
  <w:num w:numId="162">
    <w:abstractNumId w:val="11"/>
  </w:num>
  <w:num w:numId="163">
    <w:abstractNumId w:val="1"/>
  </w:num>
  <w:num w:numId="164">
    <w:abstractNumId w:val="4"/>
  </w:num>
  <w:num w:numId="165">
    <w:abstractNumId w:val="171"/>
  </w:num>
  <w:num w:numId="166">
    <w:abstractNumId w:val="13"/>
  </w:num>
  <w:num w:numId="167">
    <w:abstractNumId w:val="169"/>
  </w:num>
  <w:num w:numId="168">
    <w:abstractNumId w:val="51"/>
  </w:num>
  <w:num w:numId="169">
    <w:abstractNumId w:val="86"/>
  </w:num>
  <w:num w:numId="170">
    <w:abstractNumId w:val="61"/>
  </w:num>
  <w:num w:numId="171">
    <w:abstractNumId w:val="60"/>
  </w:num>
  <w:num w:numId="172">
    <w:abstractNumId w:val="39"/>
  </w:num>
  <w:num w:numId="173">
    <w:abstractNumId w:val="6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VkNzIxOWY3ZGNiMjY2ZTM5ZmM0NmJjNGI4MjFiNTYifQ=="/>
  </w:docVars>
  <w:rsids>
    <w:rsidRoot w:val="00172A27"/>
    <w:rsid w:val="00000A61"/>
    <w:rsid w:val="00000A83"/>
    <w:rsid w:val="000013FE"/>
    <w:rsid w:val="0000186F"/>
    <w:rsid w:val="00001A03"/>
    <w:rsid w:val="00002568"/>
    <w:rsid w:val="00002840"/>
    <w:rsid w:val="000037DE"/>
    <w:rsid w:val="00003D23"/>
    <w:rsid w:val="00004EAF"/>
    <w:rsid w:val="000050B2"/>
    <w:rsid w:val="00006552"/>
    <w:rsid w:val="00007CA8"/>
    <w:rsid w:val="0001024D"/>
    <w:rsid w:val="00010382"/>
    <w:rsid w:val="00013365"/>
    <w:rsid w:val="00013466"/>
    <w:rsid w:val="00013574"/>
    <w:rsid w:val="00013923"/>
    <w:rsid w:val="00014A82"/>
    <w:rsid w:val="00015858"/>
    <w:rsid w:val="00015A29"/>
    <w:rsid w:val="00015CD5"/>
    <w:rsid w:val="0001617A"/>
    <w:rsid w:val="00017581"/>
    <w:rsid w:val="000175E8"/>
    <w:rsid w:val="00017CF0"/>
    <w:rsid w:val="00017F9C"/>
    <w:rsid w:val="00023516"/>
    <w:rsid w:val="000252F0"/>
    <w:rsid w:val="00025EED"/>
    <w:rsid w:val="00027D0F"/>
    <w:rsid w:val="00030A53"/>
    <w:rsid w:val="00031705"/>
    <w:rsid w:val="00031BBE"/>
    <w:rsid w:val="00031C52"/>
    <w:rsid w:val="00032D53"/>
    <w:rsid w:val="000333AE"/>
    <w:rsid w:val="00033644"/>
    <w:rsid w:val="00033EFF"/>
    <w:rsid w:val="00035663"/>
    <w:rsid w:val="000358FA"/>
    <w:rsid w:val="00035B2B"/>
    <w:rsid w:val="000379E3"/>
    <w:rsid w:val="00040235"/>
    <w:rsid w:val="00040247"/>
    <w:rsid w:val="00040313"/>
    <w:rsid w:val="00040E14"/>
    <w:rsid w:val="0004234C"/>
    <w:rsid w:val="0004444E"/>
    <w:rsid w:val="00045B4B"/>
    <w:rsid w:val="00046881"/>
    <w:rsid w:val="00047440"/>
    <w:rsid w:val="0004759C"/>
    <w:rsid w:val="0005019F"/>
    <w:rsid w:val="000508AD"/>
    <w:rsid w:val="0005168D"/>
    <w:rsid w:val="0005208E"/>
    <w:rsid w:val="00052DBD"/>
    <w:rsid w:val="00053BE1"/>
    <w:rsid w:val="00053C94"/>
    <w:rsid w:val="000566BD"/>
    <w:rsid w:val="0005701C"/>
    <w:rsid w:val="000606A2"/>
    <w:rsid w:val="00060C04"/>
    <w:rsid w:val="00060F58"/>
    <w:rsid w:val="00061310"/>
    <w:rsid w:val="00061914"/>
    <w:rsid w:val="000620A1"/>
    <w:rsid w:val="000638C9"/>
    <w:rsid w:val="00064041"/>
    <w:rsid w:val="00064591"/>
    <w:rsid w:val="000662FC"/>
    <w:rsid w:val="000666F2"/>
    <w:rsid w:val="000675E6"/>
    <w:rsid w:val="000677C7"/>
    <w:rsid w:val="00067D0B"/>
    <w:rsid w:val="000709FB"/>
    <w:rsid w:val="00070B21"/>
    <w:rsid w:val="00070F95"/>
    <w:rsid w:val="000717EA"/>
    <w:rsid w:val="00072573"/>
    <w:rsid w:val="0007343D"/>
    <w:rsid w:val="00073EB0"/>
    <w:rsid w:val="000745C1"/>
    <w:rsid w:val="0007473A"/>
    <w:rsid w:val="00074CB8"/>
    <w:rsid w:val="00076502"/>
    <w:rsid w:val="000775DD"/>
    <w:rsid w:val="000777C0"/>
    <w:rsid w:val="00082346"/>
    <w:rsid w:val="000841E5"/>
    <w:rsid w:val="00085204"/>
    <w:rsid w:val="00087335"/>
    <w:rsid w:val="00087CA6"/>
    <w:rsid w:val="000904BC"/>
    <w:rsid w:val="000909AB"/>
    <w:rsid w:val="00090D47"/>
    <w:rsid w:val="00091751"/>
    <w:rsid w:val="000917F5"/>
    <w:rsid w:val="000921D2"/>
    <w:rsid w:val="00092E61"/>
    <w:rsid w:val="00094343"/>
    <w:rsid w:val="0009483A"/>
    <w:rsid w:val="0009530E"/>
    <w:rsid w:val="00095A0E"/>
    <w:rsid w:val="00096239"/>
    <w:rsid w:val="00096A68"/>
    <w:rsid w:val="00097FB9"/>
    <w:rsid w:val="000A0022"/>
    <w:rsid w:val="000A0CD6"/>
    <w:rsid w:val="000A2575"/>
    <w:rsid w:val="000A25D2"/>
    <w:rsid w:val="000A2631"/>
    <w:rsid w:val="000A3313"/>
    <w:rsid w:val="000A3BB4"/>
    <w:rsid w:val="000A4283"/>
    <w:rsid w:val="000A4354"/>
    <w:rsid w:val="000A472A"/>
    <w:rsid w:val="000A6658"/>
    <w:rsid w:val="000B0390"/>
    <w:rsid w:val="000B0F6F"/>
    <w:rsid w:val="000B1637"/>
    <w:rsid w:val="000B1715"/>
    <w:rsid w:val="000B2722"/>
    <w:rsid w:val="000B320F"/>
    <w:rsid w:val="000B33DF"/>
    <w:rsid w:val="000B3A4F"/>
    <w:rsid w:val="000B4504"/>
    <w:rsid w:val="000B48CB"/>
    <w:rsid w:val="000B5D7D"/>
    <w:rsid w:val="000B65AA"/>
    <w:rsid w:val="000B67D9"/>
    <w:rsid w:val="000B6A6A"/>
    <w:rsid w:val="000B7DF1"/>
    <w:rsid w:val="000C035B"/>
    <w:rsid w:val="000C0714"/>
    <w:rsid w:val="000C188C"/>
    <w:rsid w:val="000C245B"/>
    <w:rsid w:val="000C2AE6"/>
    <w:rsid w:val="000C354A"/>
    <w:rsid w:val="000C4FD9"/>
    <w:rsid w:val="000C52A0"/>
    <w:rsid w:val="000C5AEB"/>
    <w:rsid w:val="000C6270"/>
    <w:rsid w:val="000C6B2C"/>
    <w:rsid w:val="000C70C2"/>
    <w:rsid w:val="000C7812"/>
    <w:rsid w:val="000D04C8"/>
    <w:rsid w:val="000D0769"/>
    <w:rsid w:val="000D0E5E"/>
    <w:rsid w:val="000D1018"/>
    <w:rsid w:val="000D1FBF"/>
    <w:rsid w:val="000D211B"/>
    <w:rsid w:val="000D2A3F"/>
    <w:rsid w:val="000D344B"/>
    <w:rsid w:val="000D4C3A"/>
    <w:rsid w:val="000D5249"/>
    <w:rsid w:val="000D6185"/>
    <w:rsid w:val="000D6514"/>
    <w:rsid w:val="000E166F"/>
    <w:rsid w:val="000E3DCC"/>
    <w:rsid w:val="000E4525"/>
    <w:rsid w:val="000E46D9"/>
    <w:rsid w:val="000E4E95"/>
    <w:rsid w:val="000E50DD"/>
    <w:rsid w:val="000E640C"/>
    <w:rsid w:val="000E7308"/>
    <w:rsid w:val="000E7417"/>
    <w:rsid w:val="000E741F"/>
    <w:rsid w:val="000F1A45"/>
    <w:rsid w:val="000F1AF9"/>
    <w:rsid w:val="000F21C8"/>
    <w:rsid w:val="000F3713"/>
    <w:rsid w:val="000F376A"/>
    <w:rsid w:val="000F37AB"/>
    <w:rsid w:val="000F4155"/>
    <w:rsid w:val="000F44CB"/>
    <w:rsid w:val="000F4F2F"/>
    <w:rsid w:val="000F5226"/>
    <w:rsid w:val="000F5866"/>
    <w:rsid w:val="000F5B64"/>
    <w:rsid w:val="000F620C"/>
    <w:rsid w:val="000F7591"/>
    <w:rsid w:val="001000C3"/>
    <w:rsid w:val="0010071B"/>
    <w:rsid w:val="001047E3"/>
    <w:rsid w:val="00104908"/>
    <w:rsid w:val="00104D5D"/>
    <w:rsid w:val="00105A9C"/>
    <w:rsid w:val="00106446"/>
    <w:rsid w:val="00107077"/>
    <w:rsid w:val="00107FD9"/>
    <w:rsid w:val="00110169"/>
    <w:rsid w:val="00110B4B"/>
    <w:rsid w:val="001113FC"/>
    <w:rsid w:val="00111596"/>
    <w:rsid w:val="00111CC9"/>
    <w:rsid w:val="00112A3D"/>
    <w:rsid w:val="001133AC"/>
    <w:rsid w:val="00113C61"/>
    <w:rsid w:val="00114B15"/>
    <w:rsid w:val="00117058"/>
    <w:rsid w:val="00117143"/>
    <w:rsid w:val="00120369"/>
    <w:rsid w:val="001209B4"/>
    <w:rsid w:val="00121A30"/>
    <w:rsid w:val="001228FD"/>
    <w:rsid w:val="001232B6"/>
    <w:rsid w:val="00124345"/>
    <w:rsid w:val="00125769"/>
    <w:rsid w:val="00125F48"/>
    <w:rsid w:val="00126231"/>
    <w:rsid w:val="001264B5"/>
    <w:rsid w:val="001264DC"/>
    <w:rsid w:val="00127083"/>
    <w:rsid w:val="0013172D"/>
    <w:rsid w:val="001322EF"/>
    <w:rsid w:val="001324B3"/>
    <w:rsid w:val="001345E9"/>
    <w:rsid w:val="00134894"/>
    <w:rsid w:val="001348D3"/>
    <w:rsid w:val="00135375"/>
    <w:rsid w:val="001370E3"/>
    <w:rsid w:val="00137DBD"/>
    <w:rsid w:val="00137DCD"/>
    <w:rsid w:val="00140C4D"/>
    <w:rsid w:val="00140DA3"/>
    <w:rsid w:val="00140EB0"/>
    <w:rsid w:val="00140EB5"/>
    <w:rsid w:val="001413DF"/>
    <w:rsid w:val="00141BEE"/>
    <w:rsid w:val="00143121"/>
    <w:rsid w:val="00144141"/>
    <w:rsid w:val="00144F97"/>
    <w:rsid w:val="00145791"/>
    <w:rsid w:val="0014699B"/>
    <w:rsid w:val="00146D14"/>
    <w:rsid w:val="00151BA6"/>
    <w:rsid w:val="0015269F"/>
    <w:rsid w:val="00153C89"/>
    <w:rsid w:val="0015463C"/>
    <w:rsid w:val="00156049"/>
    <w:rsid w:val="001564DB"/>
    <w:rsid w:val="00156F75"/>
    <w:rsid w:val="00160AA3"/>
    <w:rsid w:val="00160E3C"/>
    <w:rsid w:val="001617E9"/>
    <w:rsid w:val="00162175"/>
    <w:rsid w:val="00162403"/>
    <w:rsid w:val="0016254E"/>
    <w:rsid w:val="00162F23"/>
    <w:rsid w:val="001637C1"/>
    <w:rsid w:val="0016451E"/>
    <w:rsid w:val="00164C0D"/>
    <w:rsid w:val="001655DB"/>
    <w:rsid w:val="0016583A"/>
    <w:rsid w:val="00166A7A"/>
    <w:rsid w:val="00166F38"/>
    <w:rsid w:val="00167313"/>
    <w:rsid w:val="00167763"/>
    <w:rsid w:val="001708E8"/>
    <w:rsid w:val="00171489"/>
    <w:rsid w:val="0017148D"/>
    <w:rsid w:val="00172305"/>
    <w:rsid w:val="0017284E"/>
    <w:rsid w:val="00172A27"/>
    <w:rsid w:val="0017334A"/>
    <w:rsid w:val="00173713"/>
    <w:rsid w:val="00173A95"/>
    <w:rsid w:val="00173D83"/>
    <w:rsid w:val="0017404D"/>
    <w:rsid w:val="00175C3F"/>
    <w:rsid w:val="00175FE2"/>
    <w:rsid w:val="0017633E"/>
    <w:rsid w:val="00176863"/>
    <w:rsid w:val="001773C6"/>
    <w:rsid w:val="0017741D"/>
    <w:rsid w:val="001810E9"/>
    <w:rsid w:val="00181D2E"/>
    <w:rsid w:val="001828D3"/>
    <w:rsid w:val="001833C8"/>
    <w:rsid w:val="001846F2"/>
    <w:rsid w:val="001850A4"/>
    <w:rsid w:val="00185B43"/>
    <w:rsid w:val="00186927"/>
    <w:rsid w:val="001870D2"/>
    <w:rsid w:val="001875E2"/>
    <w:rsid w:val="00190053"/>
    <w:rsid w:val="00190101"/>
    <w:rsid w:val="00190C8F"/>
    <w:rsid w:val="001910EC"/>
    <w:rsid w:val="00191A57"/>
    <w:rsid w:val="00192075"/>
    <w:rsid w:val="00193526"/>
    <w:rsid w:val="00195771"/>
    <w:rsid w:val="00197441"/>
    <w:rsid w:val="001A01D2"/>
    <w:rsid w:val="001A053D"/>
    <w:rsid w:val="001A101A"/>
    <w:rsid w:val="001A12A4"/>
    <w:rsid w:val="001A130A"/>
    <w:rsid w:val="001A2976"/>
    <w:rsid w:val="001A3AA5"/>
    <w:rsid w:val="001A3AFC"/>
    <w:rsid w:val="001A3BCB"/>
    <w:rsid w:val="001A4D9B"/>
    <w:rsid w:val="001A561A"/>
    <w:rsid w:val="001A58C6"/>
    <w:rsid w:val="001A59EB"/>
    <w:rsid w:val="001B0B82"/>
    <w:rsid w:val="001B2294"/>
    <w:rsid w:val="001B313B"/>
    <w:rsid w:val="001B383C"/>
    <w:rsid w:val="001B4531"/>
    <w:rsid w:val="001B4F01"/>
    <w:rsid w:val="001B5907"/>
    <w:rsid w:val="001C0B10"/>
    <w:rsid w:val="001C2072"/>
    <w:rsid w:val="001C274B"/>
    <w:rsid w:val="001C3481"/>
    <w:rsid w:val="001C4E4C"/>
    <w:rsid w:val="001C5444"/>
    <w:rsid w:val="001C737E"/>
    <w:rsid w:val="001C7B25"/>
    <w:rsid w:val="001D0F5F"/>
    <w:rsid w:val="001D1A86"/>
    <w:rsid w:val="001D26DC"/>
    <w:rsid w:val="001D300D"/>
    <w:rsid w:val="001D302B"/>
    <w:rsid w:val="001D537E"/>
    <w:rsid w:val="001D574C"/>
    <w:rsid w:val="001D5B75"/>
    <w:rsid w:val="001E1D4A"/>
    <w:rsid w:val="001E3396"/>
    <w:rsid w:val="001E3A6E"/>
    <w:rsid w:val="001E3AF6"/>
    <w:rsid w:val="001E3D6A"/>
    <w:rsid w:val="001E4458"/>
    <w:rsid w:val="001E59F7"/>
    <w:rsid w:val="001E6A66"/>
    <w:rsid w:val="001F075D"/>
    <w:rsid w:val="001F0A0C"/>
    <w:rsid w:val="001F130D"/>
    <w:rsid w:val="001F1819"/>
    <w:rsid w:val="001F3A23"/>
    <w:rsid w:val="001F4878"/>
    <w:rsid w:val="001F5321"/>
    <w:rsid w:val="001F534E"/>
    <w:rsid w:val="001F5B18"/>
    <w:rsid w:val="001F7AFA"/>
    <w:rsid w:val="001F7E35"/>
    <w:rsid w:val="00200789"/>
    <w:rsid w:val="002008A9"/>
    <w:rsid w:val="00200C39"/>
    <w:rsid w:val="00200D09"/>
    <w:rsid w:val="002018AB"/>
    <w:rsid w:val="002023F0"/>
    <w:rsid w:val="0020308E"/>
    <w:rsid w:val="00203EA6"/>
    <w:rsid w:val="00205CF8"/>
    <w:rsid w:val="00206018"/>
    <w:rsid w:val="00207D02"/>
    <w:rsid w:val="00210EE8"/>
    <w:rsid w:val="00210F21"/>
    <w:rsid w:val="00211F38"/>
    <w:rsid w:val="0021548B"/>
    <w:rsid w:val="002157B6"/>
    <w:rsid w:val="00215C17"/>
    <w:rsid w:val="00215D98"/>
    <w:rsid w:val="00216282"/>
    <w:rsid w:val="00216FA2"/>
    <w:rsid w:val="002203CE"/>
    <w:rsid w:val="00221240"/>
    <w:rsid w:val="00221600"/>
    <w:rsid w:val="00221BE4"/>
    <w:rsid w:val="00223541"/>
    <w:rsid w:val="00223B66"/>
    <w:rsid w:val="002240A4"/>
    <w:rsid w:val="0022478B"/>
    <w:rsid w:val="00225547"/>
    <w:rsid w:val="00226CCD"/>
    <w:rsid w:val="00227B2C"/>
    <w:rsid w:val="002303FF"/>
    <w:rsid w:val="00230B4C"/>
    <w:rsid w:val="00231C9E"/>
    <w:rsid w:val="0023235C"/>
    <w:rsid w:val="00232836"/>
    <w:rsid w:val="00232D80"/>
    <w:rsid w:val="0023339C"/>
    <w:rsid w:val="00234309"/>
    <w:rsid w:val="00235123"/>
    <w:rsid w:val="002416E2"/>
    <w:rsid w:val="002419D0"/>
    <w:rsid w:val="00242897"/>
    <w:rsid w:val="00242A62"/>
    <w:rsid w:val="002444EA"/>
    <w:rsid w:val="00244B2A"/>
    <w:rsid w:val="00245EF6"/>
    <w:rsid w:val="00250A62"/>
    <w:rsid w:val="0025131F"/>
    <w:rsid w:val="00253669"/>
    <w:rsid w:val="00255AC7"/>
    <w:rsid w:val="002569C5"/>
    <w:rsid w:val="00256A84"/>
    <w:rsid w:val="00257F4D"/>
    <w:rsid w:val="00260902"/>
    <w:rsid w:val="00260A71"/>
    <w:rsid w:val="0026198C"/>
    <w:rsid w:val="002619D5"/>
    <w:rsid w:val="00261AC6"/>
    <w:rsid w:val="00262FCB"/>
    <w:rsid w:val="00263AB2"/>
    <w:rsid w:val="002643E5"/>
    <w:rsid w:val="00264503"/>
    <w:rsid w:val="00264EB2"/>
    <w:rsid w:val="00265009"/>
    <w:rsid w:val="0026705D"/>
    <w:rsid w:val="00267C83"/>
    <w:rsid w:val="00270DBF"/>
    <w:rsid w:val="00271E4A"/>
    <w:rsid w:val="00272498"/>
    <w:rsid w:val="002725B6"/>
    <w:rsid w:val="002726B5"/>
    <w:rsid w:val="00276030"/>
    <w:rsid w:val="00276AC4"/>
    <w:rsid w:val="00276F7B"/>
    <w:rsid w:val="0027767A"/>
    <w:rsid w:val="002815E4"/>
    <w:rsid w:val="0028240A"/>
    <w:rsid w:val="00282892"/>
    <w:rsid w:val="00283506"/>
    <w:rsid w:val="00283A43"/>
    <w:rsid w:val="002842BF"/>
    <w:rsid w:val="00284301"/>
    <w:rsid w:val="00284647"/>
    <w:rsid w:val="0028487B"/>
    <w:rsid w:val="002849EB"/>
    <w:rsid w:val="002859F4"/>
    <w:rsid w:val="00285A81"/>
    <w:rsid w:val="00285BDF"/>
    <w:rsid w:val="00285F61"/>
    <w:rsid w:val="002862E3"/>
    <w:rsid w:val="002868A8"/>
    <w:rsid w:val="00287BB6"/>
    <w:rsid w:val="00287E12"/>
    <w:rsid w:val="00290DAB"/>
    <w:rsid w:val="00291042"/>
    <w:rsid w:val="00291C24"/>
    <w:rsid w:val="00292441"/>
    <w:rsid w:val="00292F73"/>
    <w:rsid w:val="002935CC"/>
    <w:rsid w:val="00293A07"/>
    <w:rsid w:val="002950BC"/>
    <w:rsid w:val="002958E2"/>
    <w:rsid w:val="00295CE8"/>
    <w:rsid w:val="002962B1"/>
    <w:rsid w:val="00296457"/>
    <w:rsid w:val="002965AD"/>
    <w:rsid w:val="00297B75"/>
    <w:rsid w:val="002A0206"/>
    <w:rsid w:val="002A0C4E"/>
    <w:rsid w:val="002A15D6"/>
    <w:rsid w:val="002A1672"/>
    <w:rsid w:val="002A22D6"/>
    <w:rsid w:val="002A3505"/>
    <w:rsid w:val="002A3741"/>
    <w:rsid w:val="002A4AAB"/>
    <w:rsid w:val="002A5CB2"/>
    <w:rsid w:val="002A5E44"/>
    <w:rsid w:val="002A65E2"/>
    <w:rsid w:val="002A7BBC"/>
    <w:rsid w:val="002B00AE"/>
    <w:rsid w:val="002B12E2"/>
    <w:rsid w:val="002B1662"/>
    <w:rsid w:val="002B3ADA"/>
    <w:rsid w:val="002B3F03"/>
    <w:rsid w:val="002B4148"/>
    <w:rsid w:val="002B469A"/>
    <w:rsid w:val="002B4D14"/>
    <w:rsid w:val="002B51EA"/>
    <w:rsid w:val="002B5C26"/>
    <w:rsid w:val="002B7009"/>
    <w:rsid w:val="002B7974"/>
    <w:rsid w:val="002C0DD0"/>
    <w:rsid w:val="002C1AB9"/>
    <w:rsid w:val="002C2D6E"/>
    <w:rsid w:val="002C3042"/>
    <w:rsid w:val="002C33EB"/>
    <w:rsid w:val="002C363B"/>
    <w:rsid w:val="002C465A"/>
    <w:rsid w:val="002C666B"/>
    <w:rsid w:val="002C6C07"/>
    <w:rsid w:val="002C6E3F"/>
    <w:rsid w:val="002C7157"/>
    <w:rsid w:val="002D13DD"/>
    <w:rsid w:val="002D1777"/>
    <w:rsid w:val="002D2F30"/>
    <w:rsid w:val="002D47DE"/>
    <w:rsid w:val="002D54FF"/>
    <w:rsid w:val="002D5C40"/>
    <w:rsid w:val="002D61AB"/>
    <w:rsid w:val="002D7BB2"/>
    <w:rsid w:val="002E1F2C"/>
    <w:rsid w:val="002E273F"/>
    <w:rsid w:val="002E28E9"/>
    <w:rsid w:val="002E348F"/>
    <w:rsid w:val="002E36ED"/>
    <w:rsid w:val="002E466F"/>
    <w:rsid w:val="002E6BFE"/>
    <w:rsid w:val="002F1878"/>
    <w:rsid w:val="002F4310"/>
    <w:rsid w:val="002F4865"/>
    <w:rsid w:val="002F499D"/>
    <w:rsid w:val="002F557D"/>
    <w:rsid w:val="002F654F"/>
    <w:rsid w:val="002F7B60"/>
    <w:rsid w:val="0030203A"/>
    <w:rsid w:val="00305B69"/>
    <w:rsid w:val="00306A74"/>
    <w:rsid w:val="00311CEC"/>
    <w:rsid w:val="003125B0"/>
    <w:rsid w:val="00313325"/>
    <w:rsid w:val="00313A4D"/>
    <w:rsid w:val="00313F34"/>
    <w:rsid w:val="00314DB9"/>
    <w:rsid w:val="00314E01"/>
    <w:rsid w:val="00316075"/>
    <w:rsid w:val="0031707F"/>
    <w:rsid w:val="00321E2F"/>
    <w:rsid w:val="003246F2"/>
    <w:rsid w:val="00324865"/>
    <w:rsid w:val="00324B01"/>
    <w:rsid w:val="00324E36"/>
    <w:rsid w:val="0032557C"/>
    <w:rsid w:val="00326478"/>
    <w:rsid w:val="0032788A"/>
    <w:rsid w:val="00331031"/>
    <w:rsid w:val="00331281"/>
    <w:rsid w:val="003333CF"/>
    <w:rsid w:val="003347D8"/>
    <w:rsid w:val="003347F8"/>
    <w:rsid w:val="003348AD"/>
    <w:rsid w:val="003350FF"/>
    <w:rsid w:val="0033575A"/>
    <w:rsid w:val="003359F2"/>
    <w:rsid w:val="00340374"/>
    <w:rsid w:val="003405B0"/>
    <w:rsid w:val="00340734"/>
    <w:rsid w:val="0034095A"/>
    <w:rsid w:val="00340B45"/>
    <w:rsid w:val="0034287E"/>
    <w:rsid w:val="00342E44"/>
    <w:rsid w:val="00343125"/>
    <w:rsid w:val="00343334"/>
    <w:rsid w:val="00346F10"/>
    <w:rsid w:val="00347DC8"/>
    <w:rsid w:val="00350642"/>
    <w:rsid w:val="0035087B"/>
    <w:rsid w:val="00352E5D"/>
    <w:rsid w:val="003538B4"/>
    <w:rsid w:val="00353D3F"/>
    <w:rsid w:val="003546A7"/>
    <w:rsid w:val="00354E41"/>
    <w:rsid w:val="00355F7D"/>
    <w:rsid w:val="00356C0C"/>
    <w:rsid w:val="00357A18"/>
    <w:rsid w:val="00357CAE"/>
    <w:rsid w:val="0036003D"/>
    <w:rsid w:val="003601EE"/>
    <w:rsid w:val="0036092F"/>
    <w:rsid w:val="0036212C"/>
    <w:rsid w:val="00364709"/>
    <w:rsid w:val="00365849"/>
    <w:rsid w:val="00365CEB"/>
    <w:rsid w:val="0036608F"/>
    <w:rsid w:val="00367761"/>
    <w:rsid w:val="00370697"/>
    <w:rsid w:val="003709B9"/>
    <w:rsid w:val="00371061"/>
    <w:rsid w:val="003723EC"/>
    <w:rsid w:val="003725C2"/>
    <w:rsid w:val="00373228"/>
    <w:rsid w:val="0037398C"/>
    <w:rsid w:val="00373BCB"/>
    <w:rsid w:val="00373DDA"/>
    <w:rsid w:val="003751D4"/>
    <w:rsid w:val="003765C9"/>
    <w:rsid w:val="0037765F"/>
    <w:rsid w:val="0037789B"/>
    <w:rsid w:val="003805C3"/>
    <w:rsid w:val="003808DC"/>
    <w:rsid w:val="003812EE"/>
    <w:rsid w:val="00381353"/>
    <w:rsid w:val="003817D3"/>
    <w:rsid w:val="00381AD3"/>
    <w:rsid w:val="00382023"/>
    <w:rsid w:val="00382317"/>
    <w:rsid w:val="00382748"/>
    <w:rsid w:val="0038366B"/>
    <w:rsid w:val="00383E27"/>
    <w:rsid w:val="00384A33"/>
    <w:rsid w:val="00384F53"/>
    <w:rsid w:val="0038718B"/>
    <w:rsid w:val="00390037"/>
    <w:rsid w:val="003908CB"/>
    <w:rsid w:val="00390C73"/>
    <w:rsid w:val="00390F51"/>
    <w:rsid w:val="00391805"/>
    <w:rsid w:val="00392780"/>
    <w:rsid w:val="0039500C"/>
    <w:rsid w:val="003965DB"/>
    <w:rsid w:val="003966A4"/>
    <w:rsid w:val="00397EA7"/>
    <w:rsid w:val="003A131A"/>
    <w:rsid w:val="003A1873"/>
    <w:rsid w:val="003A3153"/>
    <w:rsid w:val="003A389D"/>
    <w:rsid w:val="003A4099"/>
    <w:rsid w:val="003A4572"/>
    <w:rsid w:val="003A48A3"/>
    <w:rsid w:val="003A4DEB"/>
    <w:rsid w:val="003A56B4"/>
    <w:rsid w:val="003A63A3"/>
    <w:rsid w:val="003A7CE9"/>
    <w:rsid w:val="003A7D94"/>
    <w:rsid w:val="003B074C"/>
    <w:rsid w:val="003B304F"/>
    <w:rsid w:val="003B36FD"/>
    <w:rsid w:val="003B52E3"/>
    <w:rsid w:val="003B6EB4"/>
    <w:rsid w:val="003C0A14"/>
    <w:rsid w:val="003C1256"/>
    <w:rsid w:val="003C1404"/>
    <w:rsid w:val="003C229B"/>
    <w:rsid w:val="003C2F63"/>
    <w:rsid w:val="003C4815"/>
    <w:rsid w:val="003C5D94"/>
    <w:rsid w:val="003C7A73"/>
    <w:rsid w:val="003D061C"/>
    <w:rsid w:val="003D16A0"/>
    <w:rsid w:val="003D1765"/>
    <w:rsid w:val="003D188B"/>
    <w:rsid w:val="003D36E9"/>
    <w:rsid w:val="003D3B9A"/>
    <w:rsid w:val="003D42BA"/>
    <w:rsid w:val="003D4669"/>
    <w:rsid w:val="003D5E2A"/>
    <w:rsid w:val="003D6B57"/>
    <w:rsid w:val="003E0880"/>
    <w:rsid w:val="003E0893"/>
    <w:rsid w:val="003E0C00"/>
    <w:rsid w:val="003E3CBC"/>
    <w:rsid w:val="003E4724"/>
    <w:rsid w:val="003E5316"/>
    <w:rsid w:val="003E550D"/>
    <w:rsid w:val="003E5B81"/>
    <w:rsid w:val="003E63DA"/>
    <w:rsid w:val="003E6885"/>
    <w:rsid w:val="003E6E9A"/>
    <w:rsid w:val="003E7A91"/>
    <w:rsid w:val="003F0052"/>
    <w:rsid w:val="003F080A"/>
    <w:rsid w:val="003F2BA3"/>
    <w:rsid w:val="003F3859"/>
    <w:rsid w:val="003F4609"/>
    <w:rsid w:val="003F47E7"/>
    <w:rsid w:val="003F4887"/>
    <w:rsid w:val="003F5AD8"/>
    <w:rsid w:val="003F64A0"/>
    <w:rsid w:val="003F6718"/>
    <w:rsid w:val="003F7372"/>
    <w:rsid w:val="003F7A91"/>
    <w:rsid w:val="00400ACB"/>
    <w:rsid w:val="004014AC"/>
    <w:rsid w:val="00401EA9"/>
    <w:rsid w:val="00402BA3"/>
    <w:rsid w:val="004038CE"/>
    <w:rsid w:val="004041BB"/>
    <w:rsid w:val="0040556F"/>
    <w:rsid w:val="00405C57"/>
    <w:rsid w:val="0040634B"/>
    <w:rsid w:val="00406717"/>
    <w:rsid w:val="00406F15"/>
    <w:rsid w:val="00407DF5"/>
    <w:rsid w:val="004112B7"/>
    <w:rsid w:val="004113F2"/>
    <w:rsid w:val="0041189C"/>
    <w:rsid w:val="00412846"/>
    <w:rsid w:val="0041286B"/>
    <w:rsid w:val="00412E55"/>
    <w:rsid w:val="00412EDA"/>
    <w:rsid w:val="00413ED6"/>
    <w:rsid w:val="0041470D"/>
    <w:rsid w:val="00415306"/>
    <w:rsid w:val="004153E5"/>
    <w:rsid w:val="00416293"/>
    <w:rsid w:val="004165A5"/>
    <w:rsid w:val="004165E0"/>
    <w:rsid w:val="0042020F"/>
    <w:rsid w:val="004209AD"/>
    <w:rsid w:val="00420E26"/>
    <w:rsid w:val="00423265"/>
    <w:rsid w:val="00423AB0"/>
    <w:rsid w:val="004241CA"/>
    <w:rsid w:val="00424DB7"/>
    <w:rsid w:val="0042508B"/>
    <w:rsid w:val="004255AF"/>
    <w:rsid w:val="00425EF9"/>
    <w:rsid w:val="00426293"/>
    <w:rsid w:val="0043056E"/>
    <w:rsid w:val="0043102C"/>
    <w:rsid w:val="00431770"/>
    <w:rsid w:val="00431D80"/>
    <w:rsid w:val="0043264C"/>
    <w:rsid w:val="00432EDE"/>
    <w:rsid w:val="00433361"/>
    <w:rsid w:val="00433970"/>
    <w:rsid w:val="004346A4"/>
    <w:rsid w:val="00434E74"/>
    <w:rsid w:val="00435970"/>
    <w:rsid w:val="004366AC"/>
    <w:rsid w:val="00436879"/>
    <w:rsid w:val="00437C0C"/>
    <w:rsid w:val="00437DC8"/>
    <w:rsid w:val="00440935"/>
    <w:rsid w:val="0044137D"/>
    <w:rsid w:val="004415EB"/>
    <w:rsid w:val="00441DE0"/>
    <w:rsid w:val="004428F8"/>
    <w:rsid w:val="004438A0"/>
    <w:rsid w:val="004438EC"/>
    <w:rsid w:val="004453C4"/>
    <w:rsid w:val="00445686"/>
    <w:rsid w:val="00446471"/>
    <w:rsid w:val="004470BD"/>
    <w:rsid w:val="00447425"/>
    <w:rsid w:val="00447F68"/>
    <w:rsid w:val="004508EB"/>
    <w:rsid w:val="004515F1"/>
    <w:rsid w:val="00453947"/>
    <w:rsid w:val="0045558E"/>
    <w:rsid w:val="00456A2C"/>
    <w:rsid w:val="00457B50"/>
    <w:rsid w:val="00460668"/>
    <w:rsid w:val="004611C1"/>
    <w:rsid w:val="00462B72"/>
    <w:rsid w:val="00465AF5"/>
    <w:rsid w:val="004661B0"/>
    <w:rsid w:val="00466FEA"/>
    <w:rsid w:val="004702BD"/>
    <w:rsid w:val="00470775"/>
    <w:rsid w:val="0047091D"/>
    <w:rsid w:val="00472BA7"/>
    <w:rsid w:val="00472D5C"/>
    <w:rsid w:val="00473A7F"/>
    <w:rsid w:val="0047596E"/>
    <w:rsid w:val="00477865"/>
    <w:rsid w:val="00480F9B"/>
    <w:rsid w:val="00482A44"/>
    <w:rsid w:val="004838AA"/>
    <w:rsid w:val="00484479"/>
    <w:rsid w:val="00484599"/>
    <w:rsid w:val="004851C5"/>
    <w:rsid w:val="00485335"/>
    <w:rsid w:val="00485F0D"/>
    <w:rsid w:val="00487EFD"/>
    <w:rsid w:val="00490873"/>
    <w:rsid w:val="004911DC"/>
    <w:rsid w:val="004920BD"/>
    <w:rsid w:val="004944B6"/>
    <w:rsid w:val="00494A80"/>
    <w:rsid w:val="0049644E"/>
    <w:rsid w:val="0049741E"/>
    <w:rsid w:val="004A3B8B"/>
    <w:rsid w:val="004A4630"/>
    <w:rsid w:val="004A4CC2"/>
    <w:rsid w:val="004A5AEC"/>
    <w:rsid w:val="004A5EA6"/>
    <w:rsid w:val="004A7952"/>
    <w:rsid w:val="004A7AFF"/>
    <w:rsid w:val="004B1465"/>
    <w:rsid w:val="004B268D"/>
    <w:rsid w:val="004B5555"/>
    <w:rsid w:val="004B6A9B"/>
    <w:rsid w:val="004C0A57"/>
    <w:rsid w:val="004C159B"/>
    <w:rsid w:val="004C1CEC"/>
    <w:rsid w:val="004C4320"/>
    <w:rsid w:val="004C5584"/>
    <w:rsid w:val="004C6B9E"/>
    <w:rsid w:val="004C6C6E"/>
    <w:rsid w:val="004C780E"/>
    <w:rsid w:val="004D090D"/>
    <w:rsid w:val="004D14D8"/>
    <w:rsid w:val="004D2C1C"/>
    <w:rsid w:val="004D3D91"/>
    <w:rsid w:val="004D4549"/>
    <w:rsid w:val="004D5ACE"/>
    <w:rsid w:val="004D5BB9"/>
    <w:rsid w:val="004D7834"/>
    <w:rsid w:val="004D7BF8"/>
    <w:rsid w:val="004E01E1"/>
    <w:rsid w:val="004E0B7A"/>
    <w:rsid w:val="004E0B8E"/>
    <w:rsid w:val="004E1894"/>
    <w:rsid w:val="004E2CF6"/>
    <w:rsid w:val="004E3BBF"/>
    <w:rsid w:val="004E4CC2"/>
    <w:rsid w:val="004E4FE1"/>
    <w:rsid w:val="004E518C"/>
    <w:rsid w:val="004E5343"/>
    <w:rsid w:val="004E6F94"/>
    <w:rsid w:val="004E7578"/>
    <w:rsid w:val="004F0107"/>
    <w:rsid w:val="004F15D0"/>
    <w:rsid w:val="004F1699"/>
    <w:rsid w:val="004F17FB"/>
    <w:rsid w:val="004F2C31"/>
    <w:rsid w:val="004F3090"/>
    <w:rsid w:val="004F4346"/>
    <w:rsid w:val="004F489A"/>
    <w:rsid w:val="004F4A39"/>
    <w:rsid w:val="004F4D75"/>
    <w:rsid w:val="004F5F21"/>
    <w:rsid w:val="004F63D3"/>
    <w:rsid w:val="004F66D0"/>
    <w:rsid w:val="004F6747"/>
    <w:rsid w:val="00500332"/>
    <w:rsid w:val="005009EA"/>
    <w:rsid w:val="00500F88"/>
    <w:rsid w:val="00504154"/>
    <w:rsid w:val="00504223"/>
    <w:rsid w:val="0050477B"/>
    <w:rsid w:val="005057CC"/>
    <w:rsid w:val="00505858"/>
    <w:rsid w:val="00505A9A"/>
    <w:rsid w:val="00505F80"/>
    <w:rsid w:val="00506735"/>
    <w:rsid w:val="005069A5"/>
    <w:rsid w:val="00507E86"/>
    <w:rsid w:val="0051089D"/>
    <w:rsid w:val="005115F3"/>
    <w:rsid w:val="00512BF2"/>
    <w:rsid w:val="00513834"/>
    <w:rsid w:val="00514908"/>
    <w:rsid w:val="00514A6D"/>
    <w:rsid w:val="00515EB7"/>
    <w:rsid w:val="00520518"/>
    <w:rsid w:val="005208EB"/>
    <w:rsid w:val="005209D7"/>
    <w:rsid w:val="00520CD4"/>
    <w:rsid w:val="0052205A"/>
    <w:rsid w:val="00523D1E"/>
    <w:rsid w:val="0052537E"/>
    <w:rsid w:val="00525F48"/>
    <w:rsid w:val="0052611C"/>
    <w:rsid w:val="005261F1"/>
    <w:rsid w:val="00526784"/>
    <w:rsid w:val="00526E2C"/>
    <w:rsid w:val="00527268"/>
    <w:rsid w:val="00527CD2"/>
    <w:rsid w:val="00531527"/>
    <w:rsid w:val="005316B6"/>
    <w:rsid w:val="00533FFC"/>
    <w:rsid w:val="0053539D"/>
    <w:rsid w:val="005361E0"/>
    <w:rsid w:val="005378EF"/>
    <w:rsid w:val="00540570"/>
    <w:rsid w:val="005437CF"/>
    <w:rsid w:val="0054482C"/>
    <w:rsid w:val="00547B5A"/>
    <w:rsid w:val="00550282"/>
    <w:rsid w:val="00550401"/>
    <w:rsid w:val="0055130D"/>
    <w:rsid w:val="005550DD"/>
    <w:rsid w:val="00555359"/>
    <w:rsid w:val="00556BEE"/>
    <w:rsid w:val="005575BA"/>
    <w:rsid w:val="00557BBE"/>
    <w:rsid w:val="00557DC5"/>
    <w:rsid w:val="00560F77"/>
    <w:rsid w:val="005612EE"/>
    <w:rsid w:val="00561EA3"/>
    <w:rsid w:val="005624A0"/>
    <w:rsid w:val="005634AE"/>
    <w:rsid w:val="005635C8"/>
    <w:rsid w:val="00564B12"/>
    <w:rsid w:val="0056550D"/>
    <w:rsid w:val="005659AC"/>
    <w:rsid w:val="00566122"/>
    <w:rsid w:val="005665E1"/>
    <w:rsid w:val="00567592"/>
    <w:rsid w:val="00567730"/>
    <w:rsid w:val="00567B55"/>
    <w:rsid w:val="005701BB"/>
    <w:rsid w:val="005709B5"/>
    <w:rsid w:val="00570BB9"/>
    <w:rsid w:val="005712A8"/>
    <w:rsid w:val="00572418"/>
    <w:rsid w:val="00572A77"/>
    <w:rsid w:val="00573BE5"/>
    <w:rsid w:val="00574301"/>
    <w:rsid w:val="00574806"/>
    <w:rsid w:val="005752A3"/>
    <w:rsid w:val="00575CB7"/>
    <w:rsid w:val="00577567"/>
    <w:rsid w:val="005803E5"/>
    <w:rsid w:val="00580F55"/>
    <w:rsid w:val="00583F70"/>
    <w:rsid w:val="00584D05"/>
    <w:rsid w:val="0058523D"/>
    <w:rsid w:val="00586934"/>
    <w:rsid w:val="00587C00"/>
    <w:rsid w:val="00587E4F"/>
    <w:rsid w:val="0059033F"/>
    <w:rsid w:val="00591BBD"/>
    <w:rsid w:val="0059449D"/>
    <w:rsid w:val="00597E4B"/>
    <w:rsid w:val="005A1260"/>
    <w:rsid w:val="005A2328"/>
    <w:rsid w:val="005A2FA1"/>
    <w:rsid w:val="005A3014"/>
    <w:rsid w:val="005A35B6"/>
    <w:rsid w:val="005A4232"/>
    <w:rsid w:val="005A50A0"/>
    <w:rsid w:val="005A6740"/>
    <w:rsid w:val="005A6767"/>
    <w:rsid w:val="005A77C9"/>
    <w:rsid w:val="005A7A37"/>
    <w:rsid w:val="005B016E"/>
    <w:rsid w:val="005B03C3"/>
    <w:rsid w:val="005B0807"/>
    <w:rsid w:val="005B0C96"/>
    <w:rsid w:val="005B1244"/>
    <w:rsid w:val="005B214B"/>
    <w:rsid w:val="005B2CA3"/>
    <w:rsid w:val="005B3314"/>
    <w:rsid w:val="005B3467"/>
    <w:rsid w:val="005B5AF6"/>
    <w:rsid w:val="005B61FE"/>
    <w:rsid w:val="005B6687"/>
    <w:rsid w:val="005C05B6"/>
    <w:rsid w:val="005C09B3"/>
    <w:rsid w:val="005C0D7E"/>
    <w:rsid w:val="005C0DE7"/>
    <w:rsid w:val="005C0F07"/>
    <w:rsid w:val="005C177B"/>
    <w:rsid w:val="005C1CA1"/>
    <w:rsid w:val="005C2DE6"/>
    <w:rsid w:val="005C3374"/>
    <w:rsid w:val="005C3E05"/>
    <w:rsid w:val="005C4EBF"/>
    <w:rsid w:val="005C5098"/>
    <w:rsid w:val="005C58EB"/>
    <w:rsid w:val="005C5977"/>
    <w:rsid w:val="005C7ED7"/>
    <w:rsid w:val="005D01A4"/>
    <w:rsid w:val="005D088D"/>
    <w:rsid w:val="005D0D39"/>
    <w:rsid w:val="005D1A7D"/>
    <w:rsid w:val="005D1D9B"/>
    <w:rsid w:val="005D1F21"/>
    <w:rsid w:val="005D392F"/>
    <w:rsid w:val="005D57AA"/>
    <w:rsid w:val="005D5D39"/>
    <w:rsid w:val="005D78A2"/>
    <w:rsid w:val="005E1C52"/>
    <w:rsid w:val="005E2E68"/>
    <w:rsid w:val="005E33D2"/>
    <w:rsid w:val="005E41E1"/>
    <w:rsid w:val="005E4442"/>
    <w:rsid w:val="005E4BD2"/>
    <w:rsid w:val="005E501E"/>
    <w:rsid w:val="005E50F3"/>
    <w:rsid w:val="005E5490"/>
    <w:rsid w:val="005E5B50"/>
    <w:rsid w:val="005E5F00"/>
    <w:rsid w:val="005F2D4C"/>
    <w:rsid w:val="005F31D5"/>
    <w:rsid w:val="005F37D4"/>
    <w:rsid w:val="005F42D2"/>
    <w:rsid w:val="005F4DD9"/>
    <w:rsid w:val="005F51F9"/>
    <w:rsid w:val="005F554A"/>
    <w:rsid w:val="005F67E2"/>
    <w:rsid w:val="006020D9"/>
    <w:rsid w:val="0060267A"/>
    <w:rsid w:val="006030D6"/>
    <w:rsid w:val="006043A4"/>
    <w:rsid w:val="00605007"/>
    <w:rsid w:val="0060594A"/>
    <w:rsid w:val="006105B3"/>
    <w:rsid w:val="006119B8"/>
    <w:rsid w:val="00614CD3"/>
    <w:rsid w:val="0061627F"/>
    <w:rsid w:val="00616BF1"/>
    <w:rsid w:val="0062043A"/>
    <w:rsid w:val="00620808"/>
    <w:rsid w:val="006217E3"/>
    <w:rsid w:val="00621A67"/>
    <w:rsid w:val="00621EDB"/>
    <w:rsid w:val="00622F37"/>
    <w:rsid w:val="006232A3"/>
    <w:rsid w:val="006240A6"/>
    <w:rsid w:val="006242DF"/>
    <w:rsid w:val="0062497C"/>
    <w:rsid w:val="00624EB7"/>
    <w:rsid w:val="0062600E"/>
    <w:rsid w:val="00626EC9"/>
    <w:rsid w:val="006353D2"/>
    <w:rsid w:val="00636643"/>
    <w:rsid w:val="006374CD"/>
    <w:rsid w:val="00637F16"/>
    <w:rsid w:val="00640570"/>
    <w:rsid w:val="00640CB0"/>
    <w:rsid w:val="00641143"/>
    <w:rsid w:val="0064267E"/>
    <w:rsid w:val="006430FF"/>
    <w:rsid w:val="0064347A"/>
    <w:rsid w:val="00643967"/>
    <w:rsid w:val="0064721C"/>
    <w:rsid w:val="00647882"/>
    <w:rsid w:val="00647DA8"/>
    <w:rsid w:val="00647F9D"/>
    <w:rsid w:val="006502AB"/>
    <w:rsid w:val="00650F32"/>
    <w:rsid w:val="00651177"/>
    <w:rsid w:val="00651F90"/>
    <w:rsid w:val="0065343A"/>
    <w:rsid w:val="00653A2A"/>
    <w:rsid w:val="00653B74"/>
    <w:rsid w:val="006569FD"/>
    <w:rsid w:val="0066096D"/>
    <w:rsid w:val="0066100B"/>
    <w:rsid w:val="00661D1D"/>
    <w:rsid w:val="0066219C"/>
    <w:rsid w:val="00663D25"/>
    <w:rsid w:val="0066654B"/>
    <w:rsid w:val="00666B1D"/>
    <w:rsid w:val="006672FF"/>
    <w:rsid w:val="00671816"/>
    <w:rsid w:val="006724CA"/>
    <w:rsid w:val="006727CB"/>
    <w:rsid w:val="006727E9"/>
    <w:rsid w:val="006746CD"/>
    <w:rsid w:val="00674DB1"/>
    <w:rsid w:val="00677156"/>
    <w:rsid w:val="00677650"/>
    <w:rsid w:val="006779A1"/>
    <w:rsid w:val="006807B3"/>
    <w:rsid w:val="006813A4"/>
    <w:rsid w:val="00681F77"/>
    <w:rsid w:val="006823B3"/>
    <w:rsid w:val="00682BA0"/>
    <w:rsid w:val="00682E7A"/>
    <w:rsid w:val="0068368F"/>
    <w:rsid w:val="0068390A"/>
    <w:rsid w:val="00684B20"/>
    <w:rsid w:val="00684D30"/>
    <w:rsid w:val="0068528A"/>
    <w:rsid w:val="006855D3"/>
    <w:rsid w:val="00685D06"/>
    <w:rsid w:val="00686202"/>
    <w:rsid w:val="00690243"/>
    <w:rsid w:val="0069139A"/>
    <w:rsid w:val="006917A7"/>
    <w:rsid w:val="00691862"/>
    <w:rsid w:val="0069219F"/>
    <w:rsid w:val="006944EB"/>
    <w:rsid w:val="00694C2D"/>
    <w:rsid w:val="006954C4"/>
    <w:rsid w:val="0069651B"/>
    <w:rsid w:val="006A00B7"/>
    <w:rsid w:val="006A0563"/>
    <w:rsid w:val="006A0EB5"/>
    <w:rsid w:val="006A134B"/>
    <w:rsid w:val="006A1B12"/>
    <w:rsid w:val="006A229F"/>
    <w:rsid w:val="006A34AC"/>
    <w:rsid w:val="006A46A7"/>
    <w:rsid w:val="006A4D18"/>
    <w:rsid w:val="006A4F09"/>
    <w:rsid w:val="006A5055"/>
    <w:rsid w:val="006A50E4"/>
    <w:rsid w:val="006A7371"/>
    <w:rsid w:val="006B34C9"/>
    <w:rsid w:val="006B399A"/>
    <w:rsid w:val="006B3D83"/>
    <w:rsid w:val="006B4795"/>
    <w:rsid w:val="006B5791"/>
    <w:rsid w:val="006B60A2"/>
    <w:rsid w:val="006B6798"/>
    <w:rsid w:val="006B77BE"/>
    <w:rsid w:val="006B7B54"/>
    <w:rsid w:val="006C06AF"/>
    <w:rsid w:val="006C0F76"/>
    <w:rsid w:val="006C1340"/>
    <w:rsid w:val="006C23C2"/>
    <w:rsid w:val="006C33AC"/>
    <w:rsid w:val="006C4B1F"/>
    <w:rsid w:val="006C5C39"/>
    <w:rsid w:val="006C6FBB"/>
    <w:rsid w:val="006C723E"/>
    <w:rsid w:val="006C7B71"/>
    <w:rsid w:val="006D01E3"/>
    <w:rsid w:val="006D3A6D"/>
    <w:rsid w:val="006D46C6"/>
    <w:rsid w:val="006D4F91"/>
    <w:rsid w:val="006D5556"/>
    <w:rsid w:val="006D6DB3"/>
    <w:rsid w:val="006E0419"/>
    <w:rsid w:val="006E0CF5"/>
    <w:rsid w:val="006E15B5"/>
    <w:rsid w:val="006E18EB"/>
    <w:rsid w:val="006E1C31"/>
    <w:rsid w:val="006E31A3"/>
    <w:rsid w:val="006E45CC"/>
    <w:rsid w:val="006E52E1"/>
    <w:rsid w:val="006E5C6C"/>
    <w:rsid w:val="006E63DE"/>
    <w:rsid w:val="006E6A42"/>
    <w:rsid w:val="006E70D1"/>
    <w:rsid w:val="006F0275"/>
    <w:rsid w:val="006F04D9"/>
    <w:rsid w:val="006F07FA"/>
    <w:rsid w:val="006F0FBF"/>
    <w:rsid w:val="006F137B"/>
    <w:rsid w:val="006F1B2E"/>
    <w:rsid w:val="006F1DC1"/>
    <w:rsid w:val="006F2292"/>
    <w:rsid w:val="006F31D7"/>
    <w:rsid w:val="006F3670"/>
    <w:rsid w:val="006F3932"/>
    <w:rsid w:val="006F3B2C"/>
    <w:rsid w:val="006F48D3"/>
    <w:rsid w:val="006F4901"/>
    <w:rsid w:val="006F53DB"/>
    <w:rsid w:val="006F617A"/>
    <w:rsid w:val="006F6D52"/>
    <w:rsid w:val="007001BB"/>
    <w:rsid w:val="0070184C"/>
    <w:rsid w:val="007028E7"/>
    <w:rsid w:val="007039B7"/>
    <w:rsid w:val="00703CAD"/>
    <w:rsid w:val="0070401B"/>
    <w:rsid w:val="00704082"/>
    <w:rsid w:val="00705371"/>
    <w:rsid w:val="007077DC"/>
    <w:rsid w:val="00707DAE"/>
    <w:rsid w:val="00710C2B"/>
    <w:rsid w:val="00713384"/>
    <w:rsid w:val="00713D73"/>
    <w:rsid w:val="007141E1"/>
    <w:rsid w:val="00714F31"/>
    <w:rsid w:val="0071593B"/>
    <w:rsid w:val="007219F6"/>
    <w:rsid w:val="00722046"/>
    <w:rsid w:val="00722CFC"/>
    <w:rsid w:val="0072440A"/>
    <w:rsid w:val="00724504"/>
    <w:rsid w:val="007247EB"/>
    <w:rsid w:val="007257D4"/>
    <w:rsid w:val="00726485"/>
    <w:rsid w:val="00726F2B"/>
    <w:rsid w:val="00732F1A"/>
    <w:rsid w:val="00733151"/>
    <w:rsid w:val="00733AC8"/>
    <w:rsid w:val="00734A87"/>
    <w:rsid w:val="00734CF6"/>
    <w:rsid w:val="00735189"/>
    <w:rsid w:val="007360FB"/>
    <w:rsid w:val="007369A0"/>
    <w:rsid w:val="00740E6A"/>
    <w:rsid w:val="007413D9"/>
    <w:rsid w:val="0074150C"/>
    <w:rsid w:val="00742024"/>
    <w:rsid w:val="007434B4"/>
    <w:rsid w:val="00744360"/>
    <w:rsid w:val="007455AC"/>
    <w:rsid w:val="00745685"/>
    <w:rsid w:val="0074593E"/>
    <w:rsid w:val="007460BC"/>
    <w:rsid w:val="00746586"/>
    <w:rsid w:val="00747190"/>
    <w:rsid w:val="00747779"/>
    <w:rsid w:val="00747873"/>
    <w:rsid w:val="00747DDA"/>
    <w:rsid w:val="00747F03"/>
    <w:rsid w:val="00750446"/>
    <w:rsid w:val="00751132"/>
    <w:rsid w:val="007518A7"/>
    <w:rsid w:val="00751F7C"/>
    <w:rsid w:val="00753FAF"/>
    <w:rsid w:val="00755F77"/>
    <w:rsid w:val="0075655B"/>
    <w:rsid w:val="007567BC"/>
    <w:rsid w:val="007568EE"/>
    <w:rsid w:val="007601F3"/>
    <w:rsid w:val="007603AD"/>
    <w:rsid w:val="007606C3"/>
    <w:rsid w:val="00760E64"/>
    <w:rsid w:val="007611A9"/>
    <w:rsid w:val="00761C5D"/>
    <w:rsid w:val="00761F02"/>
    <w:rsid w:val="0076205E"/>
    <w:rsid w:val="00764048"/>
    <w:rsid w:val="00764426"/>
    <w:rsid w:val="0076488F"/>
    <w:rsid w:val="00765AED"/>
    <w:rsid w:val="0076675E"/>
    <w:rsid w:val="0076684A"/>
    <w:rsid w:val="0076696D"/>
    <w:rsid w:val="00767220"/>
    <w:rsid w:val="00771449"/>
    <w:rsid w:val="00771DE6"/>
    <w:rsid w:val="007723AB"/>
    <w:rsid w:val="0077273F"/>
    <w:rsid w:val="0077276B"/>
    <w:rsid w:val="007741AD"/>
    <w:rsid w:val="00774322"/>
    <w:rsid w:val="00774632"/>
    <w:rsid w:val="00775065"/>
    <w:rsid w:val="00777B6C"/>
    <w:rsid w:val="00780CB0"/>
    <w:rsid w:val="007847B2"/>
    <w:rsid w:val="00785952"/>
    <w:rsid w:val="00785F6C"/>
    <w:rsid w:val="00786755"/>
    <w:rsid w:val="00787111"/>
    <w:rsid w:val="00787136"/>
    <w:rsid w:val="0078751B"/>
    <w:rsid w:val="00787713"/>
    <w:rsid w:val="00787B90"/>
    <w:rsid w:val="007928E2"/>
    <w:rsid w:val="007936B7"/>
    <w:rsid w:val="007938A2"/>
    <w:rsid w:val="00793C99"/>
    <w:rsid w:val="007946C7"/>
    <w:rsid w:val="007948EB"/>
    <w:rsid w:val="0079531F"/>
    <w:rsid w:val="00795D1A"/>
    <w:rsid w:val="007972B8"/>
    <w:rsid w:val="00797518"/>
    <w:rsid w:val="007975C6"/>
    <w:rsid w:val="00797720"/>
    <w:rsid w:val="007A33DB"/>
    <w:rsid w:val="007A3ABD"/>
    <w:rsid w:val="007A4B56"/>
    <w:rsid w:val="007A54CF"/>
    <w:rsid w:val="007A5DDD"/>
    <w:rsid w:val="007A69F1"/>
    <w:rsid w:val="007A6B90"/>
    <w:rsid w:val="007B00EC"/>
    <w:rsid w:val="007B0338"/>
    <w:rsid w:val="007B0520"/>
    <w:rsid w:val="007B2232"/>
    <w:rsid w:val="007B4A00"/>
    <w:rsid w:val="007B5B51"/>
    <w:rsid w:val="007B644C"/>
    <w:rsid w:val="007B65F8"/>
    <w:rsid w:val="007C0C56"/>
    <w:rsid w:val="007C2C9D"/>
    <w:rsid w:val="007C302F"/>
    <w:rsid w:val="007C4855"/>
    <w:rsid w:val="007C5C1F"/>
    <w:rsid w:val="007C5F6A"/>
    <w:rsid w:val="007C6ED7"/>
    <w:rsid w:val="007C76F3"/>
    <w:rsid w:val="007D0885"/>
    <w:rsid w:val="007D1565"/>
    <w:rsid w:val="007D23C8"/>
    <w:rsid w:val="007D2D47"/>
    <w:rsid w:val="007D348B"/>
    <w:rsid w:val="007D3A8A"/>
    <w:rsid w:val="007D405F"/>
    <w:rsid w:val="007D460B"/>
    <w:rsid w:val="007D4EAE"/>
    <w:rsid w:val="007D57AF"/>
    <w:rsid w:val="007D5C23"/>
    <w:rsid w:val="007D6E84"/>
    <w:rsid w:val="007D71A8"/>
    <w:rsid w:val="007D7812"/>
    <w:rsid w:val="007E0993"/>
    <w:rsid w:val="007E1305"/>
    <w:rsid w:val="007E18FC"/>
    <w:rsid w:val="007E1DC0"/>
    <w:rsid w:val="007E256E"/>
    <w:rsid w:val="007E2C2B"/>
    <w:rsid w:val="007E2F36"/>
    <w:rsid w:val="007E3355"/>
    <w:rsid w:val="007E4784"/>
    <w:rsid w:val="007E484A"/>
    <w:rsid w:val="007E4969"/>
    <w:rsid w:val="007E5152"/>
    <w:rsid w:val="007E5503"/>
    <w:rsid w:val="007E5BC4"/>
    <w:rsid w:val="007E6000"/>
    <w:rsid w:val="007F531F"/>
    <w:rsid w:val="007F589A"/>
    <w:rsid w:val="007F5A41"/>
    <w:rsid w:val="007F5C7E"/>
    <w:rsid w:val="007F5C8A"/>
    <w:rsid w:val="007F5F81"/>
    <w:rsid w:val="007F6ECA"/>
    <w:rsid w:val="00801B24"/>
    <w:rsid w:val="008022FA"/>
    <w:rsid w:val="00802842"/>
    <w:rsid w:val="008029A3"/>
    <w:rsid w:val="00802D88"/>
    <w:rsid w:val="008041E9"/>
    <w:rsid w:val="0080530F"/>
    <w:rsid w:val="00805524"/>
    <w:rsid w:val="00805B8A"/>
    <w:rsid w:val="00805E68"/>
    <w:rsid w:val="00807280"/>
    <w:rsid w:val="00807527"/>
    <w:rsid w:val="008100B3"/>
    <w:rsid w:val="00811559"/>
    <w:rsid w:val="008137E0"/>
    <w:rsid w:val="00814617"/>
    <w:rsid w:val="00814F1A"/>
    <w:rsid w:val="008168BB"/>
    <w:rsid w:val="008171F2"/>
    <w:rsid w:val="008205E0"/>
    <w:rsid w:val="00820C24"/>
    <w:rsid w:val="00821980"/>
    <w:rsid w:val="0082253F"/>
    <w:rsid w:val="00823B5F"/>
    <w:rsid w:val="00824B7E"/>
    <w:rsid w:val="00826848"/>
    <w:rsid w:val="00826A07"/>
    <w:rsid w:val="00826FDC"/>
    <w:rsid w:val="008327F1"/>
    <w:rsid w:val="0083358D"/>
    <w:rsid w:val="00833685"/>
    <w:rsid w:val="0083450B"/>
    <w:rsid w:val="008348A7"/>
    <w:rsid w:val="00834DF7"/>
    <w:rsid w:val="00835475"/>
    <w:rsid w:val="008368A0"/>
    <w:rsid w:val="00840AB2"/>
    <w:rsid w:val="008417A5"/>
    <w:rsid w:val="0084229A"/>
    <w:rsid w:val="00842D56"/>
    <w:rsid w:val="00844573"/>
    <w:rsid w:val="00844C56"/>
    <w:rsid w:val="00845C17"/>
    <w:rsid w:val="00846C2C"/>
    <w:rsid w:val="0085129C"/>
    <w:rsid w:val="00852675"/>
    <w:rsid w:val="00852853"/>
    <w:rsid w:val="00853251"/>
    <w:rsid w:val="00854301"/>
    <w:rsid w:val="00854451"/>
    <w:rsid w:val="0085540E"/>
    <w:rsid w:val="008558C2"/>
    <w:rsid w:val="008570AA"/>
    <w:rsid w:val="00860E07"/>
    <w:rsid w:val="008613AD"/>
    <w:rsid w:val="00861BFA"/>
    <w:rsid w:val="0086223C"/>
    <w:rsid w:val="00862AC9"/>
    <w:rsid w:val="00862E2B"/>
    <w:rsid w:val="00863896"/>
    <w:rsid w:val="00865256"/>
    <w:rsid w:val="00865FC0"/>
    <w:rsid w:val="00865FEB"/>
    <w:rsid w:val="0086659F"/>
    <w:rsid w:val="00866B3B"/>
    <w:rsid w:val="008706F9"/>
    <w:rsid w:val="00871BBB"/>
    <w:rsid w:val="00873CDE"/>
    <w:rsid w:val="00874C18"/>
    <w:rsid w:val="00875458"/>
    <w:rsid w:val="00876925"/>
    <w:rsid w:val="00877941"/>
    <w:rsid w:val="0088016F"/>
    <w:rsid w:val="00880359"/>
    <w:rsid w:val="0088062D"/>
    <w:rsid w:val="00880C22"/>
    <w:rsid w:val="00881408"/>
    <w:rsid w:val="0088206F"/>
    <w:rsid w:val="008821CE"/>
    <w:rsid w:val="00882419"/>
    <w:rsid w:val="008828A3"/>
    <w:rsid w:val="00882F88"/>
    <w:rsid w:val="008836B3"/>
    <w:rsid w:val="00883835"/>
    <w:rsid w:val="00884527"/>
    <w:rsid w:val="00885429"/>
    <w:rsid w:val="00886054"/>
    <w:rsid w:val="008862FF"/>
    <w:rsid w:val="00886FAE"/>
    <w:rsid w:val="00887570"/>
    <w:rsid w:val="0088767A"/>
    <w:rsid w:val="00887802"/>
    <w:rsid w:val="00892D2C"/>
    <w:rsid w:val="00893531"/>
    <w:rsid w:val="008952DA"/>
    <w:rsid w:val="00895D20"/>
    <w:rsid w:val="008961A9"/>
    <w:rsid w:val="00897720"/>
    <w:rsid w:val="008978AE"/>
    <w:rsid w:val="008A0865"/>
    <w:rsid w:val="008A1CC1"/>
    <w:rsid w:val="008A1E03"/>
    <w:rsid w:val="008A400C"/>
    <w:rsid w:val="008A4564"/>
    <w:rsid w:val="008A64F6"/>
    <w:rsid w:val="008A664A"/>
    <w:rsid w:val="008A6C2A"/>
    <w:rsid w:val="008A75A2"/>
    <w:rsid w:val="008B064A"/>
    <w:rsid w:val="008B35FF"/>
    <w:rsid w:val="008B3914"/>
    <w:rsid w:val="008B3B34"/>
    <w:rsid w:val="008B4ECD"/>
    <w:rsid w:val="008B685F"/>
    <w:rsid w:val="008B6B6C"/>
    <w:rsid w:val="008B7C50"/>
    <w:rsid w:val="008B7C74"/>
    <w:rsid w:val="008B7E9E"/>
    <w:rsid w:val="008C008E"/>
    <w:rsid w:val="008C2834"/>
    <w:rsid w:val="008C29DE"/>
    <w:rsid w:val="008C2DE1"/>
    <w:rsid w:val="008C3A07"/>
    <w:rsid w:val="008C41AF"/>
    <w:rsid w:val="008C47C2"/>
    <w:rsid w:val="008C59E1"/>
    <w:rsid w:val="008D0C02"/>
    <w:rsid w:val="008D201F"/>
    <w:rsid w:val="008D3FC4"/>
    <w:rsid w:val="008D45DA"/>
    <w:rsid w:val="008D499A"/>
    <w:rsid w:val="008D4A08"/>
    <w:rsid w:val="008D5A64"/>
    <w:rsid w:val="008D63C6"/>
    <w:rsid w:val="008D71E1"/>
    <w:rsid w:val="008E1B2E"/>
    <w:rsid w:val="008E2E02"/>
    <w:rsid w:val="008E3392"/>
    <w:rsid w:val="008E3C1A"/>
    <w:rsid w:val="008E4A5F"/>
    <w:rsid w:val="008E4ED5"/>
    <w:rsid w:val="008E6DFB"/>
    <w:rsid w:val="008F1C57"/>
    <w:rsid w:val="008F587E"/>
    <w:rsid w:val="008F63FC"/>
    <w:rsid w:val="008F6500"/>
    <w:rsid w:val="008F73EE"/>
    <w:rsid w:val="00901406"/>
    <w:rsid w:val="00901880"/>
    <w:rsid w:val="00901F5B"/>
    <w:rsid w:val="0090312E"/>
    <w:rsid w:val="00903231"/>
    <w:rsid w:val="0090323D"/>
    <w:rsid w:val="0090365C"/>
    <w:rsid w:val="009040DE"/>
    <w:rsid w:val="00904101"/>
    <w:rsid w:val="00904FDD"/>
    <w:rsid w:val="00905076"/>
    <w:rsid w:val="009055CB"/>
    <w:rsid w:val="00905EF3"/>
    <w:rsid w:val="009066AD"/>
    <w:rsid w:val="009069C0"/>
    <w:rsid w:val="0090766C"/>
    <w:rsid w:val="009104BE"/>
    <w:rsid w:val="00910FB9"/>
    <w:rsid w:val="0091102F"/>
    <w:rsid w:val="009130C4"/>
    <w:rsid w:val="009138A1"/>
    <w:rsid w:val="00913D07"/>
    <w:rsid w:val="00914055"/>
    <w:rsid w:val="00915C2A"/>
    <w:rsid w:val="00916580"/>
    <w:rsid w:val="0091715D"/>
    <w:rsid w:val="009179EE"/>
    <w:rsid w:val="00917B30"/>
    <w:rsid w:val="00921556"/>
    <w:rsid w:val="0092181D"/>
    <w:rsid w:val="009220E1"/>
    <w:rsid w:val="009226FF"/>
    <w:rsid w:val="00922BF1"/>
    <w:rsid w:val="00922DDF"/>
    <w:rsid w:val="0092412A"/>
    <w:rsid w:val="0092516A"/>
    <w:rsid w:val="009258D3"/>
    <w:rsid w:val="00926E98"/>
    <w:rsid w:val="0093049E"/>
    <w:rsid w:val="00932D24"/>
    <w:rsid w:val="0093449D"/>
    <w:rsid w:val="0093744F"/>
    <w:rsid w:val="009438E2"/>
    <w:rsid w:val="00943F2F"/>
    <w:rsid w:val="009440E8"/>
    <w:rsid w:val="0094476B"/>
    <w:rsid w:val="00944F45"/>
    <w:rsid w:val="00945FCD"/>
    <w:rsid w:val="009471C8"/>
    <w:rsid w:val="009473E1"/>
    <w:rsid w:val="00950768"/>
    <w:rsid w:val="00951E05"/>
    <w:rsid w:val="009523BC"/>
    <w:rsid w:val="0095283A"/>
    <w:rsid w:val="009530CA"/>
    <w:rsid w:val="00953295"/>
    <w:rsid w:val="009533D4"/>
    <w:rsid w:val="009536C0"/>
    <w:rsid w:val="00955A0A"/>
    <w:rsid w:val="00956792"/>
    <w:rsid w:val="009575AE"/>
    <w:rsid w:val="0096037C"/>
    <w:rsid w:val="009605C3"/>
    <w:rsid w:val="00960AEF"/>
    <w:rsid w:val="0096307D"/>
    <w:rsid w:val="009637D6"/>
    <w:rsid w:val="00964404"/>
    <w:rsid w:val="009663CE"/>
    <w:rsid w:val="00966666"/>
    <w:rsid w:val="00966A87"/>
    <w:rsid w:val="00967B29"/>
    <w:rsid w:val="00967EB5"/>
    <w:rsid w:val="0097053B"/>
    <w:rsid w:val="0097068B"/>
    <w:rsid w:val="009716E8"/>
    <w:rsid w:val="00974D37"/>
    <w:rsid w:val="00974E44"/>
    <w:rsid w:val="009764A4"/>
    <w:rsid w:val="009771AA"/>
    <w:rsid w:val="0098151F"/>
    <w:rsid w:val="009822D7"/>
    <w:rsid w:val="009822F0"/>
    <w:rsid w:val="00983A67"/>
    <w:rsid w:val="00983E55"/>
    <w:rsid w:val="009849AE"/>
    <w:rsid w:val="009864CF"/>
    <w:rsid w:val="009868D4"/>
    <w:rsid w:val="009868D6"/>
    <w:rsid w:val="0099031D"/>
    <w:rsid w:val="00991EB4"/>
    <w:rsid w:val="009928A8"/>
    <w:rsid w:val="00992BAF"/>
    <w:rsid w:val="00992F43"/>
    <w:rsid w:val="00993871"/>
    <w:rsid w:val="00994C2B"/>
    <w:rsid w:val="00994DAF"/>
    <w:rsid w:val="00996896"/>
    <w:rsid w:val="00996B4D"/>
    <w:rsid w:val="00996D0D"/>
    <w:rsid w:val="009A0AA3"/>
    <w:rsid w:val="009A0B89"/>
    <w:rsid w:val="009A0EAF"/>
    <w:rsid w:val="009A2CBF"/>
    <w:rsid w:val="009A30BF"/>
    <w:rsid w:val="009A3F9F"/>
    <w:rsid w:val="009A4C47"/>
    <w:rsid w:val="009A5E9C"/>
    <w:rsid w:val="009A7525"/>
    <w:rsid w:val="009A7664"/>
    <w:rsid w:val="009A7FB8"/>
    <w:rsid w:val="009B06BC"/>
    <w:rsid w:val="009B1169"/>
    <w:rsid w:val="009B1687"/>
    <w:rsid w:val="009B1F47"/>
    <w:rsid w:val="009B2B6A"/>
    <w:rsid w:val="009B327E"/>
    <w:rsid w:val="009B339A"/>
    <w:rsid w:val="009B3680"/>
    <w:rsid w:val="009B4D71"/>
    <w:rsid w:val="009B56E8"/>
    <w:rsid w:val="009B5BE2"/>
    <w:rsid w:val="009B5E4C"/>
    <w:rsid w:val="009C120F"/>
    <w:rsid w:val="009C2805"/>
    <w:rsid w:val="009C29F4"/>
    <w:rsid w:val="009C2F1E"/>
    <w:rsid w:val="009C39BD"/>
    <w:rsid w:val="009C7F22"/>
    <w:rsid w:val="009D09B9"/>
    <w:rsid w:val="009D7095"/>
    <w:rsid w:val="009E04AF"/>
    <w:rsid w:val="009E4A6F"/>
    <w:rsid w:val="009E5BB5"/>
    <w:rsid w:val="009E6986"/>
    <w:rsid w:val="009E69CC"/>
    <w:rsid w:val="009F091E"/>
    <w:rsid w:val="009F09DD"/>
    <w:rsid w:val="009F3545"/>
    <w:rsid w:val="009F3C62"/>
    <w:rsid w:val="009F51BF"/>
    <w:rsid w:val="009F6612"/>
    <w:rsid w:val="009F7FB0"/>
    <w:rsid w:val="00A00317"/>
    <w:rsid w:val="00A00FE5"/>
    <w:rsid w:val="00A025C8"/>
    <w:rsid w:val="00A0440E"/>
    <w:rsid w:val="00A055A2"/>
    <w:rsid w:val="00A05BDC"/>
    <w:rsid w:val="00A068BD"/>
    <w:rsid w:val="00A06C64"/>
    <w:rsid w:val="00A079C5"/>
    <w:rsid w:val="00A10993"/>
    <w:rsid w:val="00A10DF5"/>
    <w:rsid w:val="00A118FA"/>
    <w:rsid w:val="00A1200A"/>
    <w:rsid w:val="00A1238E"/>
    <w:rsid w:val="00A147BA"/>
    <w:rsid w:val="00A14F25"/>
    <w:rsid w:val="00A150CD"/>
    <w:rsid w:val="00A16DE5"/>
    <w:rsid w:val="00A20365"/>
    <w:rsid w:val="00A2099A"/>
    <w:rsid w:val="00A20DB6"/>
    <w:rsid w:val="00A21A8D"/>
    <w:rsid w:val="00A21F26"/>
    <w:rsid w:val="00A23123"/>
    <w:rsid w:val="00A23E5C"/>
    <w:rsid w:val="00A251BE"/>
    <w:rsid w:val="00A27620"/>
    <w:rsid w:val="00A308A5"/>
    <w:rsid w:val="00A30C20"/>
    <w:rsid w:val="00A31C0C"/>
    <w:rsid w:val="00A32970"/>
    <w:rsid w:val="00A33BF9"/>
    <w:rsid w:val="00A340D8"/>
    <w:rsid w:val="00A34C04"/>
    <w:rsid w:val="00A356BB"/>
    <w:rsid w:val="00A35822"/>
    <w:rsid w:val="00A364E0"/>
    <w:rsid w:val="00A3740A"/>
    <w:rsid w:val="00A40786"/>
    <w:rsid w:val="00A410EA"/>
    <w:rsid w:val="00A4267E"/>
    <w:rsid w:val="00A42F8F"/>
    <w:rsid w:val="00A43F6D"/>
    <w:rsid w:val="00A44AA1"/>
    <w:rsid w:val="00A45D07"/>
    <w:rsid w:val="00A47B85"/>
    <w:rsid w:val="00A513BE"/>
    <w:rsid w:val="00A51B00"/>
    <w:rsid w:val="00A53A4C"/>
    <w:rsid w:val="00A53AA9"/>
    <w:rsid w:val="00A543D4"/>
    <w:rsid w:val="00A54A3E"/>
    <w:rsid w:val="00A54ADC"/>
    <w:rsid w:val="00A572BD"/>
    <w:rsid w:val="00A57B0B"/>
    <w:rsid w:val="00A60510"/>
    <w:rsid w:val="00A611BB"/>
    <w:rsid w:val="00A621FA"/>
    <w:rsid w:val="00A64028"/>
    <w:rsid w:val="00A64425"/>
    <w:rsid w:val="00A668FB"/>
    <w:rsid w:val="00A6702B"/>
    <w:rsid w:val="00A71189"/>
    <w:rsid w:val="00A71D10"/>
    <w:rsid w:val="00A71D21"/>
    <w:rsid w:val="00A7220C"/>
    <w:rsid w:val="00A738B3"/>
    <w:rsid w:val="00A73A8A"/>
    <w:rsid w:val="00A74F07"/>
    <w:rsid w:val="00A76084"/>
    <w:rsid w:val="00A806A9"/>
    <w:rsid w:val="00A807C8"/>
    <w:rsid w:val="00A80A87"/>
    <w:rsid w:val="00A812A3"/>
    <w:rsid w:val="00A81C21"/>
    <w:rsid w:val="00A83F45"/>
    <w:rsid w:val="00A8400E"/>
    <w:rsid w:val="00A867DB"/>
    <w:rsid w:val="00A869D6"/>
    <w:rsid w:val="00A86ECE"/>
    <w:rsid w:val="00A90B18"/>
    <w:rsid w:val="00A92883"/>
    <w:rsid w:val="00A92E92"/>
    <w:rsid w:val="00A93090"/>
    <w:rsid w:val="00A933B4"/>
    <w:rsid w:val="00A95AC6"/>
    <w:rsid w:val="00A95E01"/>
    <w:rsid w:val="00A96972"/>
    <w:rsid w:val="00A9710F"/>
    <w:rsid w:val="00A97688"/>
    <w:rsid w:val="00A979CB"/>
    <w:rsid w:val="00AA4277"/>
    <w:rsid w:val="00AA4545"/>
    <w:rsid w:val="00AA6414"/>
    <w:rsid w:val="00AA7D4A"/>
    <w:rsid w:val="00AB03B3"/>
    <w:rsid w:val="00AB05A0"/>
    <w:rsid w:val="00AB0DD6"/>
    <w:rsid w:val="00AB126F"/>
    <w:rsid w:val="00AB1312"/>
    <w:rsid w:val="00AB179F"/>
    <w:rsid w:val="00AB210D"/>
    <w:rsid w:val="00AB263A"/>
    <w:rsid w:val="00AB4213"/>
    <w:rsid w:val="00AB4CFA"/>
    <w:rsid w:val="00AB5225"/>
    <w:rsid w:val="00AB621A"/>
    <w:rsid w:val="00AB65F6"/>
    <w:rsid w:val="00AB704D"/>
    <w:rsid w:val="00AB70A5"/>
    <w:rsid w:val="00AB77B3"/>
    <w:rsid w:val="00AB7A04"/>
    <w:rsid w:val="00AC14AF"/>
    <w:rsid w:val="00AC25B2"/>
    <w:rsid w:val="00AC3ED9"/>
    <w:rsid w:val="00AC47B6"/>
    <w:rsid w:val="00AC558B"/>
    <w:rsid w:val="00AC5FEB"/>
    <w:rsid w:val="00AC7AA9"/>
    <w:rsid w:val="00AC7D32"/>
    <w:rsid w:val="00AD0017"/>
    <w:rsid w:val="00AD0343"/>
    <w:rsid w:val="00AD0B8C"/>
    <w:rsid w:val="00AD3712"/>
    <w:rsid w:val="00AD3D71"/>
    <w:rsid w:val="00AD3EA2"/>
    <w:rsid w:val="00AD4070"/>
    <w:rsid w:val="00AD44DC"/>
    <w:rsid w:val="00AD4609"/>
    <w:rsid w:val="00AD484B"/>
    <w:rsid w:val="00AD572C"/>
    <w:rsid w:val="00AD5A5C"/>
    <w:rsid w:val="00AE0EF8"/>
    <w:rsid w:val="00AE3218"/>
    <w:rsid w:val="00AE32D9"/>
    <w:rsid w:val="00AE3B1F"/>
    <w:rsid w:val="00AE43C4"/>
    <w:rsid w:val="00AE4454"/>
    <w:rsid w:val="00AE4958"/>
    <w:rsid w:val="00AE4D65"/>
    <w:rsid w:val="00AE52B3"/>
    <w:rsid w:val="00AE57B4"/>
    <w:rsid w:val="00AE58AB"/>
    <w:rsid w:val="00AE7DF5"/>
    <w:rsid w:val="00AF0141"/>
    <w:rsid w:val="00AF18B3"/>
    <w:rsid w:val="00AF3BA9"/>
    <w:rsid w:val="00AF4CCA"/>
    <w:rsid w:val="00AF7B5E"/>
    <w:rsid w:val="00B00935"/>
    <w:rsid w:val="00B00CF6"/>
    <w:rsid w:val="00B012BD"/>
    <w:rsid w:val="00B014E7"/>
    <w:rsid w:val="00B02A7E"/>
    <w:rsid w:val="00B02D50"/>
    <w:rsid w:val="00B036E5"/>
    <w:rsid w:val="00B04970"/>
    <w:rsid w:val="00B06424"/>
    <w:rsid w:val="00B07DD4"/>
    <w:rsid w:val="00B10B2A"/>
    <w:rsid w:val="00B115CA"/>
    <w:rsid w:val="00B122B7"/>
    <w:rsid w:val="00B137EA"/>
    <w:rsid w:val="00B13FED"/>
    <w:rsid w:val="00B14152"/>
    <w:rsid w:val="00B14513"/>
    <w:rsid w:val="00B147C9"/>
    <w:rsid w:val="00B15ACB"/>
    <w:rsid w:val="00B1686A"/>
    <w:rsid w:val="00B20FEC"/>
    <w:rsid w:val="00B216C6"/>
    <w:rsid w:val="00B218D2"/>
    <w:rsid w:val="00B21BCE"/>
    <w:rsid w:val="00B221AB"/>
    <w:rsid w:val="00B2223A"/>
    <w:rsid w:val="00B22735"/>
    <w:rsid w:val="00B22ABA"/>
    <w:rsid w:val="00B233A7"/>
    <w:rsid w:val="00B242AF"/>
    <w:rsid w:val="00B24A89"/>
    <w:rsid w:val="00B24DFF"/>
    <w:rsid w:val="00B2614F"/>
    <w:rsid w:val="00B26607"/>
    <w:rsid w:val="00B277C0"/>
    <w:rsid w:val="00B30004"/>
    <w:rsid w:val="00B302AC"/>
    <w:rsid w:val="00B318AA"/>
    <w:rsid w:val="00B31CB9"/>
    <w:rsid w:val="00B33C46"/>
    <w:rsid w:val="00B34C7C"/>
    <w:rsid w:val="00B37CD6"/>
    <w:rsid w:val="00B416F4"/>
    <w:rsid w:val="00B41991"/>
    <w:rsid w:val="00B41AC3"/>
    <w:rsid w:val="00B420B0"/>
    <w:rsid w:val="00B42258"/>
    <w:rsid w:val="00B42450"/>
    <w:rsid w:val="00B44107"/>
    <w:rsid w:val="00B45413"/>
    <w:rsid w:val="00B45891"/>
    <w:rsid w:val="00B45D9B"/>
    <w:rsid w:val="00B46449"/>
    <w:rsid w:val="00B47A89"/>
    <w:rsid w:val="00B47F99"/>
    <w:rsid w:val="00B50B02"/>
    <w:rsid w:val="00B51CB4"/>
    <w:rsid w:val="00B52945"/>
    <w:rsid w:val="00B52B57"/>
    <w:rsid w:val="00B53174"/>
    <w:rsid w:val="00B53341"/>
    <w:rsid w:val="00B533D2"/>
    <w:rsid w:val="00B53710"/>
    <w:rsid w:val="00B53D89"/>
    <w:rsid w:val="00B55DDB"/>
    <w:rsid w:val="00B56CDE"/>
    <w:rsid w:val="00B5734F"/>
    <w:rsid w:val="00B575F0"/>
    <w:rsid w:val="00B578B5"/>
    <w:rsid w:val="00B6048A"/>
    <w:rsid w:val="00B61262"/>
    <w:rsid w:val="00B612F1"/>
    <w:rsid w:val="00B618A0"/>
    <w:rsid w:val="00B629EE"/>
    <w:rsid w:val="00B6426D"/>
    <w:rsid w:val="00B650CF"/>
    <w:rsid w:val="00B661D4"/>
    <w:rsid w:val="00B667F6"/>
    <w:rsid w:val="00B70D74"/>
    <w:rsid w:val="00B71032"/>
    <w:rsid w:val="00B716F8"/>
    <w:rsid w:val="00B71E34"/>
    <w:rsid w:val="00B7326F"/>
    <w:rsid w:val="00B7446F"/>
    <w:rsid w:val="00B762A9"/>
    <w:rsid w:val="00B76AA9"/>
    <w:rsid w:val="00B77BB6"/>
    <w:rsid w:val="00B80917"/>
    <w:rsid w:val="00B81B3B"/>
    <w:rsid w:val="00B8333A"/>
    <w:rsid w:val="00B83372"/>
    <w:rsid w:val="00B83403"/>
    <w:rsid w:val="00B8443F"/>
    <w:rsid w:val="00B87EE4"/>
    <w:rsid w:val="00B91352"/>
    <w:rsid w:val="00B917E2"/>
    <w:rsid w:val="00B924B7"/>
    <w:rsid w:val="00B924B9"/>
    <w:rsid w:val="00B92BEC"/>
    <w:rsid w:val="00B93D7E"/>
    <w:rsid w:val="00B948B3"/>
    <w:rsid w:val="00B948D6"/>
    <w:rsid w:val="00B95659"/>
    <w:rsid w:val="00B95BF4"/>
    <w:rsid w:val="00B962C7"/>
    <w:rsid w:val="00B96B7A"/>
    <w:rsid w:val="00B9759F"/>
    <w:rsid w:val="00BA1CF8"/>
    <w:rsid w:val="00BA27AD"/>
    <w:rsid w:val="00BA2A64"/>
    <w:rsid w:val="00BA3DEF"/>
    <w:rsid w:val="00BA499C"/>
    <w:rsid w:val="00BA5A6A"/>
    <w:rsid w:val="00BB014D"/>
    <w:rsid w:val="00BB1830"/>
    <w:rsid w:val="00BB220F"/>
    <w:rsid w:val="00BB4A09"/>
    <w:rsid w:val="00BB5B51"/>
    <w:rsid w:val="00BB6035"/>
    <w:rsid w:val="00BB7E13"/>
    <w:rsid w:val="00BC06E2"/>
    <w:rsid w:val="00BC0FDA"/>
    <w:rsid w:val="00BC1A1F"/>
    <w:rsid w:val="00BC23A2"/>
    <w:rsid w:val="00BC2B7C"/>
    <w:rsid w:val="00BC3538"/>
    <w:rsid w:val="00BC3C3D"/>
    <w:rsid w:val="00BC43EA"/>
    <w:rsid w:val="00BC4CC0"/>
    <w:rsid w:val="00BC509C"/>
    <w:rsid w:val="00BC51EA"/>
    <w:rsid w:val="00BC5F46"/>
    <w:rsid w:val="00BC60F6"/>
    <w:rsid w:val="00BC61E8"/>
    <w:rsid w:val="00BC62F1"/>
    <w:rsid w:val="00BC6F2C"/>
    <w:rsid w:val="00BD313F"/>
    <w:rsid w:val="00BD3615"/>
    <w:rsid w:val="00BD50AB"/>
    <w:rsid w:val="00BD50B7"/>
    <w:rsid w:val="00BD53DE"/>
    <w:rsid w:val="00BD5BEE"/>
    <w:rsid w:val="00BD5E1D"/>
    <w:rsid w:val="00BE0B80"/>
    <w:rsid w:val="00BE0C22"/>
    <w:rsid w:val="00BE2565"/>
    <w:rsid w:val="00BE2979"/>
    <w:rsid w:val="00BE2FF1"/>
    <w:rsid w:val="00BE3417"/>
    <w:rsid w:val="00BE37D6"/>
    <w:rsid w:val="00BE3967"/>
    <w:rsid w:val="00BE399F"/>
    <w:rsid w:val="00BE4053"/>
    <w:rsid w:val="00BE45B4"/>
    <w:rsid w:val="00BE4EF1"/>
    <w:rsid w:val="00BE623D"/>
    <w:rsid w:val="00BE66FC"/>
    <w:rsid w:val="00BE7139"/>
    <w:rsid w:val="00BE7826"/>
    <w:rsid w:val="00BF0581"/>
    <w:rsid w:val="00BF0D44"/>
    <w:rsid w:val="00BF19DA"/>
    <w:rsid w:val="00BF39FE"/>
    <w:rsid w:val="00BF3DF7"/>
    <w:rsid w:val="00BF4C07"/>
    <w:rsid w:val="00BF56F8"/>
    <w:rsid w:val="00BF59BE"/>
    <w:rsid w:val="00BF6097"/>
    <w:rsid w:val="00BF7233"/>
    <w:rsid w:val="00BF79D5"/>
    <w:rsid w:val="00C00EE7"/>
    <w:rsid w:val="00C02620"/>
    <w:rsid w:val="00C02977"/>
    <w:rsid w:val="00C02F22"/>
    <w:rsid w:val="00C0330A"/>
    <w:rsid w:val="00C0528C"/>
    <w:rsid w:val="00C11D0C"/>
    <w:rsid w:val="00C12F2F"/>
    <w:rsid w:val="00C15AA1"/>
    <w:rsid w:val="00C17281"/>
    <w:rsid w:val="00C208F9"/>
    <w:rsid w:val="00C20B7F"/>
    <w:rsid w:val="00C23CC1"/>
    <w:rsid w:val="00C23D8A"/>
    <w:rsid w:val="00C23E80"/>
    <w:rsid w:val="00C2463D"/>
    <w:rsid w:val="00C251FE"/>
    <w:rsid w:val="00C26DAF"/>
    <w:rsid w:val="00C2755A"/>
    <w:rsid w:val="00C278BE"/>
    <w:rsid w:val="00C27DF7"/>
    <w:rsid w:val="00C3055B"/>
    <w:rsid w:val="00C3149C"/>
    <w:rsid w:val="00C315B1"/>
    <w:rsid w:val="00C31F46"/>
    <w:rsid w:val="00C3210C"/>
    <w:rsid w:val="00C3302E"/>
    <w:rsid w:val="00C33EC6"/>
    <w:rsid w:val="00C34C8F"/>
    <w:rsid w:val="00C35288"/>
    <w:rsid w:val="00C40DA5"/>
    <w:rsid w:val="00C40E1A"/>
    <w:rsid w:val="00C4109D"/>
    <w:rsid w:val="00C4500C"/>
    <w:rsid w:val="00C46266"/>
    <w:rsid w:val="00C469CD"/>
    <w:rsid w:val="00C475AC"/>
    <w:rsid w:val="00C50C76"/>
    <w:rsid w:val="00C5245A"/>
    <w:rsid w:val="00C53170"/>
    <w:rsid w:val="00C536AF"/>
    <w:rsid w:val="00C54135"/>
    <w:rsid w:val="00C54290"/>
    <w:rsid w:val="00C54739"/>
    <w:rsid w:val="00C54C6E"/>
    <w:rsid w:val="00C55250"/>
    <w:rsid w:val="00C55584"/>
    <w:rsid w:val="00C558F0"/>
    <w:rsid w:val="00C56DAC"/>
    <w:rsid w:val="00C578FA"/>
    <w:rsid w:val="00C6021F"/>
    <w:rsid w:val="00C603FA"/>
    <w:rsid w:val="00C613C2"/>
    <w:rsid w:val="00C61777"/>
    <w:rsid w:val="00C62CE9"/>
    <w:rsid w:val="00C62FE6"/>
    <w:rsid w:val="00C63C78"/>
    <w:rsid w:val="00C63CB0"/>
    <w:rsid w:val="00C65169"/>
    <w:rsid w:val="00C659FC"/>
    <w:rsid w:val="00C66D00"/>
    <w:rsid w:val="00C67517"/>
    <w:rsid w:val="00C67AF0"/>
    <w:rsid w:val="00C67B05"/>
    <w:rsid w:val="00C704F9"/>
    <w:rsid w:val="00C71E43"/>
    <w:rsid w:val="00C72881"/>
    <w:rsid w:val="00C73AB3"/>
    <w:rsid w:val="00C75910"/>
    <w:rsid w:val="00C7696B"/>
    <w:rsid w:val="00C76B08"/>
    <w:rsid w:val="00C7722E"/>
    <w:rsid w:val="00C77DF9"/>
    <w:rsid w:val="00C80904"/>
    <w:rsid w:val="00C814BA"/>
    <w:rsid w:val="00C81682"/>
    <w:rsid w:val="00C82C03"/>
    <w:rsid w:val="00C849DC"/>
    <w:rsid w:val="00C84BEE"/>
    <w:rsid w:val="00C84D38"/>
    <w:rsid w:val="00C85093"/>
    <w:rsid w:val="00C867C3"/>
    <w:rsid w:val="00C903D2"/>
    <w:rsid w:val="00C93B6F"/>
    <w:rsid w:val="00C94A69"/>
    <w:rsid w:val="00C9576D"/>
    <w:rsid w:val="00C957B6"/>
    <w:rsid w:val="00C97459"/>
    <w:rsid w:val="00CA0823"/>
    <w:rsid w:val="00CA08A7"/>
    <w:rsid w:val="00CA467A"/>
    <w:rsid w:val="00CA46D9"/>
    <w:rsid w:val="00CA473C"/>
    <w:rsid w:val="00CA5196"/>
    <w:rsid w:val="00CA5C85"/>
    <w:rsid w:val="00CA6433"/>
    <w:rsid w:val="00CA6F49"/>
    <w:rsid w:val="00CA752A"/>
    <w:rsid w:val="00CB003D"/>
    <w:rsid w:val="00CB066D"/>
    <w:rsid w:val="00CB0E79"/>
    <w:rsid w:val="00CB110F"/>
    <w:rsid w:val="00CB2335"/>
    <w:rsid w:val="00CB28D1"/>
    <w:rsid w:val="00CB2C90"/>
    <w:rsid w:val="00CB3788"/>
    <w:rsid w:val="00CB4902"/>
    <w:rsid w:val="00CB566F"/>
    <w:rsid w:val="00CB58B3"/>
    <w:rsid w:val="00CB5F03"/>
    <w:rsid w:val="00CB65B0"/>
    <w:rsid w:val="00CB67F0"/>
    <w:rsid w:val="00CB68B5"/>
    <w:rsid w:val="00CB6C72"/>
    <w:rsid w:val="00CC25F6"/>
    <w:rsid w:val="00CC26CB"/>
    <w:rsid w:val="00CC385C"/>
    <w:rsid w:val="00CC44EE"/>
    <w:rsid w:val="00CC479D"/>
    <w:rsid w:val="00CC4990"/>
    <w:rsid w:val="00CC54FD"/>
    <w:rsid w:val="00CC60E8"/>
    <w:rsid w:val="00CC627D"/>
    <w:rsid w:val="00CC6BB5"/>
    <w:rsid w:val="00CC6CF9"/>
    <w:rsid w:val="00CC72C5"/>
    <w:rsid w:val="00CC78C4"/>
    <w:rsid w:val="00CD1183"/>
    <w:rsid w:val="00CD13E8"/>
    <w:rsid w:val="00CD1B21"/>
    <w:rsid w:val="00CD2906"/>
    <w:rsid w:val="00CD2E8F"/>
    <w:rsid w:val="00CD4432"/>
    <w:rsid w:val="00CD761E"/>
    <w:rsid w:val="00CD77FE"/>
    <w:rsid w:val="00CE5D57"/>
    <w:rsid w:val="00CF2EFB"/>
    <w:rsid w:val="00CF42C0"/>
    <w:rsid w:val="00CF50E5"/>
    <w:rsid w:val="00CF5178"/>
    <w:rsid w:val="00CF565F"/>
    <w:rsid w:val="00CF5F28"/>
    <w:rsid w:val="00CF6927"/>
    <w:rsid w:val="00D045AB"/>
    <w:rsid w:val="00D045D2"/>
    <w:rsid w:val="00D05DA4"/>
    <w:rsid w:val="00D05E78"/>
    <w:rsid w:val="00D102D4"/>
    <w:rsid w:val="00D1130C"/>
    <w:rsid w:val="00D11C1D"/>
    <w:rsid w:val="00D12384"/>
    <w:rsid w:val="00D13355"/>
    <w:rsid w:val="00D1443A"/>
    <w:rsid w:val="00D149C8"/>
    <w:rsid w:val="00D14AE5"/>
    <w:rsid w:val="00D153C1"/>
    <w:rsid w:val="00D1657F"/>
    <w:rsid w:val="00D17CB4"/>
    <w:rsid w:val="00D202CE"/>
    <w:rsid w:val="00D20FE9"/>
    <w:rsid w:val="00D21663"/>
    <w:rsid w:val="00D22742"/>
    <w:rsid w:val="00D235C6"/>
    <w:rsid w:val="00D23FAD"/>
    <w:rsid w:val="00D24163"/>
    <w:rsid w:val="00D24BDB"/>
    <w:rsid w:val="00D25618"/>
    <w:rsid w:val="00D257BB"/>
    <w:rsid w:val="00D25B6D"/>
    <w:rsid w:val="00D25CB9"/>
    <w:rsid w:val="00D270CB"/>
    <w:rsid w:val="00D2732B"/>
    <w:rsid w:val="00D27741"/>
    <w:rsid w:val="00D27D30"/>
    <w:rsid w:val="00D305EC"/>
    <w:rsid w:val="00D30D81"/>
    <w:rsid w:val="00D30FDA"/>
    <w:rsid w:val="00D32A90"/>
    <w:rsid w:val="00D334FE"/>
    <w:rsid w:val="00D3360B"/>
    <w:rsid w:val="00D3479D"/>
    <w:rsid w:val="00D34B16"/>
    <w:rsid w:val="00D358A0"/>
    <w:rsid w:val="00D35B85"/>
    <w:rsid w:val="00D408EA"/>
    <w:rsid w:val="00D41BBB"/>
    <w:rsid w:val="00D421F0"/>
    <w:rsid w:val="00D4671F"/>
    <w:rsid w:val="00D468AC"/>
    <w:rsid w:val="00D500D6"/>
    <w:rsid w:val="00D506A7"/>
    <w:rsid w:val="00D5329B"/>
    <w:rsid w:val="00D539C8"/>
    <w:rsid w:val="00D53E60"/>
    <w:rsid w:val="00D56DE3"/>
    <w:rsid w:val="00D570BC"/>
    <w:rsid w:val="00D573EA"/>
    <w:rsid w:val="00D579A6"/>
    <w:rsid w:val="00D60D2B"/>
    <w:rsid w:val="00D61D9E"/>
    <w:rsid w:val="00D6300D"/>
    <w:rsid w:val="00D631D2"/>
    <w:rsid w:val="00D65906"/>
    <w:rsid w:val="00D66DC1"/>
    <w:rsid w:val="00D66EF0"/>
    <w:rsid w:val="00D66F25"/>
    <w:rsid w:val="00D66FC5"/>
    <w:rsid w:val="00D679C2"/>
    <w:rsid w:val="00D71A46"/>
    <w:rsid w:val="00D720BD"/>
    <w:rsid w:val="00D720F1"/>
    <w:rsid w:val="00D7252F"/>
    <w:rsid w:val="00D76F19"/>
    <w:rsid w:val="00D774C7"/>
    <w:rsid w:val="00D77EFF"/>
    <w:rsid w:val="00D8088C"/>
    <w:rsid w:val="00D8167D"/>
    <w:rsid w:val="00D81873"/>
    <w:rsid w:val="00D81B81"/>
    <w:rsid w:val="00D82C72"/>
    <w:rsid w:val="00D83A2E"/>
    <w:rsid w:val="00D8453D"/>
    <w:rsid w:val="00D84D5F"/>
    <w:rsid w:val="00D84FCC"/>
    <w:rsid w:val="00D854A2"/>
    <w:rsid w:val="00D8557B"/>
    <w:rsid w:val="00D85BA2"/>
    <w:rsid w:val="00D85DC3"/>
    <w:rsid w:val="00D86957"/>
    <w:rsid w:val="00D86A93"/>
    <w:rsid w:val="00D86AD5"/>
    <w:rsid w:val="00D86C5D"/>
    <w:rsid w:val="00D90A72"/>
    <w:rsid w:val="00D90D40"/>
    <w:rsid w:val="00D91111"/>
    <w:rsid w:val="00D917C7"/>
    <w:rsid w:val="00D91CA2"/>
    <w:rsid w:val="00D92719"/>
    <w:rsid w:val="00D92844"/>
    <w:rsid w:val="00D92CB8"/>
    <w:rsid w:val="00D92D7A"/>
    <w:rsid w:val="00D94248"/>
    <w:rsid w:val="00D95300"/>
    <w:rsid w:val="00D95C9B"/>
    <w:rsid w:val="00D95D9F"/>
    <w:rsid w:val="00D962ED"/>
    <w:rsid w:val="00D96631"/>
    <w:rsid w:val="00D96B28"/>
    <w:rsid w:val="00D96D87"/>
    <w:rsid w:val="00DA00FE"/>
    <w:rsid w:val="00DA0D97"/>
    <w:rsid w:val="00DA10B6"/>
    <w:rsid w:val="00DA12F4"/>
    <w:rsid w:val="00DA2B04"/>
    <w:rsid w:val="00DA2F07"/>
    <w:rsid w:val="00DA5C37"/>
    <w:rsid w:val="00DA5DB6"/>
    <w:rsid w:val="00DA5DC0"/>
    <w:rsid w:val="00DA62C1"/>
    <w:rsid w:val="00DA7691"/>
    <w:rsid w:val="00DB0054"/>
    <w:rsid w:val="00DB0608"/>
    <w:rsid w:val="00DB0859"/>
    <w:rsid w:val="00DB1B4E"/>
    <w:rsid w:val="00DB1D0E"/>
    <w:rsid w:val="00DB2595"/>
    <w:rsid w:val="00DB5BD6"/>
    <w:rsid w:val="00DB5D16"/>
    <w:rsid w:val="00DB65C0"/>
    <w:rsid w:val="00DB74B1"/>
    <w:rsid w:val="00DC144A"/>
    <w:rsid w:val="00DC181C"/>
    <w:rsid w:val="00DC2440"/>
    <w:rsid w:val="00DC2A42"/>
    <w:rsid w:val="00DC30F3"/>
    <w:rsid w:val="00DC40C3"/>
    <w:rsid w:val="00DC4278"/>
    <w:rsid w:val="00DC4A83"/>
    <w:rsid w:val="00DC6C22"/>
    <w:rsid w:val="00DD1F39"/>
    <w:rsid w:val="00DD2D6E"/>
    <w:rsid w:val="00DD31B5"/>
    <w:rsid w:val="00DD33A0"/>
    <w:rsid w:val="00DD3A61"/>
    <w:rsid w:val="00DD3AC2"/>
    <w:rsid w:val="00DD3C69"/>
    <w:rsid w:val="00DD5C09"/>
    <w:rsid w:val="00DD7653"/>
    <w:rsid w:val="00DD790D"/>
    <w:rsid w:val="00DE0A40"/>
    <w:rsid w:val="00DE1653"/>
    <w:rsid w:val="00DE2D8D"/>
    <w:rsid w:val="00DE2F55"/>
    <w:rsid w:val="00DE5D01"/>
    <w:rsid w:val="00DE6364"/>
    <w:rsid w:val="00DE6929"/>
    <w:rsid w:val="00DE7D7D"/>
    <w:rsid w:val="00DF0E04"/>
    <w:rsid w:val="00DF14BB"/>
    <w:rsid w:val="00DF210C"/>
    <w:rsid w:val="00DF4387"/>
    <w:rsid w:val="00DF4EB5"/>
    <w:rsid w:val="00DF53AF"/>
    <w:rsid w:val="00DF5957"/>
    <w:rsid w:val="00DF655F"/>
    <w:rsid w:val="00DF759D"/>
    <w:rsid w:val="00DF7BAE"/>
    <w:rsid w:val="00E01802"/>
    <w:rsid w:val="00E04F3F"/>
    <w:rsid w:val="00E04FA0"/>
    <w:rsid w:val="00E0546F"/>
    <w:rsid w:val="00E05BA4"/>
    <w:rsid w:val="00E05EE8"/>
    <w:rsid w:val="00E06DA8"/>
    <w:rsid w:val="00E079C3"/>
    <w:rsid w:val="00E07EB2"/>
    <w:rsid w:val="00E10BC8"/>
    <w:rsid w:val="00E12D3B"/>
    <w:rsid w:val="00E13BD4"/>
    <w:rsid w:val="00E13EE0"/>
    <w:rsid w:val="00E15A39"/>
    <w:rsid w:val="00E15DAA"/>
    <w:rsid w:val="00E17FC4"/>
    <w:rsid w:val="00E22C20"/>
    <w:rsid w:val="00E23661"/>
    <w:rsid w:val="00E23E08"/>
    <w:rsid w:val="00E23EBF"/>
    <w:rsid w:val="00E24459"/>
    <w:rsid w:val="00E246D4"/>
    <w:rsid w:val="00E25F5E"/>
    <w:rsid w:val="00E2648E"/>
    <w:rsid w:val="00E26F87"/>
    <w:rsid w:val="00E3015C"/>
    <w:rsid w:val="00E309D2"/>
    <w:rsid w:val="00E3127B"/>
    <w:rsid w:val="00E32B75"/>
    <w:rsid w:val="00E33154"/>
    <w:rsid w:val="00E33BEE"/>
    <w:rsid w:val="00E34719"/>
    <w:rsid w:val="00E34AC2"/>
    <w:rsid w:val="00E372AE"/>
    <w:rsid w:val="00E372F7"/>
    <w:rsid w:val="00E37331"/>
    <w:rsid w:val="00E40217"/>
    <w:rsid w:val="00E40A2D"/>
    <w:rsid w:val="00E42AE6"/>
    <w:rsid w:val="00E43872"/>
    <w:rsid w:val="00E446D2"/>
    <w:rsid w:val="00E44AE9"/>
    <w:rsid w:val="00E451F3"/>
    <w:rsid w:val="00E473F1"/>
    <w:rsid w:val="00E50005"/>
    <w:rsid w:val="00E5009F"/>
    <w:rsid w:val="00E50972"/>
    <w:rsid w:val="00E50DFE"/>
    <w:rsid w:val="00E52193"/>
    <w:rsid w:val="00E528E8"/>
    <w:rsid w:val="00E54D53"/>
    <w:rsid w:val="00E554E8"/>
    <w:rsid w:val="00E57523"/>
    <w:rsid w:val="00E61894"/>
    <w:rsid w:val="00E62214"/>
    <w:rsid w:val="00E6245C"/>
    <w:rsid w:val="00E62C34"/>
    <w:rsid w:val="00E62D90"/>
    <w:rsid w:val="00E63140"/>
    <w:rsid w:val="00E633DC"/>
    <w:rsid w:val="00E64BA0"/>
    <w:rsid w:val="00E655E2"/>
    <w:rsid w:val="00E65BB3"/>
    <w:rsid w:val="00E65CD8"/>
    <w:rsid w:val="00E66603"/>
    <w:rsid w:val="00E711EA"/>
    <w:rsid w:val="00E715D0"/>
    <w:rsid w:val="00E735A9"/>
    <w:rsid w:val="00E735FE"/>
    <w:rsid w:val="00E73ACF"/>
    <w:rsid w:val="00E74ECC"/>
    <w:rsid w:val="00E776F0"/>
    <w:rsid w:val="00E80640"/>
    <w:rsid w:val="00E8157E"/>
    <w:rsid w:val="00E815FC"/>
    <w:rsid w:val="00E81736"/>
    <w:rsid w:val="00E81EC0"/>
    <w:rsid w:val="00E81ED7"/>
    <w:rsid w:val="00E82586"/>
    <w:rsid w:val="00E826C4"/>
    <w:rsid w:val="00E82F1F"/>
    <w:rsid w:val="00E83A20"/>
    <w:rsid w:val="00E83BFD"/>
    <w:rsid w:val="00E84C24"/>
    <w:rsid w:val="00E84D69"/>
    <w:rsid w:val="00E850C3"/>
    <w:rsid w:val="00E85C7C"/>
    <w:rsid w:val="00E86488"/>
    <w:rsid w:val="00E90228"/>
    <w:rsid w:val="00E907F4"/>
    <w:rsid w:val="00E9145C"/>
    <w:rsid w:val="00E926E3"/>
    <w:rsid w:val="00E95F4E"/>
    <w:rsid w:val="00E96E5D"/>
    <w:rsid w:val="00E9798A"/>
    <w:rsid w:val="00E979F7"/>
    <w:rsid w:val="00EA3000"/>
    <w:rsid w:val="00EA3725"/>
    <w:rsid w:val="00EA3936"/>
    <w:rsid w:val="00EA513F"/>
    <w:rsid w:val="00EA5961"/>
    <w:rsid w:val="00EA5CD1"/>
    <w:rsid w:val="00EA5E2A"/>
    <w:rsid w:val="00EA6D84"/>
    <w:rsid w:val="00EA7710"/>
    <w:rsid w:val="00EA7D38"/>
    <w:rsid w:val="00EB0731"/>
    <w:rsid w:val="00EB1015"/>
    <w:rsid w:val="00EB2020"/>
    <w:rsid w:val="00EB2214"/>
    <w:rsid w:val="00EB27D5"/>
    <w:rsid w:val="00EB28E9"/>
    <w:rsid w:val="00EB2E09"/>
    <w:rsid w:val="00EB3653"/>
    <w:rsid w:val="00EB578A"/>
    <w:rsid w:val="00EB6AFD"/>
    <w:rsid w:val="00EB6C7D"/>
    <w:rsid w:val="00EB70E5"/>
    <w:rsid w:val="00EB7C8E"/>
    <w:rsid w:val="00EC02BE"/>
    <w:rsid w:val="00EC12F8"/>
    <w:rsid w:val="00EC146E"/>
    <w:rsid w:val="00EC1B1A"/>
    <w:rsid w:val="00EC293A"/>
    <w:rsid w:val="00EC35DE"/>
    <w:rsid w:val="00EC53E6"/>
    <w:rsid w:val="00EC543A"/>
    <w:rsid w:val="00EC5975"/>
    <w:rsid w:val="00EC6130"/>
    <w:rsid w:val="00EC6766"/>
    <w:rsid w:val="00EC6B27"/>
    <w:rsid w:val="00EC6BF6"/>
    <w:rsid w:val="00EC7AE3"/>
    <w:rsid w:val="00EC7E08"/>
    <w:rsid w:val="00ED0F4E"/>
    <w:rsid w:val="00ED2563"/>
    <w:rsid w:val="00ED2570"/>
    <w:rsid w:val="00ED2A4C"/>
    <w:rsid w:val="00ED6DFC"/>
    <w:rsid w:val="00ED762B"/>
    <w:rsid w:val="00EE067C"/>
    <w:rsid w:val="00EE1275"/>
    <w:rsid w:val="00EE12BA"/>
    <w:rsid w:val="00EE1D7D"/>
    <w:rsid w:val="00EE2031"/>
    <w:rsid w:val="00EE2D3E"/>
    <w:rsid w:val="00EE35DE"/>
    <w:rsid w:val="00EE4924"/>
    <w:rsid w:val="00EE7A5E"/>
    <w:rsid w:val="00EF039F"/>
    <w:rsid w:val="00EF11CE"/>
    <w:rsid w:val="00EF13FE"/>
    <w:rsid w:val="00EF2143"/>
    <w:rsid w:val="00EF3159"/>
    <w:rsid w:val="00EF384D"/>
    <w:rsid w:val="00EF4569"/>
    <w:rsid w:val="00EF4ADD"/>
    <w:rsid w:val="00EF4B37"/>
    <w:rsid w:val="00EF4F51"/>
    <w:rsid w:val="00EF6960"/>
    <w:rsid w:val="00EF711A"/>
    <w:rsid w:val="00EF74D6"/>
    <w:rsid w:val="00EF7D4C"/>
    <w:rsid w:val="00F03706"/>
    <w:rsid w:val="00F062AC"/>
    <w:rsid w:val="00F068A0"/>
    <w:rsid w:val="00F0745D"/>
    <w:rsid w:val="00F10C63"/>
    <w:rsid w:val="00F115CA"/>
    <w:rsid w:val="00F121CB"/>
    <w:rsid w:val="00F12787"/>
    <w:rsid w:val="00F152AB"/>
    <w:rsid w:val="00F15BE9"/>
    <w:rsid w:val="00F17101"/>
    <w:rsid w:val="00F175F6"/>
    <w:rsid w:val="00F177DC"/>
    <w:rsid w:val="00F17AC1"/>
    <w:rsid w:val="00F20A25"/>
    <w:rsid w:val="00F20D6E"/>
    <w:rsid w:val="00F21433"/>
    <w:rsid w:val="00F21FE4"/>
    <w:rsid w:val="00F22810"/>
    <w:rsid w:val="00F23521"/>
    <w:rsid w:val="00F2359F"/>
    <w:rsid w:val="00F25573"/>
    <w:rsid w:val="00F25733"/>
    <w:rsid w:val="00F25E05"/>
    <w:rsid w:val="00F26F08"/>
    <w:rsid w:val="00F2710C"/>
    <w:rsid w:val="00F274F9"/>
    <w:rsid w:val="00F31310"/>
    <w:rsid w:val="00F314CA"/>
    <w:rsid w:val="00F31F31"/>
    <w:rsid w:val="00F32AC3"/>
    <w:rsid w:val="00F34F34"/>
    <w:rsid w:val="00F35295"/>
    <w:rsid w:val="00F35350"/>
    <w:rsid w:val="00F35D14"/>
    <w:rsid w:val="00F35E37"/>
    <w:rsid w:val="00F36CF6"/>
    <w:rsid w:val="00F37737"/>
    <w:rsid w:val="00F4022D"/>
    <w:rsid w:val="00F40BDA"/>
    <w:rsid w:val="00F40F06"/>
    <w:rsid w:val="00F41750"/>
    <w:rsid w:val="00F419C8"/>
    <w:rsid w:val="00F41C30"/>
    <w:rsid w:val="00F4352C"/>
    <w:rsid w:val="00F435DD"/>
    <w:rsid w:val="00F43806"/>
    <w:rsid w:val="00F44A54"/>
    <w:rsid w:val="00F46DC9"/>
    <w:rsid w:val="00F47051"/>
    <w:rsid w:val="00F47774"/>
    <w:rsid w:val="00F47DFA"/>
    <w:rsid w:val="00F5078F"/>
    <w:rsid w:val="00F54542"/>
    <w:rsid w:val="00F56757"/>
    <w:rsid w:val="00F61830"/>
    <w:rsid w:val="00F61F2B"/>
    <w:rsid w:val="00F632F0"/>
    <w:rsid w:val="00F650C6"/>
    <w:rsid w:val="00F6654F"/>
    <w:rsid w:val="00F66726"/>
    <w:rsid w:val="00F670C5"/>
    <w:rsid w:val="00F672F3"/>
    <w:rsid w:val="00F67E52"/>
    <w:rsid w:val="00F717A9"/>
    <w:rsid w:val="00F72893"/>
    <w:rsid w:val="00F72F75"/>
    <w:rsid w:val="00F740D5"/>
    <w:rsid w:val="00F744CB"/>
    <w:rsid w:val="00F74885"/>
    <w:rsid w:val="00F75D7F"/>
    <w:rsid w:val="00F808C8"/>
    <w:rsid w:val="00F82F71"/>
    <w:rsid w:val="00F8319D"/>
    <w:rsid w:val="00F852AC"/>
    <w:rsid w:val="00F87873"/>
    <w:rsid w:val="00F8797F"/>
    <w:rsid w:val="00F90801"/>
    <w:rsid w:val="00F90CEE"/>
    <w:rsid w:val="00F90FD1"/>
    <w:rsid w:val="00F928A7"/>
    <w:rsid w:val="00F92C67"/>
    <w:rsid w:val="00F94832"/>
    <w:rsid w:val="00F951A8"/>
    <w:rsid w:val="00F973B8"/>
    <w:rsid w:val="00FA074C"/>
    <w:rsid w:val="00FA1715"/>
    <w:rsid w:val="00FA189F"/>
    <w:rsid w:val="00FA33EA"/>
    <w:rsid w:val="00FA3B31"/>
    <w:rsid w:val="00FA4E6A"/>
    <w:rsid w:val="00FA5FB5"/>
    <w:rsid w:val="00FA6021"/>
    <w:rsid w:val="00FA6E71"/>
    <w:rsid w:val="00FA7041"/>
    <w:rsid w:val="00FB1AF5"/>
    <w:rsid w:val="00FB1F32"/>
    <w:rsid w:val="00FB38C1"/>
    <w:rsid w:val="00FB3EF1"/>
    <w:rsid w:val="00FB496B"/>
    <w:rsid w:val="00FB4EEC"/>
    <w:rsid w:val="00FB5305"/>
    <w:rsid w:val="00FB5539"/>
    <w:rsid w:val="00FB580A"/>
    <w:rsid w:val="00FB5D0B"/>
    <w:rsid w:val="00FB6219"/>
    <w:rsid w:val="00FB6344"/>
    <w:rsid w:val="00FC0BB0"/>
    <w:rsid w:val="00FC18C6"/>
    <w:rsid w:val="00FC2AA2"/>
    <w:rsid w:val="00FC2BFC"/>
    <w:rsid w:val="00FC2FEF"/>
    <w:rsid w:val="00FC4E0A"/>
    <w:rsid w:val="00FC507A"/>
    <w:rsid w:val="00FC5721"/>
    <w:rsid w:val="00FC7057"/>
    <w:rsid w:val="00FC70C1"/>
    <w:rsid w:val="00FC7C5E"/>
    <w:rsid w:val="00FD0107"/>
    <w:rsid w:val="00FD0552"/>
    <w:rsid w:val="00FD06CF"/>
    <w:rsid w:val="00FD1F7B"/>
    <w:rsid w:val="00FD2A36"/>
    <w:rsid w:val="00FD45B6"/>
    <w:rsid w:val="00FD5B9A"/>
    <w:rsid w:val="00FD5BAB"/>
    <w:rsid w:val="00FD6323"/>
    <w:rsid w:val="00FD6583"/>
    <w:rsid w:val="00FD6621"/>
    <w:rsid w:val="00FE058D"/>
    <w:rsid w:val="00FE2FFD"/>
    <w:rsid w:val="00FE369C"/>
    <w:rsid w:val="00FE477F"/>
    <w:rsid w:val="00FE4CEE"/>
    <w:rsid w:val="00FE53AC"/>
    <w:rsid w:val="00FE6F80"/>
    <w:rsid w:val="00FE78F3"/>
    <w:rsid w:val="00FF0141"/>
    <w:rsid w:val="00FF1535"/>
    <w:rsid w:val="00FF309C"/>
    <w:rsid w:val="00FF367B"/>
    <w:rsid w:val="00FF5CDC"/>
    <w:rsid w:val="00FF6FAA"/>
    <w:rsid w:val="00FF771D"/>
    <w:rsid w:val="00FF77B0"/>
    <w:rsid w:val="00FF7C1B"/>
    <w:rsid w:val="01393607"/>
    <w:rsid w:val="01434E8F"/>
    <w:rsid w:val="014940A9"/>
    <w:rsid w:val="015432AF"/>
    <w:rsid w:val="01565F5E"/>
    <w:rsid w:val="015F4C9B"/>
    <w:rsid w:val="01602CAF"/>
    <w:rsid w:val="016A55F2"/>
    <w:rsid w:val="016D6A5A"/>
    <w:rsid w:val="016E2F6B"/>
    <w:rsid w:val="01793666"/>
    <w:rsid w:val="01833F98"/>
    <w:rsid w:val="019A59B5"/>
    <w:rsid w:val="01BE2825"/>
    <w:rsid w:val="01D152A8"/>
    <w:rsid w:val="02142B95"/>
    <w:rsid w:val="021A7CDB"/>
    <w:rsid w:val="0243182C"/>
    <w:rsid w:val="02497ADA"/>
    <w:rsid w:val="0280246C"/>
    <w:rsid w:val="02826BD0"/>
    <w:rsid w:val="02AE6B1E"/>
    <w:rsid w:val="02C6697B"/>
    <w:rsid w:val="02CC3240"/>
    <w:rsid w:val="02DF432B"/>
    <w:rsid w:val="02EB4C9C"/>
    <w:rsid w:val="02FB380A"/>
    <w:rsid w:val="02FC45A7"/>
    <w:rsid w:val="030000FE"/>
    <w:rsid w:val="03072247"/>
    <w:rsid w:val="030E5DE7"/>
    <w:rsid w:val="03369A85"/>
    <w:rsid w:val="033821D8"/>
    <w:rsid w:val="034B29D9"/>
    <w:rsid w:val="035458D7"/>
    <w:rsid w:val="03642473"/>
    <w:rsid w:val="03AE4CBD"/>
    <w:rsid w:val="03BA4EE2"/>
    <w:rsid w:val="03BD5AE4"/>
    <w:rsid w:val="03D2541C"/>
    <w:rsid w:val="03F308F1"/>
    <w:rsid w:val="03FE4D07"/>
    <w:rsid w:val="04027439"/>
    <w:rsid w:val="04070B2F"/>
    <w:rsid w:val="041A6D25"/>
    <w:rsid w:val="0440227E"/>
    <w:rsid w:val="0443541C"/>
    <w:rsid w:val="0449381C"/>
    <w:rsid w:val="045B5207"/>
    <w:rsid w:val="04620439"/>
    <w:rsid w:val="047A59B4"/>
    <w:rsid w:val="04893C18"/>
    <w:rsid w:val="04AB2E09"/>
    <w:rsid w:val="04E470A0"/>
    <w:rsid w:val="04ED08E3"/>
    <w:rsid w:val="04F1401C"/>
    <w:rsid w:val="053A749D"/>
    <w:rsid w:val="05595CE0"/>
    <w:rsid w:val="0563090D"/>
    <w:rsid w:val="058D6A20"/>
    <w:rsid w:val="05A52CD4"/>
    <w:rsid w:val="05C43461"/>
    <w:rsid w:val="05C759FB"/>
    <w:rsid w:val="05E077F4"/>
    <w:rsid w:val="05E14A5B"/>
    <w:rsid w:val="06053772"/>
    <w:rsid w:val="060A1391"/>
    <w:rsid w:val="06110369"/>
    <w:rsid w:val="06172473"/>
    <w:rsid w:val="06370CDC"/>
    <w:rsid w:val="06396F29"/>
    <w:rsid w:val="065C205F"/>
    <w:rsid w:val="06652463"/>
    <w:rsid w:val="068F4522"/>
    <w:rsid w:val="069B7A64"/>
    <w:rsid w:val="06BB32DE"/>
    <w:rsid w:val="06BD4936"/>
    <w:rsid w:val="06C07699"/>
    <w:rsid w:val="06CB4FA1"/>
    <w:rsid w:val="06CC597B"/>
    <w:rsid w:val="06E25597"/>
    <w:rsid w:val="06F36A15"/>
    <w:rsid w:val="06FA0DFD"/>
    <w:rsid w:val="07056E54"/>
    <w:rsid w:val="07104197"/>
    <w:rsid w:val="07105F7C"/>
    <w:rsid w:val="07131CDD"/>
    <w:rsid w:val="07374BE9"/>
    <w:rsid w:val="07605281"/>
    <w:rsid w:val="076A720E"/>
    <w:rsid w:val="0789431E"/>
    <w:rsid w:val="07AE20E7"/>
    <w:rsid w:val="07DC6C9C"/>
    <w:rsid w:val="07F4584C"/>
    <w:rsid w:val="07F949D1"/>
    <w:rsid w:val="082F2D28"/>
    <w:rsid w:val="08391DD9"/>
    <w:rsid w:val="08696B2A"/>
    <w:rsid w:val="0875685F"/>
    <w:rsid w:val="087B0530"/>
    <w:rsid w:val="087D3A94"/>
    <w:rsid w:val="08857D5A"/>
    <w:rsid w:val="08923B7D"/>
    <w:rsid w:val="08987A66"/>
    <w:rsid w:val="08A551C4"/>
    <w:rsid w:val="08A8389B"/>
    <w:rsid w:val="08CD2168"/>
    <w:rsid w:val="08D42EE4"/>
    <w:rsid w:val="08FB2D94"/>
    <w:rsid w:val="09255005"/>
    <w:rsid w:val="09353A12"/>
    <w:rsid w:val="0956057A"/>
    <w:rsid w:val="096B58B7"/>
    <w:rsid w:val="0972111F"/>
    <w:rsid w:val="09A33760"/>
    <w:rsid w:val="09AF3EB9"/>
    <w:rsid w:val="09C71AE5"/>
    <w:rsid w:val="09D4300B"/>
    <w:rsid w:val="09DC5E03"/>
    <w:rsid w:val="0A094DE3"/>
    <w:rsid w:val="0A0F7F0B"/>
    <w:rsid w:val="0A1C3963"/>
    <w:rsid w:val="0A24026F"/>
    <w:rsid w:val="0A3E1E68"/>
    <w:rsid w:val="0A4A5639"/>
    <w:rsid w:val="0A53531D"/>
    <w:rsid w:val="0A5A0EBF"/>
    <w:rsid w:val="0A760BA2"/>
    <w:rsid w:val="0A8E1F88"/>
    <w:rsid w:val="0AB5017C"/>
    <w:rsid w:val="0AE85759"/>
    <w:rsid w:val="0AED66A4"/>
    <w:rsid w:val="0AFB34DE"/>
    <w:rsid w:val="0B1C3A38"/>
    <w:rsid w:val="0B3E78F6"/>
    <w:rsid w:val="0B634B49"/>
    <w:rsid w:val="0B6569DF"/>
    <w:rsid w:val="0B8210EF"/>
    <w:rsid w:val="0B9C3D5C"/>
    <w:rsid w:val="0BB023D2"/>
    <w:rsid w:val="0BB80509"/>
    <w:rsid w:val="0BC81033"/>
    <w:rsid w:val="0BC82F17"/>
    <w:rsid w:val="0BCD0858"/>
    <w:rsid w:val="0BE3052D"/>
    <w:rsid w:val="0C053F44"/>
    <w:rsid w:val="0C153C2D"/>
    <w:rsid w:val="0C3044DB"/>
    <w:rsid w:val="0C4843B9"/>
    <w:rsid w:val="0C4F3155"/>
    <w:rsid w:val="0C540FAF"/>
    <w:rsid w:val="0C5848C3"/>
    <w:rsid w:val="0C603DC4"/>
    <w:rsid w:val="0C633988"/>
    <w:rsid w:val="0C914DC8"/>
    <w:rsid w:val="0C915D60"/>
    <w:rsid w:val="0CB051D1"/>
    <w:rsid w:val="0CE91A4F"/>
    <w:rsid w:val="0D1424ED"/>
    <w:rsid w:val="0D277019"/>
    <w:rsid w:val="0D514066"/>
    <w:rsid w:val="0D67743B"/>
    <w:rsid w:val="0D701020"/>
    <w:rsid w:val="0D8145D3"/>
    <w:rsid w:val="0D8E23C0"/>
    <w:rsid w:val="0D9B345F"/>
    <w:rsid w:val="0DAB4BFF"/>
    <w:rsid w:val="0DAC51CC"/>
    <w:rsid w:val="0DC209A4"/>
    <w:rsid w:val="0DC76ADD"/>
    <w:rsid w:val="0DD102F9"/>
    <w:rsid w:val="0DE35183"/>
    <w:rsid w:val="0E051D88"/>
    <w:rsid w:val="0E3A41D5"/>
    <w:rsid w:val="0E3E5F77"/>
    <w:rsid w:val="0E423855"/>
    <w:rsid w:val="0E460DCC"/>
    <w:rsid w:val="0EC36C5C"/>
    <w:rsid w:val="0EC51CF1"/>
    <w:rsid w:val="0ED5199A"/>
    <w:rsid w:val="0EDC727D"/>
    <w:rsid w:val="0EE539C7"/>
    <w:rsid w:val="0EE971B4"/>
    <w:rsid w:val="0F0F6934"/>
    <w:rsid w:val="0F320754"/>
    <w:rsid w:val="0F396357"/>
    <w:rsid w:val="0F5D744D"/>
    <w:rsid w:val="0FDE5955"/>
    <w:rsid w:val="0FF91D0F"/>
    <w:rsid w:val="0FFA390A"/>
    <w:rsid w:val="0FFD5A95"/>
    <w:rsid w:val="1011710A"/>
    <w:rsid w:val="10144374"/>
    <w:rsid w:val="10556921"/>
    <w:rsid w:val="10566EE6"/>
    <w:rsid w:val="105D7069"/>
    <w:rsid w:val="106008E9"/>
    <w:rsid w:val="10722A33"/>
    <w:rsid w:val="107A6B0B"/>
    <w:rsid w:val="108533AC"/>
    <w:rsid w:val="1094112C"/>
    <w:rsid w:val="10AA2858"/>
    <w:rsid w:val="10F9194B"/>
    <w:rsid w:val="11063C09"/>
    <w:rsid w:val="11215C4A"/>
    <w:rsid w:val="11394661"/>
    <w:rsid w:val="113A4032"/>
    <w:rsid w:val="11605C31"/>
    <w:rsid w:val="11640ECC"/>
    <w:rsid w:val="116565B0"/>
    <w:rsid w:val="11783235"/>
    <w:rsid w:val="11836ED9"/>
    <w:rsid w:val="119B4F48"/>
    <w:rsid w:val="11B5429E"/>
    <w:rsid w:val="11BC2820"/>
    <w:rsid w:val="11BD7BE4"/>
    <w:rsid w:val="11C03FF0"/>
    <w:rsid w:val="11CB41A7"/>
    <w:rsid w:val="11CC14A6"/>
    <w:rsid w:val="11D25F5A"/>
    <w:rsid w:val="11EB17BF"/>
    <w:rsid w:val="11EC3B60"/>
    <w:rsid w:val="12077267"/>
    <w:rsid w:val="12135BF7"/>
    <w:rsid w:val="12211934"/>
    <w:rsid w:val="122B31A9"/>
    <w:rsid w:val="12371917"/>
    <w:rsid w:val="12463148"/>
    <w:rsid w:val="124F581E"/>
    <w:rsid w:val="1274141C"/>
    <w:rsid w:val="127D0919"/>
    <w:rsid w:val="12867B06"/>
    <w:rsid w:val="12916AA6"/>
    <w:rsid w:val="129A5468"/>
    <w:rsid w:val="12B334AD"/>
    <w:rsid w:val="13184B89"/>
    <w:rsid w:val="13231761"/>
    <w:rsid w:val="132658E9"/>
    <w:rsid w:val="13294F44"/>
    <w:rsid w:val="134E2854"/>
    <w:rsid w:val="137160B1"/>
    <w:rsid w:val="137F464C"/>
    <w:rsid w:val="139236CA"/>
    <w:rsid w:val="139B5716"/>
    <w:rsid w:val="13B90A37"/>
    <w:rsid w:val="13BD38DE"/>
    <w:rsid w:val="13D606C1"/>
    <w:rsid w:val="13D7092A"/>
    <w:rsid w:val="13DA2BBC"/>
    <w:rsid w:val="14321BD6"/>
    <w:rsid w:val="14337C3E"/>
    <w:rsid w:val="14453C61"/>
    <w:rsid w:val="1449239C"/>
    <w:rsid w:val="149D101A"/>
    <w:rsid w:val="14B345F9"/>
    <w:rsid w:val="15121A08"/>
    <w:rsid w:val="151B567F"/>
    <w:rsid w:val="1533733D"/>
    <w:rsid w:val="153632B0"/>
    <w:rsid w:val="15436065"/>
    <w:rsid w:val="15546156"/>
    <w:rsid w:val="1572385C"/>
    <w:rsid w:val="159A1461"/>
    <w:rsid w:val="15B262F9"/>
    <w:rsid w:val="15B6018D"/>
    <w:rsid w:val="15B605A3"/>
    <w:rsid w:val="1606156C"/>
    <w:rsid w:val="1615355E"/>
    <w:rsid w:val="161E52DD"/>
    <w:rsid w:val="162410AA"/>
    <w:rsid w:val="162804A8"/>
    <w:rsid w:val="16481B85"/>
    <w:rsid w:val="16534086"/>
    <w:rsid w:val="16647E1E"/>
    <w:rsid w:val="16827DD1"/>
    <w:rsid w:val="16896AC9"/>
    <w:rsid w:val="16983EF9"/>
    <w:rsid w:val="169935C8"/>
    <w:rsid w:val="169D58EB"/>
    <w:rsid w:val="16AB58AD"/>
    <w:rsid w:val="16AF095C"/>
    <w:rsid w:val="16E46C83"/>
    <w:rsid w:val="16E6783A"/>
    <w:rsid w:val="16E9179E"/>
    <w:rsid w:val="16EF0253"/>
    <w:rsid w:val="16F21AF1"/>
    <w:rsid w:val="16F969DB"/>
    <w:rsid w:val="16FC40F2"/>
    <w:rsid w:val="1704244B"/>
    <w:rsid w:val="171E3B33"/>
    <w:rsid w:val="17674FEB"/>
    <w:rsid w:val="17B42DE1"/>
    <w:rsid w:val="17B52083"/>
    <w:rsid w:val="18053B88"/>
    <w:rsid w:val="18274293"/>
    <w:rsid w:val="183F474B"/>
    <w:rsid w:val="1844579D"/>
    <w:rsid w:val="18447EB6"/>
    <w:rsid w:val="18546A2F"/>
    <w:rsid w:val="187D53FF"/>
    <w:rsid w:val="188744BB"/>
    <w:rsid w:val="1889786D"/>
    <w:rsid w:val="189C5A48"/>
    <w:rsid w:val="18B76B4E"/>
    <w:rsid w:val="18C66D91"/>
    <w:rsid w:val="18C72EF8"/>
    <w:rsid w:val="18EB5FD3"/>
    <w:rsid w:val="19026DE7"/>
    <w:rsid w:val="191B7467"/>
    <w:rsid w:val="191F46F3"/>
    <w:rsid w:val="19225182"/>
    <w:rsid w:val="192C753C"/>
    <w:rsid w:val="193C2941"/>
    <w:rsid w:val="196643C8"/>
    <w:rsid w:val="1973065B"/>
    <w:rsid w:val="19977674"/>
    <w:rsid w:val="19A004C6"/>
    <w:rsid w:val="19B05279"/>
    <w:rsid w:val="19B505DF"/>
    <w:rsid w:val="19C60F49"/>
    <w:rsid w:val="19C6726A"/>
    <w:rsid w:val="19CA28B1"/>
    <w:rsid w:val="19D57DF0"/>
    <w:rsid w:val="19E53425"/>
    <w:rsid w:val="19E91874"/>
    <w:rsid w:val="19F65009"/>
    <w:rsid w:val="1A123EA9"/>
    <w:rsid w:val="1A1C651E"/>
    <w:rsid w:val="1A2A3998"/>
    <w:rsid w:val="1A2B3806"/>
    <w:rsid w:val="1A356D79"/>
    <w:rsid w:val="1A440A74"/>
    <w:rsid w:val="1A487E84"/>
    <w:rsid w:val="1A7A6085"/>
    <w:rsid w:val="1A7B0C0D"/>
    <w:rsid w:val="1A865857"/>
    <w:rsid w:val="1A911AC4"/>
    <w:rsid w:val="1AB15621"/>
    <w:rsid w:val="1AB402A7"/>
    <w:rsid w:val="1AB73460"/>
    <w:rsid w:val="1ABD7047"/>
    <w:rsid w:val="1AC41414"/>
    <w:rsid w:val="1AE41293"/>
    <w:rsid w:val="1AF014D8"/>
    <w:rsid w:val="1AF37BE5"/>
    <w:rsid w:val="1B0F1BE3"/>
    <w:rsid w:val="1B106C68"/>
    <w:rsid w:val="1B2328AE"/>
    <w:rsid w:val="1B344FC3"/>
    <w:rsid w:val="1B375D24"/>
    <w:rsid w:val="1B5C5CDB"/>
    <w:rsid w:val="1B7C04C3"/>
    <w:rsid w:val="1B9C0F70"/>
    <w:rsid w:val="1BBE1FA1"/>
    <w:rsid w:val="1BC9355A"/>
    <w:rsid w:val="1BDB0DA5"/>
    <w:rsid w:val="1BF71B7D"/>
    <w:rsid w:val="1BFD328E"/>
    <w:rsid w:val="1C024584"/>
    <w:rsid w:val="1C13632B"/>
    <w:rsid w:val="1C31226E"/>
    <w:rsid w:val="1C383227"/>
    <w:rsid w:val="1C7C2B95"/>
    <w:rsid w:val="1C872CDB"/>
    <w:rsid w:val="1CB52822"/>
    <w:rsid w:val="1CB810E7"/>
    <w:rsid w:val="1CDA5FF9"/>
    <w:rsid w:val="1CDF01EC"/>
    <w:rsid w:val="1CE27E4B"/>
    <w:rsid w:val="1CE42E81"/>
    <w:rsid w:val="1D1A55B8"/>
    <w:rsid w:val="1D1A67D3"/>
    <w:rsid w:val="1D2975DE"/>
    <w:rsid w:val="1D470E92"/>
    <w:rsid w:val="1D485DC5"/>
    <w:rsid w:val="1D526CD1"/>
    <w:rsid w:val="1D584EAC"/>
    <w:rsid w:val="1D78734C"/>
    <w:rsid w:val="1D7C0366"/>
    <w:rsid w:val="1D8E2AE4"/>
    <w:rsid w:val="1DA300C0"/>
    <w:rsid w:val="1DC666FE"/>
    <w:rsid w:val="1DD3548B"/>
    <w:rsid w:val="1DEB3A10"/>
    <w:rsid w:val="1DED21D8"/>
    <w:rsid w:val="1DFC713D"/>
    <w:rsid w:val="1E0565AE"/>
    <w:rsid w:val="1E2D56CA"/>
    <w:rsid w:val="1E310000"/>
    <w:rsid w:val="1E3E561C"/>
    <w:rsid w:val="1E5D0198"/>
    <w:rsid w:val="1E6E79EA"/>
    <w:rsid w:val="1E6E7A0B"/>
    <w:rsid w:val="1E7E194D"/>
    <w:rsid w:val="1E8730FF"/>
    <w:rsid w:val="1EAE17BF"/>
    <w:rsid w:val="1EAF70EF"/>
    <w:rsid w:val="1EB6211B"/>
    <w:rsid w:val="1EB73FA5"/>
    <w:rsid w:val="1EB95D38"/>
    <w:rsid w:val="1EBB6DB0"/>
    <w:rsid w:val="1EC37A42"/>
    <w:rsid w:val="1ECD0262"/>
    <w:rsid w:val="1ED264F1"/>
    <w:rsid w:val="1ED84AB1"/>
    <w:rsid w:val="1EE7156E"/>
    <w:rsid w:val="1EEF4F7F"/>
    <w:rsid w:val="1F0B1841"/>
    <w:rsid w:val="1F0E3DA5"/>
    <w:rsid w:val="1F1B7568"/>
    <w:rsid w:val="1F257E4B"/>
    <w:rsid w:val="1F2D5D06"/>
    <w:rsid w:val="1F38317B"/>
    <w:rsid w:val="1F647304"/>
    <w:rsid w:val="1F677AF9"/>
    <w:rsid w:val="1F6E70F2"/>
    <w:rsid w:val="1F7551E9"/>
    <w:rsid w:val="1F9F5412"/>
    <w:rsid w:val="1FBF0E04"/>
    <w:rsid w:val="1FBF6A3F"/>
    <w:rsid w:val="1FCA3CEF"/>
    <w:rsid w:val="1FCD447E"/>
    <w:rsid w:val="1FD162B0"/>
    <w:rsid w:val="1FFE0BBE"/>
    <w:rsid w:val="1FFF328D"/>
    <w:rsid w:val="2000702C"/>
    <w:rsid w:val="20150A2B"/>
    <w:rsid w:val="202225D6"/>
    <w:rsid w:val="202C1162"/>
    <w:rsid w:val="20346CD6"/>
    <w:rsid w:val="203942EC"/>
    <w:rsid w:val="20684DD7"/>
    <w:rsid w:val="207726E9"/>
    <w:rsid w:val="20B02799"/>
    <w:rsid w:val="20B67442"/>
    <w:rsid w:val="20B87907"/>
    <w:rsid w:val="20BA6D13"/>
    <w:rsid w:val="20C21A98"/>
    <w:rsid w:val="20C307DE"/>
    <w:rsid w:val="20CE2B5D"/>
    <w:rsid w:val="20CE49AC"/>
    <w:rsid w:val="20DE6972"/>
    <w:rsid w:val="20E30CC4"/>
    <w:rsid w:val="20E71718"/>
    <w:rsid w:val="214C42D1"/>
    <w:rsid w:val="21575CA8"/>
    <w:rsid w:val="215C5515"/>
    <w:rsid w:val="21627B57"/>
    <w:rsid w:val="217E60CC"/>
    <w:rsid w:val="21801E76"/>
    <w:rsid w:val="2192037C"/>
    <w:rsid w:val="21B26863"/>
    <w:rsid w:val="21BD4801"/>
    <w:rsid w:val="21C2544C"/>
    <w:rsid w:val="21C54BCE"/>
    <w:rsid w:val="21C55074"/>
    <w:rsid w:val="21EC4F86"/>
    <w:rsid w:val="21F937C4"/>
    <w:rsid w:val="21FD3676"/>
    <w:rsid w:val="221C73CF"/>
    <w:rsid w:val="22226AA8"/>
    <w:rsid w:val="22511DC1"/>
    <w:rsid w:val="226C5F75"/>
    <w:rsid w:val="227E0004"/>
    <w:rsid w:val="228D6669"/>
    <w:rsid w:val="22956F91"/>
    <w:rsid w:val="22A6513F"/>
    <w:rsid w:val="22C0687F"/>
    <w:rsid w:val="22CA5FBD"/>
    <w:rsid w:val="22D319AC"/>
    <w:rsid w:val="22F75C0D"/>
    <w:rsid w:val="23202C08"/>
    <w:rsid w:val="2331231F"/>
    <w:rsid w:val="234C4DD2"/>
    <w:rsid w:val="23553BFE"/>
    <w:rsid w:val="236679F0"/>
    <w:rsid w:val="237B7C51"/>
    <w:rsid w:val="23AD3524"/>
    <w:rsid w:val="23C475F6"/>
    <w:rsid w:val="23D00702"/>
    <w:rsid w:val="23E30754"/>
    <w:rsid w:val="23EB6BEB"/>
    <w:rsid w:val="23F9553E"/>
    <w:rsid w:val="24215955"/>
    <w:rsid w:val="2435065B"/>
    <w:rsid w:val="24480FA2"/>
    <w:rsid w:val="244A2F6C"/>
    <w:rsid w:val="24681644"/>
    <w:rsid w:val="24905686"/>
    <w:rsid w:val="249441E7"/>
    <w:rsid w:val="24B76F96"/>
    <w:rsid w:val="24D25416"/>
    <w:rsid w:val="25026B73"/>
    <w:rsid w:val="25105A94"/>
    <w:rsid w:val="25114177"/>
    <w:rsid w:val="252B25D7"/>
    <w:rsid w:val="253D6BD1"/>
    <w:rsid w:val="254A2191"/>
    <w:rsid w:val="255A7471"/>
    <w:rsid w:val="25607E4B"/>
    <w:rsid w:val="2563137E"/>
    <w:rsid w:val="257715D8"/>
    <w:rsid w:val="257C4360"/>
    <w:rsid w:val="25814FFE"/>
    <w:rsid w:val="25960D95"/>
    <w:rsid w:val="25A226E4"/>
    <w:rsid w:val="25DD65FD"/>
    <w:rsid w:val="25E847EB"/>
    <w:rsid w:val="25E85974"/>
    <w:rsid w:val="25F344F4"/>
    <w:rsid w:val="26180E2C"/>
    <w:rsid w:val="261D1805"/>
    <w:rsid w:val="2646191E"/>
    <w:rsid w:val="26740FC1"/>
    <w:rsid w:val="268C58F0"/>
    <w:rsid w:val="26986C84"/>
    <w:rsid w:val="26DE3F14"/>
    <w:rsid w:val="26E42C82"/>
    <w:rsid w:val="27196C26"/>
    <w:rsid w:val="27285772"/>
    <w:rsid w:val="273829FF"/>
    <w:rsid w:val="27386B1B"/>
    <w:rsid w:val="27434194"/>
    <w:rsid w:val="27565259"/>
    <w:rsid w:val="275A4AB1"/>
    <w:rsid w:val="27644345"/>
    <w:rsid w:val="2765153B"/>
    <w:rsid w:val="27852428"/>
    <w:rsid w:val="27946FEA"/>
    <w:rsid w:val="27A15712"/>
    <w:rsid w:val="27BF2BBF"/>
    <w:rsid w:val="27C75E1E"/>
    <w:rsid w:val="28083C7A"/>
    <w:rsid w:val="280A6863"/>
    <w:rsid w:val="280B1A10"/>
    <w:rsid w:val="280F2145"/>
    <w:rsid w:val="28125B4F"/>
    <w:rsid w:val="2852419D"/>
    <w:rsid w:val="28546908"/>
    <w:rsid w:val="28670377"/>
    <w:rsid w:val="288245A1"/>
    <w:rsid w:val="288F3657"/>
    <w:rsid w:val="28AB1AFF"/>
    <w:rsid w:val="28B74701"/>
    <w:rsid w:val="28C509DD"/>
    <w:rsid w:val="28C850C1"/>
    <w:rsid w:val="28E03E9F"/>
    <w:rsid w:val="28FC77FE"/>
    <w:rsid w:val="29004E16"/>
    <w:rsid w:val="290F7096"/>
    <w:rsid w:val="29361D11"/>
    <w:rsid w:val="29513542"/>
    <w:rsid w:val="29612622"/>
    <w:rsid w:val="29634188"/>
    <w:rsid w:val="29742A80"/>
    <w:rsid w:val="29843EEE"/>
    <w:rsid w:val="298E772B"/>
    <w:rsid w:val="29A279C3"/>
    <w:rsid w:val="29B12353"/>
    <w:rsid w:val="29C45FCB"/>
    <w:rsid w:val="29C94B05"/>
    <w:rsid w:val="29CC0526"/>
    <w:rsid w:val="29CF476E"/>
    <w:rsid w:val="29DD022E"/>
    <w:rsid w:val="29F52692"/>
    <w:rsid w:val="2A116C73"/>
    <w:rsid w:val="2A28363B"/>
    <w:rsid w:val="2A2C4EF9"/>
    <w:rsid w:val="2A396D5F"/>
    <w:rsid w:val="2A43729E"/>
    <w:rsid w:val="2A4B17EC"/>
    <w:rsid w:val="2AC8384A"/>
    <w:rsid w:val="2AF51C73"/>
    <w:rsid w:val="2B0C59B7"/>
    <w:rsid w:val="2B142BAC"/>
    <w:rsid w:val="2B153CD9"/>
    <w:rsid w:val="2B204A27"/>
    <w:rsid w:val="2B2C34C0"/>
    <w:rsid w:val="2B4321B4"/>
    <w:rsid w:val="2B523133"/>
    <w:rsid w:val="2B807B12"/>
    <w:rsid w:val="2B8B49FD"/>
    <w:rsid w:val="2B8C565D"/>
    <w:rsid w:val="2B971113"/>
    <w:rsid w:val="2B9719FE"/>
    <w:rsid w:val="2BBE4C0A"/>
    <w:rsid w:val="2BC97599"/>
    <w:rsid w:val="2BEA3934"/>
    <w:rsid w:val="2C0757FC"/>
    <w:rsid w:val="2C1D2D14"/>
    <w:rsid w:val="2C5452EF"/>
    <w:rsid w:val="2C5B2434"/>
    <w:rsid w:val="2C6511BD"/>
    <w:rsid w:val="2C6907FE"/>
    <w:rsid w:val="2C9235E3"/>
    <w:rsid w:val="2CB40181"/>
    <w:rsid w:val="2CE95BD2"/>
    <w:rsid w:val="2CED26E7"/>
    <w:rsid w:val="2D0338C6"/>
    <w:rsid w:val="2D0E2AF2"/>
    <w:rsid w:val="2D153CFD"/>
    <w:rsid w:val="2D394D44"/>
    <w:rsid w:val="2D475D74"/>
    <w:rsid w:val="2D5075B9"/>
    <w:rsid w:val="2D560F91"/>
    <w:rsid w:val="2D624F61"/>
    <w:rsid w:val="2D662619"/>
    <w:rsid w:val="2D7D71E2"/>
    <w:rsid w:val="2D8C42FF"/>
    <w:rsid w:val="2DAA1C81"/>
    <w:rsid w:val="2DAE4212"/>
    <w:rsid w:val="2DBC7CA9"/>
    <w:rsid w:val="2DBE7379"/>
    <w:rsid w:val="2DC06492"/>
    <w:rsid w:val="2DD438A6"/>
    <w:rsid w:val="2E002F7F"/>
    <w:rsid w:val="2E1D01A6"/>
    <w:rsid w:val="2E241532"/>
    <w:rsid w:val="2E24495A"/>
    <w:rsid w:val="2E341F8D"/>
    <w:rsid w:val="2E3D144C"/>
    <w:rsid w:val="2E456552"/>
    <w:rsid w:val="2E51761E"/>
    <w:rsid w:val="2E5367D4"/>
    <w:rsid w:val="2E614555"/>
    <w:rsid w:val="2E653DC5"/>
    <w:rsid w:val="2E7C6894"/>
    <w:rsid w:val="2E7E3067"/>
    <w:rsid w:val="2E8F1B9B"/>
    <w:rsid w:val="2E904CC4"/>
    <w:rsid w:val="2E9F4A8E"/>
    <w:rsid w:val="2EC61ACA"/>
    <w:rsid w:val="2EC723B6"/>
    <w:rsid w:val="2EC83768"/>
    <w:rsid w:val="2EF36828"/>
    <w:rsid w:val="2F0964C2"/>
    <w:rsid w:val="2F146650"/>
    <w:rsid w:val="2F577E37"/>
    <w:rsid w:val="2F66280A"/>
    <w:rsid w:val="2F8A3A4A"/>
    <w:rsid w:val="2FA668C1"/>
    <w:rsid w:val="2FA67ADC"/>
    <w:rsid w:val="2FAD02B5"/>
    <w:rsid w:val="2FAF6379"/>
    <w:rsid w:val="2FC77C90"/>
    <w:rsid w:val="2FF24A8A"/>
    <w:rsid w:val="2FFD2BBD"/>
    <w:rsid w:val="300239F4"/>
    <w:rsid w:val="300A3C72"/>
    <w:rsid w:val="300F727D"/>
    <w:rsid w:val="301B0E7C"/>
    <w:rsid w:val="30232FB9"/>
    <w:rsid w:val="30240B15"/>
    <w:rsid w:val="302F2816"/>
    <w:rsid w:val="30655202"/>
    <w:rsid w:val="30723CF6"/>
    <w:rsid w:val="308D4D15"/>
    <w:rsid w:val="308F4298"/>
    <w:rsid w:val="309F4F2D"/>
    <w:rsid w:val="30DC319E"/>
    <w:rsid w:val="30DE0120"/>
    <w:rsid w:val="30E35592"/>
    <w:rsid w:val="30F12EDD"/>
    <w:rsid w:val="310524F7"/>
    <w:rsid w:val="31230409"/>
    <w:rsid w:val="3126407A"/>
    <w:rsid w:val="31341444"/>
    <w:rsid w:val="3139239E"/>
    <w:rsid w:val="31567680"/>
    <w:rsid w:val="315C42DF"/>
    <w:rsid w:val="318736ED"/>
    <w:rsid w:val="319E2C29"/>
    <w:rsid w:val="31B27A22"/>
    <w:rsid w:val="31CE0A40"/>
    <w:rsid w:val="31D245A1"/>
    <w:rsid w:val="31DF3DD5"/>
    <w:rsid w:val="31E44FB7"/>
    <w:rsid w:val="31FA5F51"/>
    <w:rsid w:val="32095EE6"/>
    <w:rsid w:val="32150A92"/>
    <w:rsid w:val="321B3724"/>
    <w:rsid w:val="32221084"/>
    <w:rsid w:val="32322D6D"/>
    <w:rsid w:val="32634FA4"/>
    <w:rsid w:val="3268580F"/>
    <w:rsid w:val="327307C6"/>
    <w:rsid w:val="32985B6C"/>
    <w:rsid w:val="32A25D21"/>
    <w:rsid w:val="32AD727A"/>
    <w:rsid w:val="32B819E9"/>
    <w:rsid w:val="32E9218C"/>
    <w:rsid w:val="33043A07"/>
    <w:rsid w:val="33073599"/>
    <w:rsid w:val="331B3D35"/>
    <w:rsid w:val="33232B8A"/>
    <w:rsid w:val="33291F9F"/>
    <w:rsid w:val="333D43D9"/>
    <w:rsid w:val="3378309D"/>
    <w:rsid w:val="33B90E74"/>
    <w:rsid w:val="33C65FE7"/>
    <w:rsid w:val="33CC4896"/>
    <w:rsid w:val="33E01DF8"/>
    <w:rsid w:val="33E44D95"/>
    <w:rsid w:val="33E52BA1"/>
    <w:rsid w:val="3402205E"/>
    <w:rsid w:val="340D3A0F"/>
    <w:rsid w:val="34216A83"/>
    <w:rsid w:val="344E1736"/>
    <w:rsid w:val="34633C8E"/>
    <w:rsid w:val="346A0AC1"/>
    <w:rsid w:val="346B7135"/>
    <w:rsid w:val="346E1223"/>
    <w:rsid w:val="34923951"/>
    <w:rsid w:val="349E6C5A"/>
    <w:rsid w:val="349F7168"/>
    <w:rsid w:val="34BF609E"/>
    <w:rsid w:val="34DF4E82"/>
    <w:rsid w:val="34DF576B"/>
    <w:rsid w:val="34E940DB"/>
    <w:rsid w:val="35312D31"/>
    <w:rsid w:val="35660444"/>
    <w:rsid w:val="35733ACD"/>
    <w:rsid w:val="35752E70"/>
    <w:rsid w:val="357C5C86"/>
    <w:rsid w:val="35830687"/>
    <w:rsid w:val="35980434"/>
    <w:rsid w:val="35AD7C36"/>
    <w:rsid w:val="35B444DF"/>
    <w:rsid w:val="35B90510"/>
    <w:rsid w:val="35C4682A"/>
    <w:rsid w:val="35C91DF7"/>
    <w:rsid w:val="35E31544"/>
    <w:rsid w:val="35EF21D9"/>
    <w:rsid w:val="35FE3280"/>
    <w:rsid w:val="360A35D2"/>
    <w:rsid w:val="36126734"/>
    <w:rsid w:val="362C7D02"/>
    <w:rsid w:val="36313B8A"/>
    <w:rsid w:val="363B44C3"/>
    <w:rsid w:val="36407D2B"/>
    <w:rsid w:val="364225A3"/>
    <w:rsid w:val="36485B1A"/>
    <w:rsid w:val="36611144"/>
    <w:rsid w:val="366614A9"/>
    <w:rsid w:val="367F6029"/>
    <w:rsid w:val="36836C36"/>
    <w:rsid w:val="36844670"/>
    <w:rsid w:val="36886A64"/>
    <w:rsid w:val="368A71F8"/>
    <w:rsid w:val="36926B15"/>
    <w:rsid w:val="36B10233"/>
    <w:rsid w:val="36D319A5"/>
    <w:rsid w:val="36E025F7"/>
    <w:rsid w:val="36E03E9D"/>
    <w:rsid w:val="36F15979"/>
    <w:rsid w:val="36FB09D7"/>
    <w:rsid w:val="36FC2D08"/>
    <w:rsid w:val="370B12E5"/>
    <w:rsid w:val="371841DE"/>
    <w:rsid w:val="37440F2A"/>
    <w:rsid w:val="374F49AA"/>
    <w:rsid w:val="375907F6"/>
    <w:rsid w:val="375A7894"/>
    <w:rsid w:val="375B6DF0"/>
    <w:rsid w:val="376B6AF4"/>
    <w:rsid w:val="37733314"/>
    <w:rsid w:val="3784633D"/>
    <w:rsid w:val="37A43456"/>
    <w:rsid w:val="37AB07F0"/>
    <w:rsid w:val="37B5490A"/>
    <w:rsid w:val="37CB0309"/>
    <w:rsid w:val="37F45271"/>
    <w:rsid w:val="38042FDA"/>
    <w:rsid w:val="38044790"/>
    <w:rsid w:val="38136B82"/>
    <w:rsid w:val="38252017"/>
    <w:rsid w:val="382A02F6"/>
    <w:rsid w:val="382E1B12"/>
    <w:rsid w:val="383659AE"/>
    <w:rsid w:val="38482EC7"/>
    <w:rsid w:val="38703D26"/>
    <w:rsid w:val="38744805"/>
    <w:rsid w:val="388C16FF"/>
    <w:rsid w:val="388D41DF"/>
    <w:rsid w:val="38A26866"/>
    <w:rsid w:val="38A731BC"/>
    <w:rsid w:val="38B57C8A"/>
    <w:rsid w:val="38B654C6"/>
    <w:rsid w:val="38C26B8B"/>
    <w:rsid w:val="38D278B8"/>
    <w:rsid w:val="38E81B7F"/>
    <w:rsid w:val="38FD05D3"/>
    <w:rsid w:val="39373743"/>
    <w:rsid w:val="39373B34"/>
    <w:rsid w:val="395C5702"/>
    <w:rsid w:val="39627FB8"/>
    <w:rsid w:val="397F20D8"/>
    <w:rsid w:val="39805DB2"/>
    <w:rsid w:val="39912147"/>
    <w:rsid w:val="39A17917"/>
    <w:rsid w:val="39AD3F7B"/>
    <w:rsid w:val="39CB4357"/>
    <w:rsid w:val="39DF0AB2"/>
    <w:rsid w:val="39E15CDC"/>
    <w:rsid w:val="39F03816"/>
    <w:rsid w:val="39F727BE"/>
    <w:rsid w:val="3A17697B"/>
    <w:rsid w:val="3A1A784D"/>
    <w:rsid w:val="3A1E11AD"/>
    <w:rsid w:val="3A40479E"/>
    <w:rsid w:val="3A540A12"/>
    <w:rsid w:val="3A644363"/>
    <w:rsid w:val="3A683CF4"/>
    <w:rsid w:val="3A7A7584"/>
    <w:rsid w:val="3A91178F"/>
    <w:rsid w:val="3A940645"/>
    <w:rsid w:val="3AA118B8"/>
    <w:rsid w:val="3AA96BF6"/>
    <w:rsid w:val="3AC6552C"/>
    <w:rsid w:val="3ADE5D64"/>
    <w:rsid w:val="3AE22FE1"/>
    <w:rsid w:val="3AE35129"/>
    <w:rsid w:val="3AE5573C"/>
    <w:rsid w:val="3AFB611B"/>
    <w:rsid w:val="3B1640EE"/>
    <w:rsid w:val="3B4243C7"/>
    <w:rsid w:val="3B586183"/>
    <w:rsid w:val="3B5F350E"/>
    <w:rsid w:val="3B7D3347"/>
    <w:rsid w:val="3B9B61A5"/>
    <w:rsid w:val="3BAE7E46"/>
    <w:rsid w:val="3BCD75F2"/>
    <w:rsid w:val="3BD43397"/>
    <w:rsid w:val="3BD936B0"/>
    <w:rsid w:val="3BE621BA"/>
    <w:rsid w:val="3BEA42E8"/>
    <w:rsid w:val="3BEE7910"/>
    <w:rsid w:val="3C001692"/>
    <w:rsid w:val="3C545920"/>
    <w:rsid w:val="3C59260C"/>
    <w:rsid w:val="3C687152"/>
    <w:rsid w:val="3C807A80"/>
    <w:rsid w:val="3C8B7826"/>
    <w:rsid w:val="3C9152DD"/>
    <w:rsid w:val="3C93206C"/>
    <w:rsid w:val="3CA921D0"/>
    <w:rsid w:val="3CB117EA"/>
    <w:rsid w:val="3CB15F44"/>
    <w:rsid w:val="3CB80DDD"/>
    <w:rsid w:val="3CBF4BC3"/>
    <w:rsid w:val="3CD217F1"/>
    <w:rsid w:val="3CE40BE4"/>
    <w:rsid w:val="3D076941"/>
    <w:rsid w:val="3D1B504E"/>
    <w:rsid w:val="3D634470"/>
    <w:rsid w:val="3D671179"/>
    <w:rsid w:val="3D710BF5"/>
    <w:rsid w:val="3D9D31A3"/>
    <w:rsid w:val="3DAE6551"/>
    <w:rsid w:val="3DB03FCF"/>
    <w:rsid w:val="3DC37D72"/>
    <w:rsid w:val="3DC81611"/>
    <w:rsid w:val="3DD376D7"/>
    <w:rsid w:val="3E1966EA"/>
    <w:rsid w:val="3E263CAA"/>
    <w:rsid w:val="3E581C25"/>
    <w:rsid w:val="3E634B8B"/>
    <w:rsid w:val="3E725142"/>
    <w:rsid w:val="3E742C68"/>
    <w:rsid w:val="3E7F66E8"/>
    <w:rsid w:val="3E817133"/>
    <w:rsid w:val="3E904E16"/>
    <w:rsid w:val="3E9316CB"/>
    <w:rsid w:val="3E9402D1"/>
    <w:rsid w:val="3EA03A5D"/>
    <w:rsid w:val="3EA90537"/>
    <w:rsid w:val="3EAF7222"/>
    <w:rsid w:val="3EBB7D03"/>
    <w:rsid w:val="3ED255EC"/>
    <w:rsid w:val="3ED51893"/>
    <w:rsid w:val="3EDB7E1E"/>
    <w:rsid w:val="3EF93E8C"/>
    <w:rsid w:val="3F0379C8"/>
    <w:rsid w:val="3F183B19"/>
    <w:rsid w:val="3F200474"/>
    <w:rsid w:val="3F2D6354"/>
    <w:rsid w:val="3F376133"/>
    <w:rsid w:val="3F90573A"/>
    <w:rsid w:val="3FB56A9D"/>
    <w:rsid w:val="3FC97360"/>
    <w:rsid w:val="3FD17C46"/>
    <w:rsid w:val="3FD37E62"/>
    <w:rsid w:val="3FE060DB"/>
    <w:rsid w:val="3FED78AF"/>
    <w:rsid w:val="3FF9220E"/>
    <w:rsid w:val="40007BC8"/>
    <w:rsid w:val="4008421D"/>
    <w:rsid w:val="4049399A"/>
    <w:rsid w:val="40546CD1"/>
    <w:rsid w:val="4071199A"/>
    <w:rsid w:val="407B6EC3"/>
    <w:rsid w:val="40A500BB"/>
    <w:rsid w:val="40AD06B3"/>
    <w:rsid w:val="40D05FDE"/>
    <w:rsid w:val="40DC6472"/>
    <w:rsid w:val="40F31653"/>
    <w:rsid w:val="40FD5E39"/>
    <w:rsid w:val="4113749C"/>
    <w:rsid w:val="41156DE1"/>
    <w:rsid w:val="415834E1"/>
    <w:rsid w:val="41597F6B"/>
    <w:rsid w:val="417544B9"/>
    <w:rsid w:val="419B3A41"/>
    <w:rsid w:val="41A56A80"/>
    <w:rsid w:val="41B66552"/>
    <w:rsid w:val="41C12BCF"/>
    <w:rsid w:val="41D64CF3"/>
    <w:rsid w:val="41DA5144"/>
    <w:rsid w:val="41E9396D"/>
    <w:rsid w:val="41EC6FB9"/>
    <w:rsid w:val="42024B2B"/>
    <w:rsid w:val="422B7AE1"/>
    <w:rsid w:val="42311EE5"/>
    <w:rsid w:val="423C1CEE"/>
    <w:rsid w:val="42860513"/>
    <w:rsid w:val="42947CCB"/>
    <w:rsid w:val="429E17CF"/>
    <w:rsid w:val="42A0631A"/>
    <w:rsid w:val="42D54C08"/>
    <w:rsid w:val="42D9162B"/>
    <w:rsid w:val="430C7E54"/>
    <w:rsid w:val="43222833"/>
    <w:rsid w:val="4329524B"/>
    <w:rsid w:val="434F7F5B"/>
    <w:rsid w:val="435A0316"/>
    <w:rsid w:val="437C6AF4"/>
    <w:rsid w:val="43830D8B"/>
    <w:rsid w:val="43917239"/>
    <w:rsid w:val="43B23F1C"/>
    <w:rsid w:val="43E40E7C"/>
    <w:rsid w:val="43E67164"/>
    <w:rsid w:val="43E734B2"/>
    <w:rsid w:val="43EA39CC"/>
    <w:rsid w:val="43F959BD"/>
    <w:rsid w:val="43F964E5"/>
    <w:rsid w:val="440F2F43"/>
    <w:rsid w:val="44184EBC"/>
    <w:rsid w:val="442E106F"/>
    <w:rsid w:val="444B12DD"/>
    <w:rsid w:val="44641089"/>
    <w:rsid w:val="446D3CCB"/>
    <w:rsid w:val="447339C1"/>
    <w:rsid w:val="447357CF"/>
    <w:rsid w:val="448146DA"/>
    <w:rsid w:val="448D3975"/>
    <w:rsid w:val="44915BF6"/>
    <w:rsid w:val="44986F71"/>
    <w:rsid w:val="44A57709"/>
    <w:rsid w:val="44BA6EFA"/>
    <w:rsid w:val="44C413B9"/>
    <w:rsid w:val="44C629B5"/>
    <w:rsid w:val="44CC6046"/>
    <w:rsid w:val="4504467F"/>
    <w:rsid w:val="45084195"/>
    <w:rsid w:val="452242A9"/>
    <w:rsid w:val="4538593A"/>
    <w:rsid w:val="453E230D"/>
    <w:rsid w:val="454474B5"/>
    <w:rsid w:val="456745FE"/>
    <w:rsid w:val="456B7600"/>
    <w:rsid w:val="456D355B"/>
    <w:rsid w:val="457C4AF8"/>
    <w:rsid w:val="457E261E"/>
    <w:rsid w:val="45824330"/>
    <w:rsid w:val="458E217A"/>
    <w:rsid w:val="45A51665"/>
    <w:rsid w:val="45A67ED7"/>
    <w:rsid w:val="45AF3AC5"/>
    <w:rsid w:val="45CB49F3"/>
    <w:rsid w:val="45D16BF2"/>
    <w:rsid w:val="45DE32AC"/>
    <w:rsid w:val="45DF3A61"/>
    <w:rsid w:val="45F34E5C"/>
    <w:rsid w:val="45FE1C36"/>
    <w:rsid w:val="460A2104"/>
    <w:rsid w:val="46112AE5"/>
    <w:rsid w:val="4612629A"/>
    <w:rsid w:val="461427E4"/>
    <w:rsid w:val="462B6385"/>
    <w:rsid w:val="46346111"/>
    <w:rsid w:val="46451E4D"/>
    <w:rsid w:val="4664547D"/>
    <w:rsid w:val="46715CDF"/>
    <w:rsid w:val="469B335E"/>
    <w:rsid w:val="46A41C8C"/>
    <w:rsid w:val="46DE54E3"/>
    <w:rsid w:val="46EA3AC1"/>
    <w:rsid w:val="46F56910"/>
    <w:rsid w:val="46F96400"/>
    <w:rsid w:val="47025F55"/>
    <w:rsid w:val="470411D8"/>
    <w:rsid w:val="472F1E22"/>
    <w:rsid w:val="4756452B"/>
    <w:rsid w:val="475F1FDB"/>
    <w:rsid w:val="47695184"/>
    <w:rsid w:val="477F597C"/>
    <w:rsid w:val="478728FF"/>
    <w:rsid w:val="478E6F9A"/>
    <w:rsid w:val="478F2671"/>
    <w:rsid w:val="479F7118"/>
    <w:rsid w:val="47B50146"/>
    <w:rsid w:val="47E56358"/>
    <w:rsid w:val="47F009C8"/>
    <w:rsid w:val="47F03BB4"/>
    <w:rsid w:val="48050594"/>
    <w:rsid w:val="482071DE"/>
    <w:rsid w:val="48385ACF"/>
    <w:rsid w:val="485E2AD0"/>
    <w:rsid w:val="4866616C"/>
    <w:rsid w:val="48696C23"/>
    <w:rsid w:val="488570E6"/>
    <w:rsid w:val="48CC18F2"/>
    <w:rsid w:val="48E13C44"/>
    <w:rsid w:val="48E56510"/>
    <w:rsid w:val="49090450"/>
    <w:rsid w:val="490D7ECC"/>
    <w:rsid w:val="491D766A"/>
    <w:rsid w:val="49246B03"/>
    <w:rsid w:val="4929464F"/>
    <w:rsid w:val="493E1CA1"/>
    <w:rsid w:val="495A5B48"/>
    <w:rsid w:val="496454F4"/>
    <w:rsid w:val="49794381"/>
    <w:rsid w:val="497D4D20"/>
    <w:rsid w:val="49970C18"/>
    <w:rsid w:val="49A07007"/>
    <w:rsid w:val="49B75708"/>
    <w:rsid w:val="49B90467"/>
    <w:rsid w:val="49E54A1A"/>
    <w:rsid w:val="49FE2AA0"/>
    <w:rsid w:val="4A074254"/>
    <w:rsid w:val="4A1B6C05"/>
    <w:rsid w:val="4A2120B9"/>
    <w:rsid w:val="4A3C2439"/>
    <w:rsid w:val="4A7746C8"/>
    <w:rsid w:val="4A8F26EE"/>
    <w:rsid w:val="4A985584"/>
    <w:rsid w:val="4AE03D4D"/>
    <w:rsid w:val="4AE275A2"/>
    <w:rsid w:val="4B0C670C"/>
    <w:rsid w:val="4B2B25AE"/>
    <w:rsid w:val="4B3D5C85"/>
    <w:rsid w:val="4B455FCD"/>
    <w:rsid w:val="4B546193"/>
    <w:rsid w:val="4B5B758A"/>
    <w:rsid w:val="4B7F2C4C"/>
    <w:rsid w:val="4B880AF6"/>
    <w:rsid w:val="4B8D560B"/>
    <w:rsid w:val="4B907928"/>
    <w:rsid w:val="4B934FD7"/>
    <w:rsid w:val="4BD04CD0"/>
    <w:rsid w:val="4BD77026"/>
    <w:rsid w:val="4BEA28E5"/>
    <w:rsid w:val="4BEC277D"/>
    <w:rsid w:val="4BEC797C"/>
    <w:rsid w:val="4BF278C2"/>
    <w:rsid w:val="4C101F3C"/>
    <w:rsid w:val="4C172293"/>
    <w:rsid w:val="4C3345EE"/>
    <w:rsid w:val="4C50431F"/>
    <w:rsid w:val="4C625D03"/>
    <w:rsid w:val="4C682604"/>
    <w:rsid w:val="4C6C2EB8"/>
    <w:rsid w:val="4C87625C"/>
    <w:rsid w:val="4C883D82"/>
    <w:rsid w:val="4C95392C"/>
    <w:rsid w:val="4C9607A5"/>
    <w:rsid w:val="4CCA78E6"/>
    <w:rsid w:val="4CDD7C2A"/>
    <w:rsid w:val="4D275349"/>
    <w:rsid w:val="4D2B7773"/>
    <w:rsid w:val="4D397A30"/>
    <w:rsid w:val="4D5628D5"/>
    <w:rsid w:val="4D5C1947"/>
    <w:rsid w:val="4D72759D"/>
    <w:rsid w:val="4D76540B"/>
    <w:rsid w:val="4D816EF4"/>
    <w:rsid w:val="4D8920E0"/>
    <w:rsid w:val="4D96221E"/>
    <w:rsid w:val="4DBC35DF"/>
    <w:rsid w:val="4DD435A9"/>
    <w:rsid w:val="4DFC1848"/>
    <w:rsid w:val="4DFD3F41"/>
    <w:rsid w:val="4E21448E"/>
    <w:rsid w:val="4E2C44FB"/>
    <w:rsid w:val="4E2F0959"/>
    <w:rsid w:val="4E4F5DCF"/>
    <w:rsid w:val="4E6F0D56"/>
    <w:rsid w:val="4E7D4EF5"/>
    <w:rsid w:val="4E7F05A4"/>
    <w:rsid w:val="4E8C01E2"/>
    <w:rsid w:val="4ECC2FB2"/>
    <w:rsid w:val="4EDB3A6E"/>
    <w:rsid w:val="4F1642C3"/>
    <w:rsid w:val="4F186C81"/>
    <w:rsid w:val="4F2C7638"/>
    <w:rsid w:val="4F412E7F"/>
    <w:rsid w:val="4F5D7444"/>
    <w:rsid w:val="4F654D2F"/>
    <w:rsid w:val="4F755E61"/>
    <w:rsid w:val="4FA30E7F"/>
    <w:rsid w:val="4FAD422B"/>
    <w:rsid w:val="4FCE7D77"/>
    <w:rsid w:val="4FF21C3E"/>
    <w:rsid w:val="4FF6236E"/>
    <w:rsid w:val="50344715"/>
    <w:rsid w:val="5035706C"/>
    <w:rsid w:val="505D4CFD"/>
    <w:rsid w:val="50901EE7"/>
    <w:rsid w:val="509E5422"/>
    <w:rsid w:val="50C36206"/>
    <w:rsid w:val="50E579F5"/>
    <w:rsid w:val="50FA5E8B"/>
    <w:rsid w:val="50FE4613"/>
    <w:rsid w:val="5100676D"/>
    <w:rsid w:val="51112598"/>
    <w:rsid w:val="5125289F"/>
    <w:rsid w:val="512F2A1E"/>
    <w:rsid w:val="515A2F63"/>
    <w:rsid w:val="516C1406"/>
    <w:rsid w:val="51826DFB"/>
    <w:rsid w:val="518A6447"/>
    <w:rsid w:val="518B1009"/>
    <w:rsid w:val="519062A8"/>
    <w:rsid w:val="51A60F32"/>
    <w:rsid w:val="51C638AD"/>
    <w:rsid w:val="51CD5836"/>
    <w:rsid w:val="51F277FD"/>
    <w:rsid w:val="522D7855"/>
    <w:rsid w:val="524E6FAD"/>
    <w:rsid w:val="5266365C"/>
    <w:rsid w:val="52672E48"/>
    <w:rsid w:val="526A61CD"/>
    <w:rsid w:val="528105F9"/>
    <w:rsid w:val="529C67CD"/>
    <w:rsid w:val="52A423E6"/>
    <w:rsid w:val="52BD3692"/>
    <w:rsid w:val="52C63B29"/>
    <w:rsid w:val="52F51698"/>
    <w:rsid w:val="5306276F"/>
    <w:rsid w:val="53495187"/>
    <w:rsid w:val="53537EE6"/>
    <w:rsid w:val="538878CA"/>
    <w:rsid w:val="53A05E55"/>
    <w:rsid w:val="53A06A7B"/>
    <w:rsid w:val="53B14C26"/>
    <w:rsid w:val="53EF74C1"/>
    <w:rsid w:val="53F83ED1"/>
    <w:rsid w:val="53F96CC8"/>
    <w:rsid w:val="54087FBC"/>
    <w:rsid w:val="540A12F3"/>
    <w:rsid w:val="54435DBA"/>
    <w:rsid w:val="544600BF"/>
    <w:rsid w:val="544F2A4A"/>
    <w:rsid w:val="54552A74"/>
    <w:rsid w:val="54584047"/>
    <w:rsid w:val="545B1C73"/>
    <w:rsid w:val="5462276D"/>
    <w:rsid w:val="54625ABE"/>
    <w:rsid w:val="54747AE9"/>
    <w:rsid w:val="548B73BA"/>
    <w:rsid w:val="549032CF"/>
    <w:rsid w:val="549E7AFA"/>
    <w:rsid w:val="54C618EB"/>
    <w:rsid w:val="54E001D8"/>
    <w:rsid w:val="54E850B2"/>
    <w:rsid w:val="54EB387C"/>
    <w:rsid w:val="54EC75A4"/>
    <w:rsid w:val="54F2544C"/>
    <w:rsid w:val="54F906EA"/>
    <w:rsid w:val="55120D38"/>
    <w:rsid w:val="551807D9"/>
    <w:rsid w:val="553F1C77"/>
    <w:rsid w:val="55481097"/>
    <w:rsid w:val="55684C44"/>
    <w:rsid w:val="557245DB"/>
    <w:rsid w:val="5575773B"/>
    <w:rsid w:val="558A64D4"/>
    <w:rsid w:val="558C7C12"/>
    <w:rsid w:val="559D18AE"/>
    <w:rsid w:val="55B64024"/>
    <w:rsid w:val="55BF34C3"/>
    <w:rsid w:val="55E5452C"/>
    <w:rsid w:val="55EA577A"/>
    <w:rsid w:val="560B216A"/>
    <w:rsid w:val="5659220B"/>
    <w:rsid w:val="56646015"/>
    <w:rsid w:val="567623AA"/>
    <w:rsid w:val="5684049D"/>
    <w:rsid w:val="569E4CE9"/>
    <w:rsid w:val="56A16797"/>
    <w:rsid w:val="56A65B9B"/>
    <w:rsid w:val="56C37C5C"/>
    <w:rsid w:val="56D51F1B"/>
    <w:rsid w:val="56E40A07"/>
    <w:rsid w:val="56EA660A"/>
    <w:rsid w:val="56F25084"/>
    <w:rsid w:val="57080108"/>
    <w:rsid w:val="571F4620"/>
    <w:rsid w:val="57393535"/>
    <w:rsid w:val="57951B84"/>
    <w:rsid w:val="57AC12E1"/>
    <w:rsid w:val="57AD7610"/>
    <w:rsid w:val="581035A9"/>
    <w:rsid w:val="581A72CB"/>
    <w:rsid w:val="585C1720"/>
    <w:rsid w:val="58673467"/>
    <w:rsid w:val="58796866"/>
    <w:rsid w:val="587A6C75"/>
    <w:rsid w:val="588B3CCD"/>
    <w:rsid w:val="58942D81"/>
    <w:rsid w:val="58963D76"/>
    <w:rsid w:val="589C4E3D"/>
    <w:rsid w:val="58AE1775"/>
    <w:rsid w:val="58B24661"/>
    <w:rsid w:val="58B73B71"/>
    <w:rsid w:val="58D267BC"/>
    <w:rsid w:val="58F71A06"/>
    <w:rsid w:val="59170968"/>
    <w:rsid w:val="592128BA"/>
    <w:rsid w:val="59292497"/>
    <w:rsid w:val="5943212E"/>
    <w:rsid w:val="594A1584"/>
    <w:rsid w:val="59561490"/>
    <w:rsid w:val="595A1308"/>
    <w:rsid w:val="596D1DFE"/>
    <w:rsid w:val="597918A3"/>
    <w:rsid w:val="59840BCE"/>
    <w:rsid w:val="5985334C"/>
    <w:rsid w:val="599551D9"/>
    <w:rsid w:val="59B3163C"/>
    <w:rsid w:val="59C348A2"/>
    <w:rsid w:val="59C83A10"/>
    <w:rsid w:val="59CB3F29"/>
    <w:rsid w:val="59CC223B"/>
    <w:rsid w:val="59EE6C20"/>
    <w:rsid w:val="59FD5DAF"/>
    <w:rsid w:val="5A1B2858"/>
    <w:rsid w:val="5A1F736B"/>
    <w:rsid w:val="5A4B1CC2"/>
    <w:rsid w:val="5A5742E1"/>
    <w:rsid w:val="5A6F20DD"/>
    <w:rsid w:val="5A776D53"/>
    <w:rsid w:val="5A7C46C3"/>
    <w:rsid w:val="5AB02E22"/>
    <w:rsid w:val="5AC72093"/>
    <w:rsid w:val="5AC830A9"/>
    <w:rsid w:val="5B094787"/>
    <w:rsid w:val="5B0A1857"/>
    <w:rsid w:val="5B373CD5"/>
    <w:rsid w:val="5B465683"/>
    <w:rsid w:val="5B5639C9"/>
    <w:rsid w:val="5B5D2E73"/>
    <w:rsid w:val="5B773940"/>
    <w:rsid w:val="5B9444F1"/>
    <w:rsid w:val="5BA20D60"/>
    <w:rsid w:val="5BA543FB"/>
    <w:rsid w:val="5BC3273C"/>
    <w:rsid w:val="5BC66402"/>
    <w:rsid w:val="5BF62DD1"/>
    <w:rsid w:val="5BF64864"/>
    <w:rsid w:val="5C0A24CA"/>
    <w:rsid w:val="5C1D09CB"/>
    <w:rsid w:val="5C473C50"/>
    <w:rsid w:val="5C567C46"/>
    <w:rsid w:val="5C591E4D"/>
    <w:rsid w:val="5C6204C3"/>
    <w:rsid w:val="5C7E2ABA"/>
    <w:rsid w:val="5CA235A9"/>
    <w:rsid w:val="5CBE3ECE"/>
    <w:rsid w:val="5CD22653"/>
    <w:rsid w:val="5CE73D8B"/>
    <w:rsid w:val="5CEE6D21"/>
    <w:rsid w:val="5CEF165C"/>
    <w:rsid w:val="5CF37FEA"/>
    <w:rsid w:val="5CF8285E"/>
    <w:rsid w:val="5D131FC4"/>
    <w:rsid w:val="5D3C099D"/>
    <w:rsid w:val="5D3C22BB"/>
    <w:rsid w:val="5D3E1BE0"/>
    <w:rsid w:val="5D5C650B"/>
    <w:rsid w:val="5D775E79"/>
    <w:rsid w:val="5D820364"/>
    <w:rsid w:val="5D9F39D3"/>
    <w:rsid w:val="5DA3480F"/>
    <w:rsid w:val="5DC7217C"/>
    <w:rsid w:val="5DD00BE6"/>
    <w:rsid w:val="5DEF22BF"/>
    <w:rsid w:val="5DF41277"/>
    <w:rsid w:val="5DF82661"/>
    <w:rsid w:val="5E0617C8"/>
    <w:rsid w:val="5E240E3D"/>
    <w:rsid w:val="5E380841"/>
    <w:rsid w:val="5E651586"/>
    <w:rsid w:val="5E6A778C"/>
    <w:rsid w:val="5E73169D"/>
    <w:rsid w:val="5E884C91"/>
    <w:rsid w:val="5E9F37E4"/>
    <w:rsid w:val="5EA41836"/>
    <w:rsid w:val="5EB17EFB"/>
    <w:rsid w:val="5EB41B36"/>
    <w:rsid w:val="5EBD3FAB"/>
    <w:rsid w:val="5EC40C4A"/>
    <w:rsid w:val="5EC92704"/>
    <w:rsid w:val="5ED209B4"/>
    <w:rsid w:val="5EF19AFE"/>
    <w:rsid w:val="5EF408EA"/>
    <w:rsid w:val="5F0409D1"/>
    <w:rsid w:val="5F093089"/>
    <w:rsid w:val="5F0B6D90"/>
    <w:rsid w:val="5F167E58"/>
    <w:rsid w:val="5F200503"/>
    <w:rsid w:val="5F2450D9"/>
    <w:rsid w:val="5F283835"/>
    <w:rsid w:val="5F2B0C68"/>
    <w:rsid w:val="5F2C5231"/>
    <w:rsid w:val="5F367B5E"/>
    <w:rsid w:val="5F406AA4"/>
    <w:rsid w:val="5F424112"/>
    <w:rsid w:val="5F514ADF"/>
    <w:rsid w:val="5F6A00E1"/>
    <w:rsid w:val="5F8E752B"/>
    <w:rsid w:val="5F957367"/>
    <w:rsid w:val="5FA12541"/>
    <w:rsid w:val="5FB31D7E"/>
    <w:rsid w:val="5FCD5BE9"/>
    <w:rsid w:val="5FD96977"/>
    <w:rsid w:val="5FEA0785"/>
    <w:rsid w:val="60065292"/>
    <w:rsid w:val="60335D74"/>
    <w:rsid w:val="60362C8C"/>
    <w:rsid w:val="603715D6"/>
    <w:rsid w:val="603B10E0"/>
    <w:rsid w:val="60511A3C"/>
    <w:rsid w:val="606D2000"/>
    <w:rsid w:val="60931714"/>
    <w:rsid w:val="6097145D"/>
    <w:rsid w:val="60991DB9"/>
    <w:rsid w:val="60AA48B6"/>
    <w:rsid w:val="60C24131"/>
    <w:rsid w:val="60D237A4"/>
    <w:rsid w:val="61124585"/>
    <w:rsid w:val="611D329E"/>
    <w:rsid w:val="617C1EDD"/>
    <w:rsid w:val="618B2E1D"/>
    <w:rsid w:val="61A44D62"/>
    <w:rsid w:val="61C22912"/>
    <w:rsid w:val="61C50E5C"/>
    <w:rsid w:val="620952E4"/>
    <w:rsid w:val="621458F6"/>
    <w:rsid w:val="622A4D00"/>
    <w:rsid w:val="62347312"/>
    <w:rsid w:val="6235591B"/>
    <w:rsid w:val="62477485"/>
    <w:rsid w:val="626529D8"/>
    <w:rsid w:val="626A1A13"/>
    <w:rsid w:val="626E4941"/>
    <w:rsid w:val="62905C19"/>
    <w:rsid w:val="62986BDB"/>
    <w:rsid w:val="62A2541A"/>
    <w:rsid w:val="62B45479"/>
    <w:rsid w:val="62BE0820"/>
    <w:rsid w:val="62C05D51"/>
    <w:rsid w:val="62F37D50"/>
    <w:rsid w:val="62FF4DAE"/>
    <w:rsid w:val="6336450B"/>
    <w:rsid w:val="633E29F1"/>
    <w:rsid w:val="637673F1"/>
    <w:rsid w:val="6386195F"/>
    <w:rsid w:val="63A64E50"/>
    <w:rsid w:val="63B108C9"/>
    <w:rsid w:val="63B51214"/>
    <w:rsid w:val="63C104BE"/>
    <w:rsid w:val="63D7141F"/>
    <w:rsid w:val="63FC31B4"/>
    <w:rsid w:val="64147202"/>
    <w:rsid w:val="64151F48"/>
    <w:rsid w:val="6439233B"/>
    <w:rsid w:val="644D348F"/>
    <w:rsid w:val="647F1F2B"/>
    <w:rsid w:val="649308D4"/>
    <w:rsid w:val="64AB585C"/>
    <w:rsid w:val="64D66369"/>
    <w:rsid w:val="64EC4A56"/>
    <w:rsid w:val="64F9481A"/>
    <w:rsid w:val="64FD66A2"/>
    <w:rsid w:val="6562503C"/>
    <w:rsid w:val="659821B0"/>
    <w:rsid w:val="65AE338B"/>
    <w:rsid w:val="65C17EBA"/>
    <w:rsid w:val="65F31354"/>
    <w:rsid w:val="66110F6F"/>
    <w:rsid w:val="6615252F"/>
    <w:rsid w:val="662B0176"/>
    <w:rsid w:val="663133AD"/>
    <w:rsid w:val="663B7C6B"/>
    <w:rsid w:val="66585612"/>
    <w:rsid w:val="666C5A63"/>
    <w:rsid w:val="666E44D5"/>
    <w:rsid w:val="66A2181C"/>
    <w:rsid w:val="66A53B29"/>
    <w:rsid w:val="66DE4873"/>
    <w:rsid w:val="66DF7421"/>
    <w:rsid w:val="66E216EE"/>
    <w:rsid w:val="66EA0A0F"/>
    <w:rsid w:val="66F95B50"/>
    <w:rsid w:val="670C15BE"/>
    <w:rsid w:val="670C7775"/>
    <w:rsid w:val="67253FF9"/>
    <w:rsid w:val="67271B26"/>
    <w:rsid w:val="672D2ABB"/>
    <w:rsid w:val="67307F10"/>
    <w:rsid w:val="673171B6"/>
    <w:rsid w:val="67333C8A"/>
    <w:rsid w:val="6775374C"/>
    <w:rsid w:val="6789124C"/>
    <w:rsid w:val="678C3662"/>
    <w:rsid w:val="67952CA6"/>
    <w:rsid w:val="67B61541"/>
    <w:rsid w:val="67C717AB"/>
    <w:rsid w:val="67CA4CF5"/>
    <w:rsid w:val="67D821B5"/>
    <w:rsid w:val="67DA608E"/>
    <w:rsid w:val="682A0E30"/>
    <w:rsid w:val="682B23DF"/>
    <w:rsid w:val="682D0990"/>
    <w:rsid w:val="68441E11"/>
    <w:rsid w:val="6854434D"/>
    <w:rsid w:val="685D486F"/>
    <w:rsid w:val="68663B55"/>
    <w:rsid w:val="686747A3"/>
    <w:rsid w:val="6871579A"/>
    <w:rsid w:val="687D41D6"/>
    <w:rsid w:val="688161C3"/>
    <w:rsid w:val="688D424E"/>
    <w:rsid w:val="689A52B4"/>
    <w:rsid w:val="689E17EA"/>
    <w:rsid w:val="68B67E89"/>
    <w:rsid w:val="68C2564E"/>
    <w:rsid w:val="68CF6B69"/>
    <w:rsid w:val="68E95003"/>
    <w:rsid w:val="68FD737E"/>
    <w:rsid w:val="68FF422E"/>
    <w:rsid w:val="692B492E"/>
    <w:rsid w:val="6930318C"/>
    <w:rsid w:val="693A198C"/>
    <w:rsid w:val="696526E0"/>
    <w:rsid w:val="696A6892"/>
    <w:rsid w:val="697370B8"/>
    <w:rsid w:val="697A519F"/>
    <w:rsid w:val="697E3D56"/>
    <w:rsid w:val="69885161"/>
    <w:rsid w:val="698E2580"/>
    <w:rsid w:val="699D3F67"/>
    <w:rsid w:val="69A351DE"/>
    <w:rsid w:val="69AC3621"/>
    <w:rsid w:val="69CD512F"/>
    <w:rsid w:val="69DD13F3"/>
    <w:rsid w:val="69DE76FB"/>
    <w:rsid w:val="69E3601A"/>
    <w:rsid w:val="69E92EC5"/>
    <w:rsid w:val="69EB79D2"/>
    <w:rsid w:val="69F30726"/>
    <w:rsid w:val="6A1A64AC"/>
    <w:rsid w:val="6A445335"/>
    <w:rsid w:val="6A4B3298"/>
    <w:rsid w:val="6A4E0232"/>
    <w:rsid w:val="6A5401BF"/>
    <w:rsid w:val="6A576E16"/>
    <w:rsid w:val="6A614716"/>
    <w:rsid w:val="6A714142"/>
    <w:rsid w:val="6A7A1D4F"/>
    <w:rsid w:val="6A8D3AC4"/>
    <w:rsid w:val="6A9736B6"/>
    <w:rsid w:val="6ACA00B4"/>
    <w:rsid w:val="6ACD3603"/>
    <w:rsid w:val="6AE37E2C"/>
    <w:rsid w:val="6AFF5A06"/>
    <w:rsid w:val="6B2111D2"/>
    <w:rsid w:val="6B235DBA"/>
    <w:rsid w:val="6B243C98"/>
    <w:rsid w:val="6B5542E6"/>
    <w:rsid w:val="6B5E2426"/>
    <w:rsid w:val="6B635AF7"/>
    <w:rsid w:val="6B672AA7"/>
    <w:rsid w:val="6B6F40B2"/>
    <w:rsid w:val="6B822BB4"/>
    <w:rsid w:val="6B83252A"/>
    <w:rsid w:val="6B8A276B"/>
    <w:rsid w:val="6B901CB9"/>
    <w:rsid w:val="6B9526A7"/>
    <w:rsid w:val="6B96571C"/>
    <w:rsid w:val="6BAD27BB"/>
    <w:rsid w:val="6BAF67DE"/>
    <w:rsid w:val="6BC43F4E"/>
    <w:rsid w:val="6BCF3EB0"/>
    <w:rsid w:val="6BD04134"/>
    <w:rsid w:val="6BD33730"/>
    <w:rsid w:val="6C040369"/>
    <w:rsid w:val="6C123C0C"/>
    <w:rsid w:val="6C155483"/>
    <w:rsid w:val="6C2076DB"/>
    <w:rsid w:val="6C35207C"/>
    <w:rsid w:val="6C431072"/>
    <w:rsid w:val="6C4866DC"/>
    <w:rsid w:val="6C4F7CAB"/>
    <w:rsid w:val="6C542CB5"/>
    <w:rsid w:val="6C5739A6"/>
    <w:rsid w:val="6C574519"/>
    <w:rsid w:val="6C5C7967"/>
    <w:rsid w:val="6C636D2C"/>
    <w:rsid w:val="6C6F4FD0"/>
    <w:rsid w:val="6C7911C8"/>
    <w:rsid w:val="6C793C1C"/>
    <w:rsid w:val="6C850A74"/>
    <w:rsid w:val="6C864ECC"/>
    <w:rsid w:val="6CB726B3"/>
    <w:rsid w:val="6CD3438A"/>
    <w:rsid w:val="6CEB534E"/>
    <w:rsid w:val="6CF0156B"/>
    <w:rsid w:val="6CF24646"/>
    <w:rsid w:val="6D0F391F"/>
    <w:rsid w:val="6D1C4347"/>
    <w:rsid w:val="6D207C9D"/>
    <w:rsid w:val="6D480C98"/>
    <w:rsid w:val="6D5C4743"/>
    <w:rsid w:val="6D5D0BE7"/>
    <w:rsid w:val="6D632B13"/>
    <w:rsid w:val="6D644260"/>
    <w:rsid w:val="6D64E874"/>
    <w:rsid w:val="6D871F86"/>
    <w:rsid w:val="6D9B0363"/>
    <w:rsid w:val="6DAA0C45"/>
    <w:rsid w:val="6DAA3B67"/>
    <w:rsid w:val="6DC4637F"/>
    <w:rsid w:val="6DDE7048"/>
    <w:rsid w:val="6E0A266D"/>
    <w:rsid w:val="6E20540C"/>
    <w:rsid w:val="6E21443C"/>
    <w:rsid w:val="6E2E4271"/>
    <w:rsid w:val="6E31378E"/>
    <w:rsid w:val="6E6B0FAB"/>
    <w:rsid w:val="6E6F4C4A"/>
    <w:rsid w:val="6E70290C"/>
    <w:rsid w:val="6E7315F8"/>
    <w:rsid w:val="6E8B52E0"/>
    <w:rsid w:val="6E916777"/>
    <w:rsid w:val="6EA4112D"/>
    <w:rsid w:val="6ED06A2E"/>
    <w:rsid w:val="6EE51C42"/>
    <w:rsid w:val="6EFA3B8C"/>
    <w:rsid w:val="6F091C15"/>
    <w:rsid w:val="6F0F1161"/>
    <w:rsid w:val="6F2E08E2"/>
    <w:rsid w:val="6F34240B"/>
    <w:rsid w:val="6F676976"/>
    <w:rsid w:val="6F6A2606"/>
    <w:rsid w:val="6F70290A"/>
    <w:rsid w:val="6F781206"/>
    <w:rsid w:val="6F8D32DA"/>
    <w:rsid w:val="6F9D3737"/>
    <w:rsid w:val="6FBB4455"/>
    <w:rsid w:val="6FDD08FA"/>
    <w:rsid w:val="6FE42BFA"/>
    <w:rsid w:val="6FEA60AC"/>
    <w:rsid w:val="6FF86BC1"/>
    <w:rsid w:val="6FFE241D"/>
    <w:rsid w:val="7003183A"/>
    <w:rsid w:val="701742D5"/>
    <w:rsid w:val="7026388B"/>
    <w:rsid w:val="70272E83"/>
    <w:rsid w:val="70666473"/>
    <w:rsid w:val="706A7676"/>
    <w:rsid w:val="707F70C6"/>
    <w:rsid w:val="70846673"/>
    <w:rsid w:val="709510C8"/>
    <w:rsid w:val="70A953A1"/>
    <w:rsid w:val="70AE0947"/>
    <w:rsid w:val="70B278F0"/>
    <w:rsid w:val="70B600A1"/>
    <w:rsid w:val="70C1323B"/>
    <w:rsid w:val="70D203BD"/>
    <w:rsid w:val="70E71542"/>
    <w:rsid w:val="70EF7378"/>
    <w:rsid w:val="70F770E6"/>
    <w:rsid w:val="70FC1ECE"/>
    <w:rsid w:val="71000962"/>
    <w:rsid w:val="711A6E5B"/>
    <w:rsid w:val="711C1444"/>
    <w:rsid w:val="712C3F43"/>
    <w:rsid w:val="71371C59"/>
    <w:rsid w:val="71464DCA"/>
    <w:rsid w:val="714702CD"/>
    <w:rsid w:val="715450B9"/>
    <w:rsid w:val="71585F6A"/>
    <w:rsid w:val="71612CCE"/>
    <w:rsid w:val="716A5966"/>
    <w:rsid w:val="716F53C5"/>
    <w:rsid w:val="718D3739"/>
    <w:rsid w:val="71B66B18"/>
    <w:rsid w:val="71B733F2"/>
    <w:rsid w:val="71CF3CDA"/>
    <w:rsid w:val="71EF6A21"/>
    <w:rsid w:val="720A44F4"/>
    <w:rsid w:val="72127AC6"/>
    <w:rsid w:val="7230291A"/>
    <w:rsid w:val="72367C35"/>
    <w:rsid w:val="726653B4"/>
    <w:rsid w:val="7267461E"/>
    <w:rsid w:val="726C317E"/>
    <w:rsid w:val="726D5403"/>
    <w:rsid w:val="72880092"/>
    <w:rsid w:val="729055BB"/>
    <w:rsid w:val="72961AC7"/>
    <w:rsid w:val="72AE33E1"/>
    <w:rsid w:val="72C00474"/>
    <w:rsid w:val="72F00EFF"/>
    <w:rsid w:val="73105638"/>
    <w:rsid w:val="73191FB8"/>
    <w:rsid w:val="731F249B"/>
    <w:rsid w:val="732606F6"/>
    <w:rsid w:val="733A64F8"/>
    <w:rsid w:val="733C7AFF"/>
    <w:rsid w:val="7342120A"/>
    <w:rsid w:val="73434637"/>
    <w:rsid w:val="734C455D"/>
    <w:rsid w:val="73520F17"/>
    <w:rsid w:val="736C7679"/>
    <w:rsid w:val="7377DC19"/>
    <w:rsid w:val="73784B15"/>
    <w:rsid w:val="73787287"/>
    <w:rsid w:val="73862E3D"/>
    <w:rsid w:val="73872D17"/>
    <w:rsid w:val="738F5872"/>
    <w:rsid w:val="739A5DD6"/>
    <w:rsid w:val="73A3131E"/>
    <w:rsid w:val="73AE7E01"/>
    <w:rsid w:val="73C31078"/>
    <w:rsid w:val="73D0278A"/>
    <w:rsid w:val="73D6300D"/>
    <w:rsid w:val="73E952DD"/>
    <w:rsid w:val="74001A6C"/>
    <w:rsid w:val="7412568B"/>
    <w:rsid w:val="74391E01"/>
    <w:rsid w:val="744655AC"/>
    <w:rsid w:val="74691CF1"/>
    <w:rsid w:val="746B4112"/>
    <w:rsid w:val="746F7452"/>
    <w:rsid w:val="747C0D13"/>
    <w:rsid w:val="74A967DB"/>
    <w:rsid w:val="74FA0A81"/>
    <w:rsid w:val="750A51DD"/>
    <w:rsid w:val="750E15B2"/>
    <w:rsid w:val="752043FE"/>
    <w:rsid w:val="752C68C6"/>
    <w:rsid w:val="753F6323"/>
    <w:rsid w:val="755D54FC"/>
    <w:rsid w:val="756B402F"/>
    <w:rsid w:val="75755A67"/>
    <w:rsid w:val="75952EE8"/>
    <w:rsid w:val="759977B7"/>
    <w:rsid w:val="75A02C3D"/>
    <w:rsid w:val="75A67468"/>
    <w:rsid w:val="75B710B1"/>
    <w:rsid w:val="75BC4A71"/>
    <w:rsid w:val="75C35466"/>
    <w:rsid w:val="75CC72F6"/>
    <w:rsid w:val="75CE4075"/>
    <w:rsid w:val="75F53520"/>
    <w:rsid w:val="75FDDF41"/>
    <w:rsid w:val="760A05A9"/>
    <w:rsid w:val="76124A8D"/>
    <w:rsid w:val="762F6E99"/>
    <w:rsid w:val="763760D4"/>
    <w:rsid w:val="763A620D"/>
    <w:rsid w:val="764C53C8"/>
    <w:rsid w:val="765C7E27"/>
    <w:rsid w:val="765D5C0D"/>
    <w:rsid w:val="76612A09"/>
    <w:rsid w:val="76780A1E"/>
    <w:rsid w:val="768308B0"/>
    <w:rsid w:val="7686172C"/>
    <w:rsid w:val="769413F2"/>
    <w:rsid w:val="76A773F3"/>
    <w:rsid w:val="76AC3C7C"/>
    <w:rsid w:val="76B94DAA"/>
    <w:rsid w:val="76BD26F7"/>
    <w:rsid w:val="76C267F5"/>
    <w:rsid w:val="76EF57DD"/>
    <w:rsid w:val="76F57DAA"/>
    <w:rsid w:val="76FC3EAF"/>
    <w:rsid w:val="7723408E"/>
    <w:rsid w:val="77250CAD"/>
    <w:rsid w:val="77253DF8"/>
    <w:rsid w:val="772542BD"/>
    <w:rsid w:val="772A52C1"/>
    <w:rsid w:val="772C0290"/>
    <w:rsid w:val="772D4A6C"/>
    <w:rsid w:val="77385E16"/>
    <w:rsid w:val="77857A4E"/>
    <w:rsid w:val="778D031B"/>
    <w:rsid w:val="779A1428"/>
    <w:rsid w:val="77B372A5"/>
    <w:rsid w:val="77B43176"/>
    <w:rsid w:val="77B710B0"/>
    <w:rsid w:val="77C875A5"/>
    <w:rsid w:val="77D27A9D"/>
    <w:rsid w:val="77D90160"/>
    <w:rsid w:val="77E02CA2"/>
    <w:rsid w:val="780A5FDD"/>
    <w:rsid w:val="780E79D5"/>
    <w:rsid w:val="781310F2"/>
    <w:rsid w:val="78222E99"/>
    <w:rsid w:val="7840713B"/>
    <w:rsid w:val="78470E02"/>
    <w:rsid w:val="784D1858"/>
    <w:rsid w:val="787D038F"/>
    <w:rsid w:val="78811007"/>
    <w:rsid w:val="788814A9"/>
    <w:rsid w:val="78932ADF"/>
    <w:rsid w:val="78BD078C"/>
    <w:rsid w:val="790B4D25"/>
    <w:rsid w:val="7912453D"/>
    <w:rsid w:val="79251EF9"/>
    <w:rsid w:val="79473ABD"/>
    <w:rsid w:val="798D2E18"/>
    <w:rsid w:val="79A92B35"/>
    <w:rsid w:val="79BC5DCF"/>
    <w:rsid w:val="79D15FC7"/>
    <w:rsid w:val="79D32B34"/>
    <w:rsid w:val="79E366D8"/>
    <w:rsid w:val="79E81DD8"/>
    <w:rsid w:val="7A073E69"/>
    <w:rsid w:val="7A305BDA"/>
    <w:rsid w:val="7AA20E97"/>
    <w:rsid w:val="7AA601EE"/>
    <w:rsid w:val="7AB84811"/>
    <w:rsid w:val="7ABF06C0"/>
    <w:rsid w:val="7AD40F93"/>
    <w:rsid w:val="7AFB70D8"/>
    <w:rsid w:val="7B0C2723"/>
    <w:rsid w:val="7B2649E1"/>
    <w:rsid w:val="7B2C27E5"/>
    <w:rsid w:val="7B366018"/>
    <w:rsid w:val="7B50152B"/>
    <w:rsid w:val="7B61576F"/>
    <w:rsid w:val="7B664809"/>
    <w:rsid w:val="7B78719A"/>
    <w:rsid w:val="7B8A4C7B"/>
    <w:rsid w:val="7BA67B98"/>
    <w:rsid w:val="7BA95BAF"/>
    <w:rsid w:val="7BCF7B74"/>
    <w:rsid w:val="7BE15E8E"/>
    <w:rsid w:val="7BF1353F"/>
    <w:rsid w:val="7C367925"/>
    <w:rsid w:val="7C4D25C5"/>
    <w:rsid w:val="7C523560"/>
    <w:rsid w:val="7C5424EB"/>
    <w:rsid w:val="7C645384"/>
    <w:rsid w:val="7C657F3C"/>
    <w:rsid w:val="7C792C1C"/>
    <w:rsid w:val="7C812655"/>
    <w:rsid w:val="7C8B170A"/>
    <w:rsid w:val="7C94681E"/>
    <w:rsid w:val="7C953C4E"/>
    <w:rsid w:val="7CD75D15"/>
    <w:rsid w:val="7CF9057F"/>
    <w:rsid w:val="7CFEC1E8"/>
    <w:rsid w:val="7D025C1B"/>
    <w:rsid w:val="7D0753DD"/>
    <w:rsid w:val="7D107619"/>
    <w:rsid w:val="7D2630B0"/>
    <w:rsid w:val="7D3E0FE6"/>
    <w:rsid w:val="7D412CBA"/>
    <w:rsid w:val="7D4266C7"/>
    <w:rsid w:val="7D527C92"/>
    <w:rsid w:val="7D5724D4"/>
    <w:rsid w:val="7D751BDB"/>
    <w:rsid w:val="7D7A537C"/>
    <w:rsid w:val="7D7B4E8C"/>
    <w:rsid w:val="7D817587"/>
    <w:rsid w:val="7D8D1301"/>
    <w:rsid w:val="7DA42EE8"/>
    <w:rsid w:val="7DAE60C9"/>
    <w:rsid w:val="7DC650FB"/>
    <w:rsid w:val="7DD04F5E"/>
    <w:rsid w:val="7DD519E8"/>
    <w:rsid w:val="7DE26BE4"/>
    <w:rsid w:val="7DE62533"/>
    <w:rsid w:val="7DF0430C"/>
    <w:rsid w:val="7E1A3F8B"/>
    <w:rsid w:val="7E2867A7"/>
    <w:rsid w:val="7E291269"/>
    <w:rsid w:val="7E5760E7"/>
    <w:rsid w:val="7E5A01A6"/>
    <w:rsid w:val="7E6D055E"/>
    <w:rsid w:val="7E714602"/>
    <w:rsid w:val="7E771010"/>
    <w:rsid w:val="7E7B04E8"/>
    <w:rsid w:val="7E8309BE"/>
    <w:rsid w:val="7EB007AD"/>
    <w:rsid w:val="7EBC3294"/>
    <w:rsid w:val="7ED14F91"/>
    <w:rsid w:val="7EDD487D"/>
    <w:rsid w:val="7EE56A07"/>
    <w:rsid w:val="7EF60B64"/>
    <w:rsid w:val="7F26348C"/>
    <w:rsid w:val="7F405DE5"/>
    <w:rsid w:val="7F42525B"/>
    <w:rsid w:val="7F432C5E"/>
    <w:rsid w:val="7F547A69"/>
    <w:rsid w:val="7F56112C"/>
    <w:rsid w:val="7F5B736E"/>
    <w:rsid w:val="7F6B2F23"/>
    <w:rsid w:val="7F794159"/>
    <w:rsid w:val="7F8739E2"/>
    <w:rsid w:val="7F8F2756"/>
    <w:rsid w:val="7F9E2CF6"/>
    <w:rsid w:val="7FA23E13"/>
    <w:rsid w:val="7FA505D1"/>
    <w:rsid w:val="7FA75CF2"/>
    <w:rsid w:val="7FB4516A"/>
    <w:rsid w:val="7FF26F99"/>
    <w:rsid w:val="7FF5B6D2"/>
    <w:rsid w:val="DFBE87DA"/>
    <w:rsid w:val="ED8F6D2D"/>
    <w:rsid w:val="EF992A31"/>
    <w:rsid w:val="F67F26BA"/>
    <w:rsid w:val="FF3B658A"/>
    <w:rsid w:val="FF5D6FBF"/>
    <w:rsid w:val="FFCFB9D4"/>
    <w:rsid w:val="FFDB041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nhideWhenUsed="0"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qFormat="1" w:uiPriority="99" w:name="HTML Acronym"/>
    <w:lsdException w:uiPriority="99" w:name="HTML Address"/>
    <w:lsdException w:qFormat="1" w:uiPriority="99" w:name="HTML Cite"/>
    <w:lsdException w:qFormat="1" w:uiPriority="99" w:name="HTML Code"/>
    <w:lsdException w:qFormat="1" w:uiPriority="99" w:name="HTML Definition"/>
    <w:lsdException w:qFormat="1" w:uiPriority="99" w:name="HTML Keyboard"/>
    <w:lsdException w:qFormat="1" w:unhideWhenUsed="0" w:uiPriority="0" w:semiHidden="0" w:name="HTML Preformatted"/>
    <w:lsdException w:qFormat="1" w:uiPriority="99" w:name="HTML Sample"/>
    <w:lsdException w:qFormat="1" w:uiPriority="99" w:name="HTML Typewriter"/>
    <w:lsdException w:qFormat="1"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74"/>
    <w:qFormat/>
    <w:uiPriority w:val="9"/>
    <w:pPr>
      <w:keepNext/>
      <w:jc w:val="center"/>
      <w:outlineLvl w:val="0"/>
    </w:pPr>
    <w:rPr>
      <w:b/>
      <w:bCs/>
      <w:sz w:val="24"/>
      <w:szCs w:val="20"/>
    </w:rPr>
  </w:style>
  <w:style w:type="paragraph" w:styleId="3">
    <w:name w:val="heading 2"/>
    <w:basedOn w:val="1"/>
    <w:next w:val="4"/>
    <w:link w:val="153"/>
    <w:qFormat/>
    <w:uiPriority w:val="9"/>
    <w:pPr>
      <w:keepNext/>
      <w:keepLines/>
      <w:spacing w:line="360" w:lineRule="auto"/>
      <w:outlineLvl w:val="1"/>
    </w:pPr>
    <w:rPr>
      <w:rFonts w:ascii="Arial" w:hAnsi="Arial"/>
      <w:b/>
      <w:bCs/>
      <w:sz w:val="24"/>
      <w:szCs w:val="32"/>
    </w:rPr>
  </w:style>
  <w:style w:type="paragraph" w:styleId="5">
    <w:name w:val="heading 3"/>
    <w:basedOn w:val="1"/>
    <w:next w:val="1"/>
    <w:link w:val="76"/>
    <w:qFormat/>
    <w:uiPriority w:val="9"/>
    <w:pPr>
      <w:keepNext/>
      <w:keepLines/>
      <w:spacing w:before="260" w:after="260" w:line="416" w:lineRule="auto"/>
      <w:outlineLvl w:val="2"/>
    </w:pPr>
    <w:rPr>
      <w:b/>
      <w:bCs/>
      <w:sz w:val="32"/>
      <w:szCs w:val="32"/>
    </w:rPr>
  </w:style>
  <w:style w:type="paragraph" w:styleId="6">
    <w:name w:val="heading 4"/>
    <w:basedOn w:val="1"/>
    <w:next w:val="1"/>
    <w:link w:val="77"/>
    <w:qFormat/>
    <w:uiPriority w:val="9"/>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78"/>
    <w:qFormat/>
    <w:uiPriority w:val="9"/>
    <w:pPr>
      <w:keepNext/>
      <w:keepLines/>
      <w:adjustRightInd w:val="0"/>
      <w:spacing w:before="280" w:after="290" w:line="376" w:lineRule="atLeast"/>
      <w:jc w:val="left"/>
      <w:textAlignment w:val="baseline"/>
      <w:outlineLvl w:val="4"/>
    </w:pPr>
    <w:rPr>
      <w:b/>
      <w:bCs/>
      <w:kern w:val="0"/>
      <w:sz w:val="28"/>
      <w:szCs w:val="28"/>
    </w:rPr>
  </w:style>
  <w:style w:type="paragraph" w:styleId="8">
    <w:name w:val="heading 6"/>
    <w:basedOn w:val="1"/>
    <w:next w:val="1"/>
    <w:link w:val="79"/>
    <w:qFormat/>
    <w:uiPriority w:val="9"/>
    <w:pPr>
      <w:keepNext/>
      <w:keepLines/>
      <w:adjustRightInd w:val="0"/>
      <w:spacing w:before="240" w:after="64" w:line="320" w:lineRule="atLeast"/>
      <w:jc w:val="left"/>
      <w:textAlignment w:val="baseline"/>
      <w:outlineLvl w:val="5"/>
    </w:pPr>
    <w:rPr>
      <w:rFonts w:ascii="Arial" w:hAnsi="Arial" w:eastAsia="黑体"/>
      <w:b/>
      <w:bCs/>
      <w:kern w:val="0"/>
      <w:sz w:val="24"/>
    </w:rPr>
  </w:style>
  <w:style w:type="paragraph" w:styleId="9">
    <w:name w:val="heading 7"/>
    <w:basedOn w:val="1"/>
    <w:next w:val="1"/>
    <w:link w:val="80"/>
    <w:qFormat/>
    <w:uiPriority w:val="9"/>
    <w:pPr>
      <w:keepNext/>
      <w:keepLines/>
      <w:adjustRightInd w:val="0"/>
      <w:spacing w:before="240" w:after="64" w:line="320" w:lineRule="atLeast"/>
      <w:jc w:val="left"/>
      <w:textAlignment w:val="baseline"/>
      <w:outlineLvl w:val="6"/>
    </w:pPr>
    <w:rPr>
      <w:b/>
      <w:bCs/>
      <w:kern w:val="0"/>
      <w:sz w:val="24"/>
    </w:rPr>
  </w:style>
  <w:style w:type="paragraph" w:styleId="10">
    <w:name w:val="heading 8"/>
    <w:basedOn w:val="1"/>
    <w:next w:val="1"/>
    <w:link w:val="81"/>
    <w:qFormat/>
    <w:uiPriority w:val="9"/>
    <w:pPr>
      <w:keepNext/>
      <w:keepLines/>
      <w:adjustRightInd w:val="0"/>
      <w:spacing w:before="240" w:after="64" w:line="320" w:lineRule="atLeast"/>
      <w:jc w:val="left"/>
      <w:textAlignment w:val="baseline"/>
      <w:outlineLvl w:val="7"/>
    </w:pPr>
    <w:rPr>
      <w:rFonts w:ascii="Arial" w:hAnsi="Arial" w:eastAsia="黑体"/>
      <w:kern w:val="0"/>
      <w:sz w:val="24"/>
    </w:rPr>
  </w:style>
  <w:style w:type="paragraph" w:styleId="11">
    <w:name w:val="heading 9"/>
    <w:basedOn w:val="1"/>
    <w:next w:val="1"/>
    <w:link w:val="82"/>
    <w:qFormat/>
    <w:uiPriority w:val="9"/>
    <w:pPr>
      <w:keepNext/>
      <w:keepLines/>
      <w:adjustRightInd w:val="0"/>
      <w:spacing w:before="240" w:after="64" w:line="320" w:lineRule="atLeast"/>
      <w:jc w:val="left"/>
      <w:textAlignment w:val="baseline"/>
      <w:outlineLvl w:val="8"/>
    </w:pPr>
    <w:rPr>
      <w:rFonts w:ascii="Arial" w:hAnsi="Arial" w:eastAsia="黑体"/>
      <w:kern w:val="0"/>
      <w:szCs w:val="21"/>
    </w:r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4">
    <w:name w:val="Body Text"/>
    <w:basedOn w:val="1"/>
    <w:next w:val="1"/>
    <w:link w:val="84"/>
    <w:qFormat/>
    <w:uiPriority w:val="0"/>
    <w:pPr>
      <w:spacing w:after="120"/>
    </w:pPr>
  </w:style>
  <w:style w:type="paragraph" w:styleId="12">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13">
    <w:name w:val="Normal Indent"/>
    <w:basedOn w:val="1"/>
    <w:next w:val="14"/>
    <w:qFormat/>
    <w:uiPriority w:val="0"/>
    <w:pPr>
      <w:widowControl/>
      <w:ind w:firstLine="420"/>
      <w:jc w:val="left"/>
    </w:pPr>
    <w:rPr>
      <w:kern w:val="0"/>
      <w:sz w:val="20"/>
      <w:szCs w:val="20"/>
    </w:rPr>
  </w:style>
  <w:style w:type="paragraph" w:customStyle="1" w:styleId="14">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5">
    <w:name w:val="Document Map"/>
    <w:basedOn w:val="1"/>
    <w:link w:val="106"/>
    <w:semiHidden/>
    <w:qFormat/>
    <w:uiPriority w:val="0"/>
    <w:pPr>
      <w:shd w:val="clear" w:color="auto" w:fill="000080"/>
    </w:pPr>
  </w:style>
  <w:style w:type="paragraph" w:styleId="16">
    <w:name w:val="annotation text"/>
    <w:basedOn w:val="1"/>
    <w:link w:val="90"/>
    <w:semiHidden/>
    <w:qFormat/>
    <w:uiPriority w:val="99"/>
    <w:pPr>
      <w:jc w:val="left"/>
    </w:pPr>
  </w:style>
  <w:style w:type="paragraph" w:styleId="17">
    <w:name w:val="Salutation"/>
    <w:basedOn w:val="1"/>
    <w:next w:val="1"/>
    <w:link w:val="95"/>
    <w:qFormat/>
    <w:uiPriority w:val="0"/>
    <w:rPr>
      <w:rFonts w:ascii="仿宋_GB2312" w:eastAsia="仿宋_GB2312"/>
      <w:sz w:val="24"/>
    </w:rPr>
  </w:style>
  <w:style w:type="paragraph" w:styleId="18">
    <w:name w:val="Body Text Indent"/>
    <w:basedOn w:val="1"/>
    <w:next w:val="19"/>
    <w:link w:val="87"/>
    <w:qFormat/>
    <w:uiPriority w:val="0"/>
    <w:pPr>
      <w:spacing w:after="120"/>
      <w:ind w:left="420" w:leftChars="200"/>
    </w:pPr>
  </w:style>
  <w:style w:type="paragraph" w:styleId="19">
    <w:name w:val="Body Text First Indent 2"/>
    <w:basedOn w:val="18"/>
    <w:qFormat/>
    <w:uiPriority w:val="0"/>
    <w:pPr>
      <w:ind w:firstLine="420" w:firstLineChars="200"/>
    </w:pPr>
  </w:style>
  <w:style w:type="paragraph" w:styleId="20">
    <w:name w:val="Block Text"/>
    <w:basedOn w:val="1"/>
    <w:qFormat/>
    <w:uiPriority w:val="0"/>
    <w:pPr>
      <w:ind w:left="1171" w:right="91" w:hanging="1080"/>
    </w:pPr>
    <w:rPr>
      <w:rFonts w:eastAsia="楷体_GB2312"/>
      <w:szCs w:val="20"/>
    </w:rPr>
  </w:style>
  <w:style w:type="paragraph" w:styleId="21">
    <w:name w:val="toc 5"/>
    <w:basedOn w:val="1"/>
    <w:next w:val="1"/>
    <w:unhideWhenUsed/>
    <w:qFormat/>
    <w:uiPriority w:val="39"/>
    <w:pPr>
      <w:ind w:left="1680" w:leftChars="800"/>
    </w:pPr>
    <w:rPr>
      <w:rFonts w:asciiTheme="minorHAnsi" w:hAnsiTheme="minorHAnsi" w:eastAsiaTheme="minorEastAsia" w:cstheme="minorBidi"/>
      <w:szCs w:val="22"/>
    </w:rPr>
  </w:style>
  <w:style w:type="paragraph" w:styleId="22">
    <w:name w:val="toc 3"/>
    <w:basedOn w:val="1"/>
    <w:next w:val="1"/>
    <w:unhideWhenUsed/>
    <w:qFormat/>
    <w:uiPriority w:val="39"/>
    <w:pPr>
      <w:adjustRightInd w:val="0"/>
      <w:snapToGrid w:val="0"/>
      <w:spacing w:line="360" w:lineRule="auto"/>
      <w:ind w:left="400" w:leftChars="400"/>
    </w:pPr>
    <w:rPr>
      <w:rFonts w:eastAsiaTheme="minorEastAsia"/>
      <w:b/>
    </w:rPr>
  </w:style>
  <w:style w:type="paragraph" w:styleId="23">
    <w:name w:val="Plain Text"/>
    <w:basedOn w:val="1"/>
    <w:link w:val="89"/>
    <w:qFormat/>
    <w:uiPriority w:val="0"/>
    <w:rPr>
      <w:rFonts w:ascii="宋体" w:hAnsi="Courier New" w:cs="Courier New"/>
      <w:szCs w:val="21"/>
    </w:rPr>
  </w:style>
  <w:style w:type="paragraph" w:styleId="24">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25">
    <w:name w:val="Date"/>
    <w:basedOn w:val="1"/>
    <w:next w:val="1"/>
    <w:link w:val="100"/>
    <w:qFormat/>
    <w:uiPriority w:val="0"/>
    <w:rPr>
      <w:sz w:val="24"/>
      <w:szCs w:val="20"/>
    </w:rPr>
  </w:style>
  <w:style w:type="paragraph" w:styleId="26">
    <w:name w:val="Body Text Indent 2"/>
    <w:basedOn w:val="1"/>
    <w:link w:val="97"/>
    <w:qFormat/>
    <w:uiPriority w:val="0"/>
    <w:pPr>
      <w:spacing w:after="120" w:line="480" w:lineRule="auto"/>
      <w:ind w:left="420" w:leftChars="200"/>
    </w:pPr>
  </w:style>
  <w:style w:type="paragraph" w:styleId="27">
    <w:name w:val="Balloon Text"/>
    <w:basedOn w:val="1"/>
    <w:link w:val="112"/>
    <w:qFormat/>
    <w:uiPriority w:val="99"/>
    <w:rPr>
      <w:sz w:val="18"/>
      <w:szCs w:val="18"/>
    </w:rPr>
  </w:style>
  <w:style w:type="paragraph" w:styleId="28">
    <w:name w:val="footer"/>
    <w:basedOn w:val="1"/>
    <w:link w:val="85"/>
    <w:qFormat/>
    <w:uiPriority w:val="99"/>
    <w:pPr>
      <w:tabs>
        <w:tab w:val="center" w:pos="4153"/>
        <w:tab w:val="right" w:pos="8306"/>
      </w:tabs>
      <w:snapToGrid w:val="0"/>
      <w:jc w:val="left"/>
    </w:pPr>
    <w:rPr>
      <w:sz w:val="18"/>
      <w:szCs w:val="18"/>
    </w:rPr>
  </w:style>
  <w:style w:type="paragraph" w:styleId="29">
    <w:name w:val="header"/>
    <w:basedOn w:val="1"/>
    <w:link w:val="86"/>
    <w:qFormat/>
    <w:uiPriority w:val="99"/>
    <w:pPr>
      <w:pBdr>
        <w:bottom w:val="single" w:color="auto" w:sz="6" w:space="1"/>
      </w:pBdr>
      <w:tabs>
        <w:tab w:val="center" w:pos="4153"/>
        <w:tab w:val="right" w:pos="8306"/>
      </w:tabs>
      <w:snapToGrid w:val="0"/>
      <w:jc w:val="center"/>
    </w:pPr>
    <w:rPr>
      <w:sz w:val="18"/>
      <w:szCs w:val="18"/>
    </w:rPr>
  </w:style>
  <w:style w:type="paragraph" w:styleId="30">
    <w:name w:val="toc 1"/>
    <w:basedOn w:val="1"/>
    <w:next w:val="1"/>
    <w:qFormat/>
    <w:uiPriority w:val="39"/>
    <w:pPr>
      <w:spacing w:line="360" w:lineRule="auto"/>
    </w:pPr>
    <w:rPr>
      <w:rFonts w:asciiTheme="minorEastAsia" w:hAnsiTheme="minorEastAsia" w:eastAsiaTheme="minorEastAsia"/>
      <w:b/>
      <w:sz w:val="24"/>
      <w:szCs w:val="21"/>
    </w:rPr>
  </w:style>
  <w:style w:type="paragraph" w:styleId="31">
    <w:name w:val="toc 4"/>
    <w:basedOn w:val="1"/>
    <w:next w:val="1"/>
    <w:unhideWhenUsed/>
    <w:qFormat/>
    <w:uiPriority w:val="39"/>
    <w:pPr>
      <w:adjustRightInd w:val="0"/>
      <w:snapToGrid w:val="0"/>
      <w:spacing w:line="360" w:lineRule="auto"/>
      <w:ind w:left="600" w:leftChars="600"/>
    </w:pPr>
    <w:rPr>
      <w:rFonts w:asciiTheme="minorHAnsi" w:hAnsiTheme="minorHAnsi" w:eastAsiaTheme="minorEastAsia" w:cstheme="minorBidi"/>
      <w:b/>
      <w:szCs w:val="22"/>
    </w:rPr>
  </w:style>
  <w:style w:type="paragraph" w:styleId="32">
    <w:name w:val="toc 6"/>
    <w:basedOn w:val="1"/>
    <w:next w:val="1"/>
    <w:qFormat/>
    <w:uiPriority w:val="39"/>
    <w:pPr>
      <w:ind w:left="2100"/>
    </w:pPr>
    <w:rPr>
      <w:szCs w:val="20"/>
    </w:rPr>
  </w:style>
  <w:style w:type="paragraph" w:styleId="33">
    <w:name w:val="Body Text Indent 3"/>
    <w:basedOn w:val="1"/>
    <w:link w:val="99"/>
    <w:qFormat/>
    <w:uiPriority w:val="0"/>
    <w:pPr>
      <w:spacing w:after="120"/>
      <w:ind w:left="420" w:leftChars="200"/>
    </w:pPr>
    <w:rPr>
      <w:sz w:val="16"/>
      <w:szCs w:val="16"/>
    </w:rPr>
  </w:style>
  <w:style w:type="paragraph" w:styleId="34">
    <w:name w:val="toc 2"/>
    <w:basedOn w:val="1"/>
    <w:next w:val="1"/>
    <w:unhideWhenUsed/>
    <w:qFormat/>
    <w:uiPriority w:val="39"/>
    <w:pPr>
      <w:spacing w:line="360" w:lineRule="auto"/>
      <w:ind w:left="200" w:leftChars="200"/>
    </w:pPr>
    <w:rPr>
      <w:rFonts w:eastAsiaTheme="majorEastAsia"/>
      <w:b/>
    </w:rPr>
  </w:style>
  <w:style w:type="paragraph" w:styleId="35">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36">
    <w:name w:val="Body Text 2"/>
    <w:basedOn w:val="1"/>
    <w:link w:val="96"/>
    <w:qFormat/>
    <w:uiPriority w:val="0"/>
    <w:pPr>
      <w:spacing w:after="120" w:line="480" w:lineRule="auto"/>
    </w:pPr>
  </w:style>
  <w:style w:type="paragraph" w:styleId="37">
    <w:name w:val="HTML Preformatted"/>
    <w:basedOn w:val="1"/>
    <w:link w:val="9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38">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39">
    <w:name w:val="index 1"/>
    <w:basedOn w:val="1"/>
    <w:next w:val="1"/>
    <w:qFormat/>
    <w:uiPriority w:val="0"/>
    <w:pPr>
      <w:spacing w:line="220" w:lineRule="exact"/>
      <w:jc w:val="center"/>
    </w:pPr>
    <w:rPr>
      <w:rFonts w:ascii="仿宋_GB2312" w:eastAsia="仿宋_GB2312"/>
      <w:szCs w:val="20"/>
    </w:rPr>
  </w:style>
  <w:style w:type="paragraph" w:styleId="40">
    <w:name w:val="Title"/>
    <w:basedOn w:val="1"/>
    <w:link w:val="129"/>
    <w:qFormat/>
    <w:uiPriority w:val="0"/>
    <w:pPr>
      <w:jc w:val="center"/>
      <w:outlineLvl w:val="0"/>
    </w:pPr>
    <w:rPr>
      <w:rFonts w:asciiTheme="minorHAnsi" w:hAnsiTheme="minorHAnsi" w:eastAsiaTheme="minorEastAsia" w:cstheme="minorBidi"/>
      <w:b/>
      <w:sz w:val="32"/>
      <w:szCs w:val="22"/>
    </w:rPr>
  </w:style>
  <w:style w:type="paragraph" w:styleId="41">
    <w:name w:val="annotation subject"/>
    <w:basedOn w:val="16"/>
    <w:next w:val="1"/>
    <w:link w:val="111"/>
    <w:qFormat/>
    <w:uiPriority w:val="99"/>
    <w:rPr>
      <w:b/>
      <w:bCs/>
    </w:rPr>
  </w:style>
  <w:style w:type="paragraph" w:styleId="42">
    <w:name w:val="Body Text First Indent"/>
    <w:basedOn w:val="4"/>
    <w:qFormat/>
    <w:uiPriority w:val="0"/>
    <w:pPr>
      <w:ind w:firstLine="420" w:firstLineChars="100"/>
    </w:pPr>
  </w:style>
  <w:style w:type="table" w:styleId="44">
    <w:name w:val="Table Grid"/>
    <w:basedOn w:val="4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Strong"/>
    <w:basedOn w:val="45"/>
    <w:qFormat/>
    <w:uiPriority w:val="0"/>
    <w:rPr>
      <w:b/>
      <w:bCs/>
    </w:rPr>
  </w:style>
  <w:style w:type="character" w:styleId="47">
    <w:name w:val="page number"/>
    <w:basedOn w:val="45"/>
    <w:qFormat/>
    <w:uiPriority w:val="0"/>
  </w:style>
  <w:style w:type="character" w:styleId="48">
    <w:name w:val="FollowedHyperlink"/>
    <w:qFormat/>
    <w:uiPriority w:val="0"/>
    <w:rPr>
      <w:color w:val="800080"/>
      <w:u w:val="single"/>
    </w:rPr>
  </w:style>
  <w:style w:type="character" w:styleId="49">
    <w:name w:val="Emphasis"/>
    <w:basedOn w:val="45"/>
    <w:qFormat/>
    <w:uiPriority w:val="0"/>
    <w:rPr>
      <w:rFonts w:ascii="Times New Roman" w:hAnsi="Times New Roman" w:eastAsia="宋体"/>
    </w:rPr>
  </w:style>
  <w:style w:type="character" w:styleId="50">
    <w:name w:val="HTML Definition"/>
    <w:basedOn w:val="45"/>
    <w:semiHidden/>
    <w:unhideWhenUsed/>
    <w:qFormat/>
    <w:uiPriority w:val="99"/>
  </w:style>
  <w:style w:type="character" w:styleId="51">
    <w:name w:val="HTML Typewriter"/>
    <w:basedOn w:val="45"/>
    <w:semiHidden/>
    <w:unhideWhenUsed/>
    <w:qFormat/>
    <w:uiPriority w:val="99"/>
    <w:rPr>
      <w:rFonts w:hint="default" w:ascii="monospace" w:hAnsi="monospace" w:eastAsia="monospace" w:cs="monospace"/>
      <w:vanish/>
      <w:color w:val="3D4B62"/>
      <w:sz w:val="24"/>
      <w:szCs w:val="24"/>
    </w:rPr>
  </w:style>
  <w:style w:type="character" w:styleId="52">
    <w:name w:val="HTML Acronym"/>
    <w:basedOn w:val="45"/>
    <w:semiHidden/>
    <w:unhideWhenUsed/>
    <w:qFormat/>
    <w:uiPriority w:val="99"/>
  </w:style>
  <w:style w:type="character" w:styleId="53">
    <w:name w:val="HTML Variable"/>
    <w:basedOn w:val="45"/>
    <w:semiHidden/>
    <w:unhideWhenUsed/>
    <w:qFormat/>
    <w:uiPriority w:val="99"/>
  </w:style>
  <w:style w:type="character" w:styleId="54">
    <w:name w:val="Hyperlink"/>
    <w:basedOn w:val="45"/>
    <w:qFormat/>
    <w:uiPriority w:val="99"/>
    <w:rPr>
      <w:color w:val="136EC2"/>
      <w:u w:val="single"/>
    </w:rPr>
  </w:style>
  <w:style w:type="character" w:styleId="55">
    <w:name w:val="HTML Code"/>
    <w:basedOn w:val="45"/>
    <w:semiHidden/>
    <w:unhideWhenUsed/>
    <w:qFormat/>
    <w:uiPriority w:val="99"/>
    <w:rPr>
      <w:rFonts w:ascii="monospace" w:hAnsi="monospace" w:eastAsia="monospace" w:cs="monospace"/>
      <w:sz w:val="20"/>
    </w:rPr>
  </w:style>
  <w:style w:type="character" w:styleId="56">
    <w:name w:val="annotation reference"/>
    <w:qFormat/>
    <w:uiPriority w:val="99"/>
    <w:rPr>
      <w:sz w:val="21"/>
      <w:szCs w:val="21"/>
    </w:rPr>
  </w:style>
  <w:style w:type="character" w:styleId="57">
    <w:name w:val="HTML Cite"/>
    <w:basedOn w:val="45"/>
    <w:semiHidden/>
    <w:unhideWhenUsed/>
    <w:qFormat/>
    <w:uiPriority w:val="99"/>
    <w:rPr>
      <w:bdr w:val="single" w:color="BDBEC1" w:sz="6" w:space="0"/>
      <w:shd w:val="clear" w:fill="FFFFFF"/>
    </w:rPr>
  </w:style>
  <w:style w:type="character" w:styleId="58">
    <w:name w:val="HTML Keyboard"/>
    <w:basedOn w:val="45"/>
    <w:semiHidden/>
    <w:unhideWhenUsed/>
    <w:qFormat/>
    <w:uiPriority w:val="99"/>
    <w:rPr>
      <w:rFonts w:hint="default" w:ascii="monospace" w:hAnsi="monospace" w:eastAsia="monospace" w:cs="monospace"/>
      <w:sz w:val="20"/>
    </w:rPr>
  </w:style>
  <w:style w:type="character" w:styleId="59">
    <w:name w:val="HTML Sample"/>
    <w:basedOn w:val="45"/>
    <w:semiHidden/>
    <w:unhideWhenUsed/>
    <w:qFormat/>
    <w:uiPriority w:val="99"/>
    <w:rPr>
      <w:rFonts w:hint="default" w:ascii="monospace" w:hAnsi="monospace" w:eastAsia="monospace" w:cs="monospace"/>
    </w:rPr>
  </w:style>
  <w:style w:type="paragraph" w:customStyle="1" w:styleId="60">
    <w:name w:val="BodyText1I2"/>
    <w:basedOn w:val="61"/>
    <w:qFormat/>
    <w:uiPriority w:val="0"/>
    <w:pPr>
      <w:widowControl/>
      <w:ind w:firstLine="420" w:firstLineChars="200"/>
    </w:pPr>
  </w:style>
  <w:style w:type="paragraph" w:customStyle="1" w:styleId="61">
    <w:name w:val="BodyTextIndent"/>
    <w:basedOn w:val="1"/>
    <w:qFormat/>
    <w:uiPriority w:val="0"/>
    <w:pPr>
      <w:spacing w:after="120"/>
      <w:ind w:left="420" w:leftChars="200"/>
      <w:textAlignment w:val="baseline"/>
    </w:pPr>
  </w:style>
  <w:style w:type="paragraph" w:customStyle="1" w:styleId="62">
    <w:name w:val="样式2"/>
    <w:basedOn w:val="63"/>
    <w:next w:val="1"/>
    <w:qFormat/>
    <w:uiPriority w:val="0"/>
    <w:pPr>
      <w:tabs>
        <w:tab w:val="left" w:pos="992"/>
        <w:tab w:val="left" w:pos="1133"/>
        <w:tab w:val="left" w:pos="2268"/>
      </w:tabs>
      <w:spacing w:line="372" w:lineRule="auto"/>
      <w:ind w:firstLine="562"/>
    </w:pPr>
    <w:rPr>
      <w:color w:val="FF0000"/>
      <w:sz w:val="24"/>
      <w:szCs w:val="24"/>
    </w:rPr>
  </w:style>
  <w:style w:type="paragraph" w:styleId="63">
    <w:name w:val="List Paragraph"/>
    <w:basedOn w:val="1"/>
    <w:qFormat/>
    <w:uiPriority w:val="0"/>
    <w:pPr>
      <w:ind w:firstLine="420" w:firstLineChars="200"/>
    </w:pPr>
    <w:rPr>
      <w:rFonts w:ascii="等线" w:hAnsi="等线" w:eastAsia="等线"/>
      <w:szCs w:val="22"/>
    </w:rPr>
  </w:style>
  <w:style w:type="paragraph" w:customStyle="1" w:styleId="64">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65">
    <w:name w:val="1"/>
    <w:basedOn w:val="66"/>
    <w:next w:val="18"/>
    <w:qFormat/>
    <w:uiPriority w:val="0"/>
    <w:pPr>
      <w:spacing w:afterLines="50" w:line="360" w:lineRule="auto"/>
    </w:pPr>
    <w:rPr>
      <w:rFonts w:ascii="宋体" w:hAnsi="宋体"/>
      <w:b/>
      <w:sz w:val="30"/>
    </w:rPr>
  </w:style>
  <w:style w:type="paragraph" w:customStyle="1" w:styleId="66">
    <w:name w:val="正文 New New New"/>
    <w:qFormat/>
    <w:uiPriority w:val="0"/>
    <w:pPr>
      <w:widowControl w:val="0"/>
      <w:jc w:val="both"/>
    </w:pPr>
    <w:rPr>
      <w:rFonts w:ascii="Times New Roman" w:hAnsi="Times New Roman" w:eastAsia="宋体" w:cs="Times New Roman"/>
      <w:kern w:val="2"/>
      <w:sz w:val="21"/>
      <w:szCs w:val="21"/>
      <w:lang w:val="en-US" w:eastAsia="zh-CN" w:bidi="ar-SA"/>
    </w:rPr>
  </w:style>
  <w:style w:type="paragraph" w:customStyle="1" w:styleId="67">
    <w:name w:val="font5"/>
    <w:basedOn w:val="1"/>
    <w:qFormat/>
    <w:uiPriority w:val="0"/>
    <w:pPr>
      <w:widowControl/>
      <w:spacing w:before="100" w:beforeAutospacing="1" w:after="100" w:afterAutospacing="1"/>
      <w:jc w:val="left"/>
    </w:pPr>
    <w:rPr>
      <w:rFonts w:ascii="等线" w:hAnsi="等线" w:eastAsia="等线" w:cs="宋体"/>
      <w:kern w:val="0"/>
      <w:sz w:val="18"/>
      <w:szCs w:val="18"/>
    </w:rPr>
  </w:style>
  <w:style w:type="paragraph" w:customStyle="1" w:styleId="68">
    <w:name w:val="表格文字"/>
    <w:basedOn w:val="1"/>
    <w:qFormat/>
    <w:uiPriority w:val="0"/>
    <w:pPr>
      <w:spacing w:before="25" w:after="25"/>
      <w:jc w:val="left"/>
    </w:pPr>
    <w:rPr>
      <w:bCs/>
      <w:spacing w:val="10"/>
      <w:kern w:val="0"/>
      <w:sz w:val="24"/>
    </w:rPr>
  </w:style>
  <w:style w:type="paragraph" w:customStyle="1" w:styleId="69">
    <w:name w:val="列出段落1"/>
    <w:basedOn w:val="1"/>
    <w:qFormat/>
    <w:uiPriority w:val="34"/>
    <w:pPr>
      <w:ind w:firstLine="420" w:firstLineChars="200"/>
    </w:pPr>
    <w:rPr>
      <w:rFonts w:eastAsiaTheme="minorEastAsia"/>
    </w:rPr>
  </w:style>
  <w:style w:type="paragraph" w:customStyle="1" w:styleId="70">
    <w:name w:val="正文（缩进）"/>
    <w:basedOn w:val="1"/>
    <w:qFormat/>
    <w:uiPriority w:val="0"/>
    <w:pPr>
      <w:spacing w:before="156" w:after="156"/>
      <w:ind w:firstLine="480"/>
    </w:pPr>
  </w:style>
  <w:style w:type="paragraph" w:customStyle="1" w:styleId="71">
    <w:name w:val="引言二级条标题"/>
    <w:basedOn w:val="72"/>
    <w:next w:val="73"/>
    <w:qFormat/>
    <w:uiPriority w:val="0"/>
    <w:pPr>
      <w:numPr>
        <w:ilvl w:val="1"/>
        <w:numId w:val="1"/>
      </w:numPr>
      <w:tabs>
        <w:tab w:val="left" w:pos="360"/>
        <w:tab w:val="left" w:pos="1200"/>
      </w:tabs>
    </w:pPr>
    <w:rPr>
      <w:szCs w:val="20"/>
    </w:rPr>
  </w:style>
  <w:style w:type="paragraph" w:customStyle="1" w:styleId="72">
    <w:name w:val="引言一级条标题"/>
    <w:basedOn w:val="1"/>
    <w:next w:val="73"/>
    <w:qFormat/>
    <w:uiPriority w:val="0"/>
    <w:pPr>
      <w:widowControl/>
      <w:numPr>
        <w:ilvl w:val="0"/>
        <w:numId w:val="2"/>
      </w:numPr>
    </w:pPr>
    <w:rPr>
      <w:rFonts w:eastAsia="黑体"/>
      <w:b/>
    </w:rPr>
  </w:style>
  <w:style w:type="paragraph" w:customStyle="1" w:styleId="7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kern w:val="2"/>
      <w:sz w:val="21"/>
      <w:szCs w:val="22"/>
      <w:lang w:val="en-US" w:eastAsia="zh-CN" w:bidi="ar-SA"/>
    </w:rPr>
  </w:style>
  <w:style w:type="character" w:customStyle="1" w:styleId="74">
    <w:name w:val="标题 1 字符"/>
    <w:basedOn w:val="45"/>
    <w:link w:val="2"/>
    <w:qFormat/>
    <w:uiPriority w:val="9"/>
    <w:rPr>
      <w:rFonts w:ascii="Times New Roman" w:hAnsi="Times New Roman" w:eastAsia="宋体" w:cs="Times New Roman"/>
      <w:b/>
      <w:bCs/>
      <w:sz w:val="24"/>
      <w:szCs w:val="20"/>
    </w:rPr>
  </w:style>
  <w:style w:type="character" w:customStyle="1" w:styleId="75">
    <w:name w:val="标题 2 Char"/>
    <w:basedOn w:val="45"/>
    <w:qFormat/>
    <w:uiPriority w:val="9"/>
    <w:rPr>
      <w:rFonts w:ascii="Arial" w:hAnsi="Arial" w:eastAsia="宋体" w:cs="Times New Roman"/>
      <w:b/>
      <w:bCs/>
      <w:sz w:val="24"/>
      <w:szCs w:val="32"/>
    </w:rPr>
  </w:style>
  <w:style w:type="character" w:customStyle="1" w:styleId="76">
    <w:name w:val="标题 3 字符"/>
    <w:basedOn w:val="45"/>
    <w:link w:val="5"/>
    <w:qFormat/>
    <w:uiPriority w:val="9"/>
    <w:rPr>
      <w:rFonts w:ascii="Times New Roman" w:hAnsi="Times New Roman" w:eastAsia="宋体" w:cs="Times New Roman"/>
      <w:b/>
      <w:bCs/>
      <w:sz w:val="32"/>
      <w:szCs w:val="32"/>
    </w:rPr>
  </w:style>
  <w:style w:type="character" w:customStyle="1" w:styleId="77">
    <w:name w:val="标题 4 字符"/>
    <w:basedOn w:val="45"/>
    <w:link w:val="6"/>
    <w:qFormat/>
    <w:uiPriority w:val="9"/>
    <w:rPr>
      <w:rFonts w:ascii="Arial" w:hAnsi="Arial" w:eastAsia="黑体" w:cs="Times New Roman"/>
      <w:b/>
      <w:bCs/>
      <w:sz w:val="28"/>
      <w:szCs w:val="28"/>
    </w:rPr>
  </w:style>
  <w:style w:type="character" w:customStyle="1" w:styleId="78">
    <w:name w:val="标题 5 字符"/>
    <w:basedOn w:val="45"/>
    <w:link w:val="7"/>
    <w:qFormat/>
    <w:uiPriority w:val="9"/>
    <w:rPr>
      <w:rFonts w:ascii="Times New Roman" w:hAnsi="Times New Roman" w:eastAsia="宋体" w:cs="Times New Roman"/>
      <w:b/>
      <w:bCs/>
      <w:kern w:val="0"/>
      <w:sz w:val="28"/>
      <w:szCs w:val="28"/>
    </w:rPr>
  </w:style>
  <w:style w:type="character" w:customStyle="1" w:styleId="79">
    <w:name w:val="标题 6 字符"/>
    <w:basedOn w:val="45"/>
    <w:link w:val="8"/>
    <w:qFormat/>
    <w:uiPriority w:val="9"/>
    <w:rPr>
      <w:rFonts w:ascii="Arial" w:hAnsi="Arial" w:eastAsia="黑体" w:cs="Times New Roman"/>
      <w:b/>
      <w:bCs/>
      <w:kern w:val="0"/>
      <w:sz w:val="24"/>
      <w:szCs w:val="24"/>
    </w:rPr>
  </w:style>
  <w:style w:type="character" w:customStyle="1" w:styleId="80">
    <w:name w:val="标题 7 字符"/>
    <w:basedOn w:val="45"/>
    <w:link w:val="9"/>
    <w:qFormat/>
    <w:uiPriority w:val="9"/>
    <w:rPr>
      <w:rFonts w:ascii="Times New Roman" w:hAnsi="Times New Roman" w:eastAsia="宋体" w:cs="Times New Roman"/>
      <w:b/>
      <w:bCs/>
      <w:kern w:val="0"/>
      <w:sz w:val="24"/>
      <w:szCs w:val="24"/>
    </w:rPr>
  </w:style>
  <w:style w:type="character" w:customStyle="1" w:styleId="81">
    <w:name w:val="标题 8 字符"/>
    <w:basedOn w:val="45"/>
    <w:link w:val="10"/>
    <w:qFormat/>
    <w:uiPriority w:val="9"/>
    <w:rPr>
      <w:rFonts w:ascii="Arial" w:hAnsi="Arial" w:eastAsia="黑体" w:cs="Times New Roman"/>
      <w:kern w:val="0"/>
      <w:sz w:val="24"/>
      <w:szCs w:val="24"/>
    </w:rPr>
  </w:style>
  <w:style w:type="character" w:customStyle="1" w:styleId="82">
    <w:name w:val="标题 9 字符"/>
    <w:basedOn w:val="45"/>
    <w:link w:val="11"/>
    <w:qFormat/>
    <w:uiPriority w:val="9"/>
    <w:rPr>
      <w:rFonts w:ascii="Arial" w:hAnsi="Arial" w:eastAsia="黑体" w:cs="Times New Roman"/>
      <w:kern w:val="0"/>
      <w:szCs w:val="21"/>
    </w:rPr>
  </w:style>
  <w:style w:type="paragraph" w:customStyle="1" w:styleId="83">
    <w:name w:val="表格内容"/>
    <w:basedOn w:val="4"/>
    <w:qFormat/>
    <w:uiPriority w:val="0"/>
    <w:pPr>
      <w:suppressLineNumbers/>
      <w:suppressAutoHyphens/>
      <w:jc w:val="left"/>
    </w:pPr>
    <w:rPr>
      <w:rFonts w:cs="Tahoma"/>
      <w:kern w:val="0"/>
      <w:sz w:val="24"/>
    </w:rPr>
  </w:style>
  <w:style w:type="character" w:customStyle="1" w:styleId="84">
    <w:name w:val="正文文本 字符"/>
    <w:basedOn w:val="45"/>
    <w:link w:val="4"/>
    <w:qFormat/>
    <w:uiPriority w:val="0"/>
    <w:rPr>
      <w:rFonts w:ascii="Times New Roman" w:hAnsi="Times New Roman" w:eastAsia="宋体" w:cs="Times New Roman"/>
      <w:szCs w:val="24"/>
    </w:rPr>
  </w:style>
  <w:style w:type="character" w:customStyle="1" w:styleId="85">
    <w:name w:val="页脚 字符"/>
    <w:basedOn w:val="45"/>
    <w:link w:val="28"/>
    <w:qFormat/>
    <w:uiPriority w:val="99"/>
    <w:rPr>
      <w:rFonts w:ascii="Times New Roman" w:hAnsi="Times New Roman" w:eastAsia="宋体" w:cs="Times New Roman"/>
      <w:sz w:val="18"/>
      <w:szCs w:val="18"/>
    </w:rPr>
  </w:style>
  <w:style w:type="character" w:customStyle="1" w:styleId="86">
    <w:name w:val="页眉 字符"/>
    <w:basedOn w:val="45"/>
    <w:link w:val="29"/>
    <w:qFormat/>
    <w:uiPriority w:val="99"/>
    <w:rPr>
      <w:rFonts w:ascii="Times New Roman" w:hAnsi="Times New Roman" w:eastAsia="宋体" w:cs="Times New Roman"/>
      <w:sz w:val="18"/>
      <w:szCs w:val="18"/>
    </w:rPr>
  </w:style>
  <w:style w:type="character" w:customStyle="1" w:styleId="87">
    <w:name w:val="正文文本缩进 字符"/>
    <w:basedOn w:val="45"/>
    <w:link w:val="18"/>
    <w:qFormat/>
    <w:uiPriority w:val="0"/>
    <w:rPr>
      <w:rFonts w:ascii="Times New Roman" w:hAnsi="Times New Roman" w:eastAsia="宋体" w:cs="Times New Roman"/>
      <w:szCs w:val="24"/>
    </w:rPr>
  </w:style>
  <w:style w:type="paragraph" w:customStyle="1" w:styleId="88">
    <w:name w:val="Char Char Char Char Char Char Char"/>
    <w:basedOn w:val="1"/>
    <w:qFormat/>
    <w:uiPriority w:val="0"/>
    <w:pPr>
      <w:snapToGrid w:val="0"/>
      <w:spacing w:line="360" w:lineRule="auto"/>
      <w:ind w:firstLine="200" w:firstLineChars="200"/>
    </w:pPr>
    <w:rPr>
      <w:rFonts w:eastAsia="仿宋_GB2312"/>
      <w:sz w:val="24"/>
    </w:rPr>
  </w:style>
  <w:style w:type="character" w:customStyle="1" w:styleId="89">
    <w:name w:val="纯文本 字符"/>
    <w:basedOn w:val="45"/>
    <w:link w:val="23"/>
    <w:qFormat/>
    <w:uiPriority w:val="0"/>
    <w:rPr>
      <w:rFonts w:ascii="宋体" w:hAnsi="Courier New" w:eastAsia="宋体" w:cs="Courier New"/>
      <w:szCs w:val="21"/>
    </w:rPr>
  </w:style>
  <w:style w:type="character" w:customStyle="1" w:styleId="90">
    <w:name w:val="批注文字 字符"/>
    <w:basedOn w:val="45"/>
    <w:link w:val="16"/>
    <w:semiHidden/>
    <w:qFormat/>
    <w:uiPriority w:val="99"/>
    <w:rPr>
      <w:rFonts w:ascii="Times New Roman" w:hAnsi="Times New Roman" w:eastAsia="宋体" w:cs="Times New Roman"/>
      <w:szCs w:val="24"/>
    </w:rPr>
  </w:style>
  <w:style w:type="paragraph" w:customStyle="1" w:styleId="91">
    <w:name w:val="Char Char Char Char Char Char Char1"/>
    <w:basedOn w:val="1"/>
    <w:qFormat/>
    <w:uiPriority w:val="0"/>
    <w:pPr>
      <w:snapToGrid w:val="0"/>
      <w:spacing w:line="360" w:lineRule="auto"/>
      <w:ind w:firstLine="200" w:firstLineChars="200"/>
    </w:pPr>
    <w:rPr>
      <w:rFonts w:eastAsia="仿宋_GB2312"/>
      <w:sz w:val="24"/>
    </w:rPr>
  </w:style>
  <w:style w:type="paragraph" w:customStyle="1" w:styleId="92">
    <w:name w:val="Char Char Char"/>
    <w:basedOn w:val="1"/>
    <w:qFormat/>
    <w:uiPriority w:val="0"/>
    <w:rPr>
      <w:rFonts w:ascii="宋体" w:hAnsi="宋体"/>
      <w:b/>
      <w:sz w:val="28"/>
      <w:szCs w:val="28"/>
    </w:rPr>
  </w:style>
  <w:style w:type="paragraph" w:customStyle="1" w:styleId="93">
    <w:name w:val="Char Char1 Char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character" w:customStyle="1" w:styleId="94">
    <w:name w:val="HTML 预设格式 字符"/>
    <w:basedOn w:val="45"/>
    <w:link w:val="37"/>
    <w:qFormat/>
    <w:uiPriority w:val="0"/>
    <w:rPr>
      <w:rFonts w:ascii="Arial" w:hAnsi="Arial" w:eastAsia="宋体" w:cs="Arial"/>
      <w:kern w:val="0"/>
      <w:sz w:val="24"/>
      <w:szCs w:val="24"/>
    </w:rPr>
  </w:style>
  <w:style w:type="character" w:customStyle="1" w:styleId="95">
    <w:name w:val="称呼 字符"/>
    <w:basedOn w:val="45"/>
    <w:link w:val="17"/>
    <w:qFormat/>
    <w:uiPriority w:val="0"/>
    <w:rPr>
      <w:rFonts w:ascii="仿宋_GB2312" w:hAnsi="Times New Roman" w:eastAsia="仿宋_GB2312" w:cs="Times New Roman"/>
      <w:sz w:val="24"/>
      <w:szCs w:val="24"/>
    </w:rPr>
  </w:style>
  <w:style w:type="character" w:customStyle="1" w:styleId="96">
    <w:name w:val="正文文本 2 字符"/>
    <w:basedOn w:val="45"/>
    <w:link w:val="36"/>
    <w:qFormat/>
    <w:uiPriority w:val="0"/>
    <w:rPr>
      <w:rFonts w:ascii="Times New Roman" w:hAnsi="Times New Roman" w:eastAsia="宋体" w:cs="Times New Roman"/>
      <w:szCs w:val="24"/>
    </w:rPr>
  </w:style>
  <w:style w:type="character" w:customStyle="1" w:styleId="97">
    <w:name w:val="正文文本缩进 2 字符"/>
    <w:basedOn w:val="45"/>
    <w:link w:val="26"/>
    <w:qFormat/>
    <w:uiPriority w:val="0"/>
    <w:rPr>
      <w:rFonts w:ascii="Times New Roman" w:hAnsi="Times New Roman" w:eastAsia="宋体" w:cs="Times New Roman"/>
      <w:szCs w:val="24"/>
    </w:rPr>
  </w:style>
  <w:style w:type="paragraph" w:customStyle="1" w:styleId="98">
    <w:name w:val="Char"/>
    <w:basedOn w:val="1"/>
    <w:qFormat/>
    <w:uiPriority w:val="0"/>
    <w:pPr>
      <w:tabs>
        <w:tab w:val="left" w:pos="360"/>
      </w:tabs>
      <w:ind w:left="360" w:hanging="360" w:hangingChars="200"/>
    </w:pPr>
    <w:rPr>
      <w:sz w:val="24"/>
    </w:rPr>
  </w:style>
  <w:style w:type="character" w:customStyle="1" w:styleId="99">
    <w:name w:val="正文文本缩进 3 字符"/>
    <w:basedOn w:val="45"/>
    <w:link w:val="33"/>
    <w:qFormat/>
    <w:uiPriority w:val="0"/>
    <w:rPr>
      <w:rFonts w:ascii="Times New Roman" w:hAnsi="Times New Roman" w:eastAsia="宋体" w:cs="Times New Roman"/>
      <w:sz w:val="16"/>
      <w:szCs w:val="16"/>
    </w:rPr>
  </w:style>
  <w:style w:type="character" w:customStyle="1" w:styleId="100">
    <w:name w:val="日期 字符"/>
    <w:basedOn w:val="45"/>
    <w:link w:val="25"/>
    <w:qFormat/>
    <w:uiPriority w:val="0"/>
    <w:rPr>
      <w:rFonts w:ascii="Times New Roman" w:hAnsi="Times New Roman" w:eastAsia="宋体" w:cs="Times New Roman"/>
      <w:sz w:val="24"/>
      <w:szCs w:val="20"/>
    </w:rPr>
  </w:style>
  <w:style w:type="paragraph" w:customStyle="1" w:styleId="101">
    <w:name w:val="样式1"/>
    <w:basedOn w:val="1"/>
    <w:link w:val="131"/>
    <w:qFormat/>
    <w:uiPriority w:val="0"/>
    <w:pPr>
      <w:tabs>
        <w:tab w:val="left" w:pos="360"/>
      </w:tabs>
      <w:adjustRightInd w:val="0"/>
      <w:ind w:left="360" w:hanging="360"/>
      <w:textAlignment w:val="baseline"/>
    </w:pPr>
    <w:rPr>
      <w:rFonts w:ascii="宋体" w:hAnsi="宋体"/>
      <w:kern w:val="0"/>
      <w:szCs w:val="21"/>
    </w:rPr>
  </w:style>
  <w:style w:type="character" w:customStyle="1" w:styleId="102">
    <w:name w:val="p0 Char"/>
    <w:link w:val="103"/>
    <w:qFormat/>
    <w:uiPriority w:val="0"/>
    <w:rPr>
      <w:rFonts w:eastAsia="宋体"/>
      <w:szCs w:val="21"/>
    </w:rPr>
  </w:style>
  <w:style w:type="paragraph" w:customStyle="1" w:styleId="103">
    <w:name w:val="p0"/>
    <w:basedOn w:val="1"/>
    <w:link w:val="102"/>
    <w:qFormat/>
    <w:uiPriority w:val="0"/>
    <w:pPr>
      <w:widowControl/>
    </w:pPr>
    <w:rPr>
      <w:rFonts w:asciiTheme="minorHAnsi" w:hAnsiTheme="minorHAnsi" w:cstheme="minorBidi"/>
      <w:szCs w:val="21"/>
    </w:rPr>
  </w:style>
  <w:style w:type="paragraph" w:customStyle="1" w:styleId="104">
    <w:name w:val="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105">
    <w:name w:val="Char Char1 Char Char Char Char Char1 Char Char Char Char"/>
    <w:basedOn w:val="15"/>
    <w:qFormat/>
    <w:uiPriority w:val="0"/>
    <w:rPr>
      <w:rFonts w:ascii="Tahoma" w:hAnsi="Tahoma"/>
    </w:rPr>
  </w:style>
  <w:style w:type="character" w:customStyle="1" w:styleId="106">
    <w:name w:val="文档结构图 字符"/>
    <w:basedOn w:val="45"/>
    <w:link w:val="15"/>
    <w:semiHidden/>
    <w:qFormat/>
    <w:uiPriority w:val="0"/>
    <w:rPr>
      <w:rFonts w:ascii="Times New Roman" w:hAnsi="Times New Roman" w:eastAsia="宋体" w:cs="Times New Roman"/>
      <w:szCs w:val="24"/>
      <w:shd w:val="clear" w:color="auto" w:fill="000080"/>
    </w:rPr>
  </w:style>
  <w:style w:type="paragraph" w:customStyle="1" w:styleId="107">
    <w:name w:val="样式 样式 样式 样式 标题 2 + 宋体 五号 非加粗 黑色 + 段前: 6 磅 段后: 0 磅 行距: 单倍行距 + 段前:..."/>
    <w:basedOn w:val="1"/>
    <w:qFormat/>
    <w:uiPriority w:val="0"/>
    <w:pPr>
      <w:keepNext/>
      <w:keepLines/>
      <w:tabs>
        <w:tab w:val="left" w:pos="840"/>
      </w:tabs>
      <w:adjustRightInd w:val="0"/>
      <w:spacing w:before="240"/>
      <w:ind w:left="840" w:hanging="420"/>
      <w:jc w:val="left"/>
      <w:textAlignment w:val="baseline"/>
      <w:outlineLvl w:val="1"/>
    </w:pPr>
    <w:rPr>
      <w:rFonts w:ascii="宋体" w:hAnsi="宋体"/>
      <w:b/>
      <w:bCs/>
      <w:color w:val="000000"/>
      <w:kern w:val="0"/>
      <w:szCs w:val="20"/>
    </w:rPr>
  </w:style>
  <w:style w:type="paragraph" w:customStyle="1" w:styleId="108">
    <w:name w:val="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109">
    <w:name w:val="样式 标题 2 + 宋体 五号 行距: 单倍行距"/>
    <w:basedOn w:val="3"/>
    <w:qFormat/>
    <w:uiPriority w:val="0"/>
    <w:pPr>
      <w:tabs>
        <w:tab w:val="left" w:pos="2175"/>
      </w:tabs>
      <w:adjustRightInd w:val="0"/>
      <w:spacing w:before="260" w:after="260" w:line="240" w:lineRule="auto"/>
      <w:ind w:left="2175" w:hanging="1275"/>
      <w:jc w:val="left"/>
      <w:textAlignment w:val="baseline"/>
    </w:pPr>
    <w:rPr>
      <w:rFonts w:ascii="宋体" w:hAnsi="宋体"/>
      <w:kern w:val="0"/>
      <w:sz w:val="21"/>
      <w:szCs w:val="20"/>
    </w:rPr>
  </w:style>
  <w:style w:type="paragraph" w:customStyle="1" w:styleId="110">
    <w:name w:val="标题 1 +"/>
    <w:basedOn w:val="2"/>
    <w:next w:val="1"/>
    <w:qFormat/>
    <w:uiPriority w:val="0"/>
    <w:pPr>
      <w:keepLines/>
      <w:spacing w:line="600" w:lineRule="auto"/>
    </w:pPr>
    <w:rPr>
      <w:rFonts w:eastAsia="黑体"/>
      <w:kern w:val="0"/>
      <w:sz w:val="32"/>
      <w:szCs w:val="32"/>
    </w:rPr>
  </w:style>
  <w:style w:type="character" w:customStyle="1" w:styleId="111">
    <w:name w:val="批注主题 字符"/>
    <w:basedOn w:val="90"/>
    <w:link w:val="41"/>
    <w:qFormat/>
    <w:uiPriority w:val="99"/>
    <w:rPr>
      <w:rFonts w:ascii="Times New Roman" w:hAnsi="Times New Roman" w:eastAsia="宋体" w:cs="Times New Roman"/>
      <w:b/>
      <w:bCs/>
      <w:szCs w:val="24"/>
    </w:rPr>
  </w:style>
  <w:style w:type="character" w:customStyle="1" w:styleId="112">
    <w:name w:val="批注框文本 字符"/>
    <w:basedOn w:val="45"/>
    <w:link w:val="27"/>
    <w:qFormat/>
    <w:uiPriority w:val="99"/>
    <w:rPr>
      <w:rFonts w:ascii="Times New Roman" w:hAnsi="Times New Roman" w:eastAsia="宋体" w:cs="Times New Roman"/>
      <w:sz w:val="18"/>
      <w:szCs w:val="18"/>
    </w:rPr>
  </w:style>
  <w:style w:type="paragraph" w:customStyle="1" w:styleId="113">
    <w:name w:val="样式 标题 2 + Times New Roman 四号 非加粗 段前: 5 磅 段后: 0 磅 行距: 固定值 20..."/>
    <w:basedOn w:val="3"/>
    <w:qFormat/>
    <w:uiPriority w:val="0"/>
    <w:pPr>
      <w:spacing w:before="100" w:line="400" w:lineRule="exact"/>
    </w:pPr>
    <w:rPr>
      <w:rFonts w:ascii="Times New Roman" w:hAnsi="Times New Roman" w:eastAsia="黑体"/>
      <w:b w:val="0"/>
      <w:bCs w:val="0"/>
      <w:sz w:val="28"/>
      <w:szCs w:val="20"/>
    </w:rPr>
  </w:style>
  <w:style w:type="paragraph" w:customStyle="1" w:styleId="114">
    <w:name w:val="p15"/>
    <w:basedOn w:val="1"/>
    <w:qFormat/>
    <w:uiPriority w:val="0"/>
    <w:pPr>
      <w:widowControl/>
      <w:spacing w:line="220" w:lineRule="atLeast"/>
      <w:jc w:val="center"/>
    </w:pPr>
    <w:rPr>
      <w:rFonts w:ascii="仿宋_GB2312" w:hAnsi="宋体" w:eastAsia="仿宋_GB2312" w:cs="宋体"/>
      <w:kern w:val="0"/>
      <w:szCs w:val="21"/>
    </w:rPr>
  </w:style>
  <w:style w:type="paragraph" w:customStyle="1" w:styleId="115">
    <w:name w:val="Char1 Char Char Char 字元 Char Char 字元 Char 字元 Char1 Char Char Char"/>
    <w:basedOn w:val="1"/>
    <w:qFormat/>
    <w:uiPriority w:val="0"/>
    <w:rPr>
      <w:szCs w:val="20"/>
    </w:rPr>
  </w:style>
  <w:style w:type="paragraph" w:customStyle="1" w:styleId="116">
    <w:name w:val="p16"/>
    <w:basedOn w:val="1"/>
    <w:qFormat/>
    <w:uiPriority w:val="0"/>
    <w:pPr>
      <w:widowControl/>
      <w:jc w:val="left"/>
    </w:pPr>
    <w:rPr>
      <w:kern w:val="0"/>
      <w:szCs w:val="21"/>
    </w:rPr>
  </w:style>
  <w:style w:type="paragraph" w:customStyle="1" w:styleId="117">
    <w:name w:val="xl3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118">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119">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120">
    <w:name w:val="xl25"/>
    <w:basedOn w:val="1"/>
    <w:qFormat/>
    <w:uiPriority w:val="0"/>
    <w:pPr>
      <w:widowControl/>
      <w:pBdr>
        <w:left w:val="single" w:color="auto" w:sz="4" w:space="0"/>
        <w:bottom w:val="single" w:color="auto" w:sz="4" w:space="0"/>
        <w:right w:val="double" w:color="auto" w:sz="6"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121">
    <w:name w:val="Char Char Char1 Char"/>
    <w:basedOn w:val="1"/>
    <w:qFormat/>
    <w:uiPriority w:val="0"/>
    <w:pPr>
      <w:tabs>
        <w:tab w:val="left" w:pos="360"/>
      </w:tabs>
      <w:snapToGrid w:val="0"/>
      <w:spacing w:line="360" w:lineRule="auto"/>
    </w:pPr>
    <w:rPr>
      <w:rFonts w:eastAsia="仿宋_GB2312" w:cs="宋体"/>
      <w:sz w:val="24"/>
    </w:rPr>
  </w:style>
  <w:style w:type="paragraph" w:customStyle="1" w:styleId="122">
    <w:name w:val="列出段落2"/>
    <w:basedOn w:val="1"/>
    <w:link w:val="128"/>
    <w:qFormat/>
    <w:uiPriority w:val="34"/>
    <w:pPr>
      <w:ind w:firstLine="420" w:firstLineChars="200"/>
    </w:pPr>
  </w:style>
  <w:style w:type="character" w:customStyle="1" w:styleId="123">
    <w:name w:val="fontstyle01"/>
    <w:basedOn w:val="45"/>
    <w:qFormat/>
    <w:uiPriority w:val="0"/>
    <w:rPr>
      <w:rFonts w:hint="eastAsia" w:ascii="宋体" w:hAnsi="宋体" w:eastAsia="宋体"/>
      <w:color w:val="000000"/>
      <w:sz w:val="24"/>
      <w:szCs w:val="24"/>
    </w:rPr>
  </w:style>
  <w:style w:type="character" w:customStyle="1" w:styleId="124">
    <w:name w:val="fontstyle11"/>
    <w:basedOn w:val="45"/>
    <w:qFormat/>
    <w:uiPriority w:val="0"/>
    <w:rPr>
      <w:rFonts w:hint="default" w:ascii="TimesNewRomanPSMT" w:hAnsi="TimesNewRomanPSMT"/>
      <w:color w:val="000000"/>
      <w:sz w:val="24"/>
      <w:szCs w:val="24"/>
    </w:rPr>
  </w:style>
  <w:style w:type="paragraph" w:customStyle="1" w:styleId="125">
    <w:name w:val="TOC 标题1"/>
    <w:basedOn w:val="2"/>
    <w:next w:val="1"/>
    <w:unhideWhenUsed/>
    <w:qFormat/>
    <w:uiPriority w:val="39"/>
    <w:pPr>
      <w:keepLines/>
      <w:widowControl/>
      <w:spacing w:before="48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126">
    <w:name w:val="fontstyle21"/>
    <w:basedOn w:val="45"/>
    <w:qFormat/>
    <w:uiPriority w:val="0"/>
    <w:rPr>
      <w:rFonts w:hint="eastAsia" w:ascii="宋体" w:hAnsi="宋体" w:eastAsia="宋体"/>
      <w:color w:val="993300"/>
      <w:sz w:val="24"/>
      <w:szCs w:val="24"/>
    </w:rPr>
  </w:style>
  <w:style w:type="character" w:customStyle="1" w:styleId="127">
    <w:name w:val="fontstyle31"/>
    <w:basedOn w:val="45"/>
    <w:qFormat/>
    <w:uiPriority w:val="0"/>
    <w:rPr>
      <w:rFonts w:hint="default" w:ascii="Arial" w:hAnsi="Arial" w:cs="Arial"/>
      <w:color w:val="993300"/>
      <w:sz w:val="24"/>
      <w:szCs w:val="24"/>
    </w:rPr>
  </w:style>
  <w:style w:type="character" w:customStyle="1" w:styleId="128">
    <w:name w:val="列出段落 Char"/>
    <w:link w:val="122"/>
    <w:qFormat/>
    <w:uiPriority w:val="34"/>
    <w:rPr>
      <w:rFonts w:ascii="Times New Roman" w:hAnsi="Times New Roman" w:eastAsia="宋体" w:cs="Times New Roman"/>
      <w:szCs w:val="24"/>
    </w:rPr>
  </w:style>
  <w:style w:type="character" w:customStyle="1" w:styleId="129">
    <w:name w:val="标题 字符"/>
    <w:link w:val="40"/>
    <w:qFormat/>
    <w:uiPriority w:val="0"/>
    <w:rPr>
      <w:b/>
      <w:sz w:val="32"/>
    </w:rPr>
  </w:style>
  <w:style w:type="character" w:customStyle="1" w:styleId="130">
    <w:name w:val="标题 Char1"/>
    <w:basedOn w:val="45"/>
    <w:qFormat/>
    <w:uiPriority w:val="10"/>
    <w:rPr>
      <w:rFonts w:eastAsia="宋体" w:asciiTheme="majorHAnsi" w:hAnsiTheme="majorHAnsi" w:cstheme="majorBidi"/>
      <w:b/>
      <w:bCs/>
      <w:sz w:val="32"/>
      <w:szCs w:val="32"/>
    </w:rPr>
  </w:style>
  <w:style w:type="character" w:customStyle="1" w:styleId="131">
    <w:name w:val="样式1 Char Char"/>
    <w:link w:val="101"/>
    <w:qFormat/>
    <w:uiPriority w:val="0"/>
    <w:rPr>
      <w:rFonts w:ascii="宋体" w:hAnsi="宋体" w:eastAsia="宋体" w:cs="Times New Roman"/>
      <w:kern w:val="0"/>
      <w:szCs w:val="21"/>
    </w:rPr>
  </w:style>
  <w:style w:type="character" w:customStyle="1" w:styleId="132">
    <w:name w:val="纯文本 Char1"/>
    <w:semiHidden/>
    <w:qFormat/>
    <w:locked/>
    <w:uiPriority w:val="0"/>
    <w:rPr>
      <w:rFonts w:ascii="宋体" w:hAnsi="Courier New" w:eastAsia="宋体" w:cs="Courier New"/>
      <w:kern w:val="2"/>
      <w:sz w:val="21"/>
      <w:szCs w:val="21"/>
      <w:lang w:val="en-US" w:eastAsia="zh-CN" w:bidi="ar-SA"/>
    </w:rPr>
  </w:style>
  <w:style w:type="paragraph" w:customStyle="1" w:styleId="133">
    <w:name w:val="列表段落1"/>
    <w:basedOn w:val="1"/>
    <w:qFormat/>
    <w:uiPriority w:val="34"/>
    <w:pPr>
      <w:ind w:firstLine="420" w:firstLineChars="200"/>
    </w:pPr>
    <w:rPr>
      <w:sz w:val="18"/>
      <w:szCs w:val="18"/>
    </w:rPr>
  </w:style>
  <w:style w:type="paragraph" w:customStyle="1" w:styleId="134">
    <w:name w:val="_Style 16"/>
    <w:basedOn w:val="1"/>
    <w:next w:val="69"/>
    <w:qFormat/>
    <w:uiPriority w:val="34"/>
    <w:pPr>
      <w:ind w:firstLine="420" w:firstLineChars="200"/>
    </w:pPr>
    <w:rPr>
      <w:rFonts w:ascii="Calibri" w:hAnsi="Calibri"/>
      <w:szCs w:val="22"/>
    </w:rPr>
  </w:style>
  <w:style w:type="paragraph" w:customStyle="1" w:styleId="135">
    <w:name w:val="无间隔1"/>
    <w:qFormat/>
    <w:uiPriority w:val="1"/>
    <w:rPr>
      <w:rFonts w:ascii="Calibri" w:hAnsi="Calibri" w:eastAsia="宋体" w:cs="Times New Roman"/>
      <w:sz w:val="22"/>
      <w:szCs w:val="22"/>
      <w:lang w:val="en-US" w:eastAsia="zh-CN" w:bidi="ar-SA"/>
    </w:rPr>
  </w:style>
  <w:style w:type="table" w:customStyle="1" w:styleId="136">
    <w:name w:val="网格型1"/>
    <w:basedOn w:val="43"/>
    <w:qFormat/>
    <w:uiPriority w:val="5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7">
    <w:name w:val="_Style 113"/>
    <w:basedOn w:val="1"/>
    <w:next w:val="122"/>
    <w:qFormat/>
    <w:uiPriority w:val="34"/>
    <w:pPr>
      <w:ind w:firstLine="420" w:firstLineChars="200"/>
    </w:pPr>
    <w:rPr>
      <w:rFonts w:ascii="Calibri" w:hAnsi="Calibri"/>
      <w:szCs w:val="22"/>
    </w:rPr>
  </w:style>
  <w:style w:type="paragraph" w:customStyle="1" w:styleId="138">
    <w:name w:val="hik-正文"/>
    <w:qFormat/>
    <w:uiPriority w:val="0"/>
    <w:pPr>
      <w:spacing w:line="360" w:lineRule="auto"/>
      <w:ind w:firstLine="200" w:firstLineChars="200"/>
    </w:pPr>
    <w:rPr>
      <w:rFonts w:ascii="宋体" w:hAnsi="Times New Roman" w:eastAsia="宋体" w:cs="Times New Roman"/>
      <w:kern w:val="2"/>
      <w:sz w:val="24"/>
      <w:szCs w:val="24"/>
      <w:lang w:val="en-US" w:eastAsia="zh-CN" w:bidi="ar-SA"/>
    </w:rPr>
  </w:style>
  <w:style w:type="paragraph" w:customStyle="1" w:styleId="139">
    <w:name w:val="正文1"/>
    <w:next w:val="140"/>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40">
    <w:name w:val="正文格式"/>
    <w:basedOn w:val="1"/>
    <w:qFormat/>
    <w:uiPriority w:val="0"/>
    <w:pPr>
      <w:adjustRightInd w:val="0"/>
      <w:snapToGrid w:val="0"/>
      <w:spacing w:line="400" w:lineRule="atLeast"/>
      <w:ind w:firstLine="482"/>
      <w:textAlignment w:val="baseline"/>
    </w:pPr>
  </w:style>
  <w:style w:type="character" w:customStyle="1" w:styleId="141">
    <w:name w:val="NormalCharacter"/>
    <w:qFormat/>
    <w:uiPriority w:val="0"/>
  </w:style>
  <w:style w:type="paragraph" w:customStyle="1" w:styleId="142">
    <w:name w:val="BodyText"/>
    <w:basedOn w:val="1"/>
    <w:qFormat/>
    <w:uiPriority w:val="0"/>
    <w:pPr>
      <w:spacing w:after="120"/>
    </w:pPr>
  </w:style>
  <w:style w:type="paragraph" w:customStyle="1" w:styleId="143">
    <w:name w:val="UserStyle_1"/>
    <w:basedOn w:val="1"/>
    <w:qFormat/>
    <w:uiPriority w:val="0"/>
    <w:pPr>
      <w:spacing w:before="100" w:beforeAutospacing="1" w:after="100" w:afterAutospacing="1"/>
      <w:jc w:val="left"/>
    </w:pPr>
    <w:rPr>
      <w:rFonts w:ascii="宋体" w:hAnsi="宋体"/>
      <w:kern w:val="0"/>
      <w:sz w:val="20"/>
      <w:szCs w:val="20"/>
    </w:rPr>
  </w:style>
  <w:style w:type="paragraph" w:customStyle="1" w:styleId="144">
    <w:name w:val="179"/>
    <w:basedOn w:val="1"/>
    <w:qFormat/>
    <w:uiPriority w:val="0"/>
    <w:pPr>
      <w:ind w:firstLine="420" w:firstLineChars="200"/>
    </w:pPr>
  </w:style>
  <w:style w:type="paragraph" w:customStyle="1" w:styleId="145">
    <w:name w:val="Heading3"/>
    <w:basedOn w:val="1"/>
    <w:next w:val="1"/>
    <w:qFormat/>
    <w:uiPriority w:val="0"/>
    <w:pPr>
      <w:keepNext/>
      <w:keepLines/>
      <w:widowControl/>
      <w:spacing w:line="413" w:lineRule="auto"/>
      <w:textAlignment w:val="baseline"/>
    </w:pPr>
    <w:rPr>
      <w:rFonts w:ascii="Calibri" w:hAnsi="Calibri"/>
      <w:b/>
      <w:sz w:val="32"/>
    </w:rPr>
  </w:style>
  <w:style w:type="paragraph" w:customStyle="1" w:styleId="146">
    <w:name w:val="列出段落21"/>
    <w:basedOn w:val="1"/>
    <w:qFormat/>
    <w:uiPriority w:val="99"/>
    <w:pPr>
      <w:ind w:firstLine="420" w:firstLineChars="200"/>
    </w:pPr>
  </w:style>
  <w:style w:type="paragraph" w:customStyle="1" w:styleId="147">
    <w:name w:val="签字"/>
    <w:basedOn w:val="1"/>
    <w:qFormat/>
    <w:uiPriority w:val="0"/>
    <w:pPr>
      <w:adjustRightInd w:val="0"/>
      <w:snapToGrid w:val="0"/>
      <w:spacing w:line="300" w:lineRule="auto"/>
      <w:ind w:left="4800" w:leftChars="2000"/>
      <w:textAlignment w:val="baseline"/>
    </w:pPr>
    <w:rPr>
      <w:kern w:val="0"/>
      <w:sz w:val="24"/>
    </w:rPr>
  </w:style>
  <w:style w:type="paragraph" w:customStyle="1" w:styleId="148">
    <w:name w:val="xl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149">
    <w:name w:val="xl55"/>
    <w:basedOn w:val="1"/>
    <w:qFormat/>
    <w:uiPriority w:val="0"/>
    <w:pPr>
      <w:widowControl/>
      <w:spacing w:before="100" w:beforeAutospacing="1" w:after="100" w:afterAutospacing="1"/>
      <w:jc w:val="center"/>
      <w:textAlignment w:val="center"/>
    </w:pPr>
    <w:rPr>
      <w:rFonts w:ascii="Arial Unicode MS" w:hAnsi="Arial Unicode MS"/>
      <w:kern w:val="0"/>
      <w:sz w:val="24"/>
    </w:rPr>
  </w:style>
  <w:style w:type="paragraph" w:customStyle="1" w:styleId="150">
    <w:name w:val="Normal_0"/>
    <w:qFormat/>
    <w:uiPriority w:val="0"/>
    <w:rPr>
      <w:rFonts w:ascii="Times New Roman" w:hAnsi="Times New Roman" w:eastAsia="Times New Roman" w:cs="Times New Roman"/>
      <w:sz w:val="24"/>
      <w:szCs w:val="24"/>
      <w:lang w:val="en-US" w:eastAsia="zh-CN" w:bidi="ar-SA"/>
    </w:rPr>
  </w:style>
  <w:style w:type="paragraph" w:customStyle="1" w:styleId="151">
    <w:name w:val="Table Paragraph"/>
    <w:basedOn w:val="1"/>
    <w:qFormat/>
    <w:uiPriority w:val="1"/>
    <w:pPr>
      <w:autoSpaceDE w:val="0"/>
      <w:autoSpaceDN w:val="0"/>
    </w:pPr>
    <w:rPr>
      <w:rFonts w:ascii="宋体" w:hAnsi="宋体" w:cs="宋体"/>
      <w:lang w:val="zh-CN" w:bidi="zh-CN"/>
    </w:rPr>
  </w:style>
  <w:style w:type="paragraph" w:customStyle="1" w:styleId="152">
    <w:name w:val="保留正文"/>
    <w:basedOn w:val="4"/>
    <w:qFormat/>
    <w:uiPriority w:val="0"/>
    <w:pPr>
      <w:keepNext/>
      <w:spacing w:after="160"/>
    </w:pPr>
  </w:style>
  <w:style w:type="character" w:customStyle="1" w:styleId="153">
    <w:name w:val="标题 2 字符"/>
    <w:link w:val="3"/>
    <w:qFormat/>
    <w:uiPriority w:val="0"/>
    <w:rPr>
      <w:rFonts w:ascii="Arial" w:hAnsi="Arial" w:eastAsia="宋体" w:cs="Times New Roman"/>
      <w:b/>
      <w:bCs/>
      <w:sz w:val="24"/>
      <w:szCs w:val="32"/>
    </w:rPr>
  </w:style>
  <w:style w:type="character" w:customStyle="1" w:styleId="154">
    <w:name w:val="font21"/>
    <w:basedOn w:val="45"/>
    <w:qFormat/>
    <w:uiPriority w:val="0"/>
    <w:rPr>
      <w:rFonts w:ascii="Arial" w:hAnsi="Arial" w:cs="Arial"/>
      <w:color w:val="000000"/>
      <w:sz w:val="20"/>
      <w:szCs w:val="20"/>
      <w:u w:val="none"/>
    </w:rPr>
  </w:style>
  <w:style w:type="character" w:customStyle="1" w:styleId="155">
    <w:name w:val="font01"/>
    <w:basedOn w:val="45"/>
    <w:qFormat/>
    <w:uiPriority w:val="0"/>
    <w:rPr>
      <w:rFonts w:hint="eastAsia" w:ascii="宋体" w:hAnsi="宋体" w:eastAsia="宋体" w:cs="宋体"/>
      <w:color w:val="FF0000"/>
      <w:sz w:val="24"/>
      <w:szCs w:val="24"/>
      <w:u w:val="none"/>
    </w:rPr>
  </w:style>
  <w:style w:type="paragraph" w:customStyle="1" w:styleId="156">
    <w:name w:val="正文_0"/>
    <w:qFormat/>
    <w:uiPriority w:val="0"/>
    <w:rPr>
      <w:rFonts w:ascii="Times New Roman" w:hAnsi="Times New Roman" w:eastAsia="宋体" w:cs="Times New Roman"/>
      <w:sz w:val="24"/>
      <w:szCs w:val="24"/>
      <w:lang w:val="en-US" w:eastAsia="zh-CN" w:bidi="ar-SA"/>
    </w:rPr>
  </w:style>
  <w:style w:type="paragraph" w:customStyle="1" w:styleId="157">
    <w:name w:val="正文_11"/>
    <w:qFormat/>
    <w:uiPriority w:val="0"/>
    <w:rPr>
      <w:rFonts w:ascii="Times New Roman" w:hAnsi="Times New Roman" w:eastAsia="宋体" w:cs="Times New Roman"/>
      <w:sz w:val="24"/>
      <w:szCs w:val="24"/>
      <w:lang w:val="en-US" w:eastAsia="zh-CN" w:bidi="ar-SA"/>
    </w:rPr>
  </w:style>
  <w:style w:type="paragraph" w:customStyle="1" w:styleId="158">
    <w:name w:val="正文_1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9">
    <w:name w:val="Normal_12"/>
    <w:qFormat/>
    <w:uiPriority w:val="0"/>
    <w:rPr>
      <w:rFonts w:ascii="Times New Roman" w:hAnsi="Times New Roman" w:eastAsia="Times New Roman" w:cs="Times New Roman"/>
      <w:sz w:val="24"/>
      <w:szCs w:val="24"/>
      <w:lang w:val="en-US" w:eastAsia="zh-CN" w:bidi="ar-SA"/>
    </w:rPr>
  </w:style>
  <w:style w:type="paragraph" w:customStyle="1" w:styleId="160">
    <w:name w:val="Normal_24"/>
    <w:qFormat/>
    <w:uiPriority w:val="0"/>
    <w:rPr>
      <w:rFonts w:ascii="Times New Roman" w:hAnsi="Times New Roman" w:eastAsia="Times New Roman" w:cs="Times New Roman"/>
      <w:sz w:val="24"/>
      <w:szCs w:val="24"/>
      <w:lang w:val="en-US" w:eastAsia="zh-CN" w:bidi="ar-SA"/>
    </w:rPr>
  </w:style>
  <w:style w:type="paragraph" w:customStyle="1" w:styleId="161">
    <w:name w:val="Normal_26"/>
    <w:qFormat/>
    <w:uiPriority w:val="0"/>
    <w:rPr>
      <w:rFonts w:ascii="Times New Roman" w:hAnsi="Times New Roman" w:eastAsia="Times New Roman" w:cs="Times New Roman"/>
      <w:sz w:val="24"/>
      <w:szCs w:val="24"/>
      <w:lang w:val="en-US" w:eastAsia="zh-CN" w:bidi="ar-SA"/>
    </w:rPr>
  </w:style>
  <w:style w:type="paragraph" w:customStyle="1" w:styleId="162">
    <w:name w:val="正文_17"/>
    <w:qFormat/>
    <w:uiPriority w:val="0"/>
    <w:pPr>
      <w:widowControl w:val="0"/>
      <w:jc w:val="both"/>
    </w:pPr>
    <w:rPr>
      <w:rFonts w:ascii="Calibri" w:hAnsi="Calibri" w:eastAsia="宋体" w:cs="Times New Roman"/>
      <w:kern w:val="2"/>
      <w:sz w:val="21"/>
      <w:szCs w:val="22"/>
      <w:lang w:val="en-US" w:eastAsia="zh-CN" w:bidi="ar-SA"/>
    </w:rPr>
  </w:style>
  <w:style w:type="paragraph" w:customStyle="1" w:styleId="163">
    <w:name w:val="正文_18"/>
    <w:qFormat/>
    <w:uiPriority w:val="0"/>
    <w:pPr>
      <w:widowControl w:val="0"/>
      <w:jc w:val="both"/>
    </w:pPr>
    <w:rPr>
      <w:rFonts w:ascii="Calibri" w:hAnsi="Calibri" w:eastAsia="宋体" w:cs="Times New Roman"/>
      <w:kern w:val="2"/>
      <w:sz w:val="21"/>
      <w:szCs w:val="22"/>
      <w:lang w:val="en-US" w:eastAsia="zh-CN" w:bidi="ar-SA"/>
    </w:rPr>
  </w:style>
  <w:style w:type="paragraph" w:customStyle="1" w:styleId="164">
    <w:name w:val="Normal_32"/>
    <w:qFormat/>
    <w:uiPriority w:val="0"/>
    <w:rPr>
      <w:rFonts w:ascii="Times New Roman" w:hAnsi="Times New Roman" w:eastAsia="Times New Roman" w:cs="Times New Roman"/>
      <w:sz w:val="24"/>
      <w:szCs w:val="24"/>
      <w:lang w:val="en-US" w:eastAsia="zh-CN" w:bidi="ar-SA"/>
    </w:rPr>
  </w:style>
  <w:style w:type="paragraph" w:customStyle="1" w:styleId="165">
    <w:name w:val="正文_19"/>
    <w:qFormat/>
    <w:uiPriority w:val="0"/>
    <w:pPr>
      <w:widowControl w:val="0"/>
      <w:jc w:val="both"/>
    </w:pPr>
    <w:rPr>
      <w:rFonts w:ascii="Calibri" w:hAnsi="Calibri" w:eastAsia="宋体" w:cs="Times New Roman"/>
      <w:kern w:val="2"/>
      <w:sz w:val="21"/>
      <w:szCs w:val="22"/>
      <w:lang w:val="en-US" w:eastAsia="zh-CN" w:bidi="ar-SA"/>
    </w:rPr>
  </w:style>
  <w:style w:type="paragraph" w:customStyle="1" w:styleId="166">
    <w:name w:val="Normal_34"/>
    <w:qFormat/>
    <w:uiPriority w:val="0"/>
    <w:pPr>
      <w:widowControl w:val="0"/>
      <w:jc w:val="both"/>
    </w:pPr>
    <w:rPr>
      <w:rFonts w:ascii="等线" w:hAnsi="等线" w:eastAsia="等线" w:cs="Times New Roman"/>
      <w:lang w:val="en-US" w:eastAsia="zh-CN" w:bidi="ar-SA"/>
    </w:rPr>
  </w:style>
  <w:style w:type="character" w:customStyle="1" w:styleId="167">
    <w:name w:val="mini-tree-nodetext3"/>
    <w:basedOn w:val="45"/>
    <w:qFormat/>
    <w:uiPriority w:val="0"/>
  </w:style>
  <w:style w:type="character" w:customStyle="1" w:styleId="168">
    <w:name w:val="mini-tree-nodetext2"/>
    <w:basedOn w:val="45"/>
    <w:qFormat/>
    <w:uiPriority w:val="0"/>
  </w:style>
  <w:style w:type="paragraph" w:customStyle="1" w:styleId="169">
    <w:name w:val="Normal_1"/>
    <w:qFormat/>
    <w:uiPriority w:val="0"/>
    <w:rPr>
      <w:rFonts w:ascii="Times New Roman" w:hAnsi="Times New Roman" w:eastAsia="Times New Roman" w:cs="Times New Roman"/>
      <w:sz w:val="24"/>
      <w:szCs w:val="24"/>
      <w:lang w:val="en-US" w:eastAsia="zh-CN" w:bidi="ar-SA"/>
    </w:rPr>
  </w:style>
  <w:style w:type="character" w:customStyle="1" w:styleId="170">
    <w:name w:val="font11"/>
    <w:basedOn w:val="45"/>
    <w:qFormat/>
    <w:uiPriority w:val="0"/>
    <w:rPr>
      <w:rFonts w:hint="eastAsia" w:ascii="宋体" w:hAnsi="宋体" w:eastAsia="宋体" w:cs="宋体"/>
      <w:color w:val="000000"/>
      <w:sz w:val="20"/>
      <w:szCs w:val="20"/>
      <w:u w:val="none"/>
    </w:rPr>
  </w:style>
  <w:style w:type="character" w:customStyle="1" w:styleId="171">
    <w:name w:val="font31"/>
    <w:basedOn w:val="45"/>
    <w:qFormat/>
    <w:uiPriority w:val="0"/>
    <w:rPr>
      <w:rFonts w:hint="eastAsia" w:ascii="宋体" w:hAnsi="宋体" w:eastAsia="宋体" w:cs="宋体"/>
      <w:b/>
      <w:bCs/>
      <w:color w:val="000000"/>
      <w:sz w:val="20"/>
      <w:szCs w:val="20"/>
      <w:u w:val="none"/>
    </w:rPr>
  </w:style>
  <w:style w:type="character" w:customStyle="1" w:styleId="172">
    <w:name w:val="font41"/>
    <w:basedOn w:val="45"/>
    <w:qFormat/>
    <w:uiPriority w:val="0"/>
    <w:rPr>
      <w:rFonts w:hint="eastAsia" w:ascii="宋体" w:hAnsi="宋体" w:eastAsia="宋体" w:cs="宋体"/>
      <w:b/>
      <w:bCs/>
      <w:color w:val="000000"/>
      <w:sz w:val="16"/>
      <w:szCs w:val="16"/>
      <w:u w:val="none"/>
    </w:rPr>
  </w:style>
  <w:style w:type="paragraph" w:customStyle="1" w:styleId="173">
    <w:name w:val="Table Text"/>
    <w:basedOn w:val="1"/>
    <w:semiHidden/>
    <w:qFormat/>
    <w:uiPriority w:val="0"/>
    <w:rPr>
      <w:rFonts w:ascii="宋体" w:hAnsi="宋体" w:cs="宋体"/>
      <w:sz w:val="18"/>
      <w:szCs w:val="18"/>
      <w:lang w:eastAsia="en-US"/>
    </w:rPr>
  </w:style>
  <w:style w:type="table" w:customStyle="1" w:styleId="174">
    <w:name w:val="Table Normal"/>
    <w:unhideWhenUsed/>
    <w:qFormat/>
    <w:uiPriority w:val="0"/>
    <w:tblPr>
      <w:tblCellMar>
        <w:top w:w="0" w:type="dxa"/>
        <w:left w:w="0" w:type="dxa"/>
        <w:bottom w:w="0" w:type="dxa"/>
        <w:right w:w="0" w:type="dxa"/>
      </w:tblCellMar>
    </w:tblPr>
  </w:style>
  <w:style w:type="character" w:customStyle="1" w:styleId="175">
    <w:name w:val="font91"/>
    <w:basedOn w:val="45"/>
    <w:qFormat/>
    <w:uiPriority w:val="0"/>
    <w:rPr>
      <w:rFonts w:hint="eastAsia" w:ascii="宋体" w:hAnsi="宋体" w:eastAsia="宋体" w:cs="宋体"/>
      <w:color w:val="000000"/>
      <w:sz w:val="20"/>
      <w:szCs w:val="20"/>
      <w:u w:val="none"/>
    </w:rPr>
  </w:style>
  <w:style w:type="character" w:customStyle="1" w:styleId="176">
    <w:name w:val="font181"/>
    <w:basedOn w:val="45"/>
    <w:qFormat/>
    <w:uiPriority w:val="0"/>
    <w:rPr>
      <w:rFonts w:ascii="Arial" w:hAnsi="Arial" w:cs="Arial"/>
      <w:color w:val="000000"/>
      <w:sz w:val="20"/>
      <w:szCs w:val="20"/>
      <w:u w:val="none"/>
    </w:rPr>
  </w:style>
  <w:style w:type="character" w:customStyle="1" w:styleId="177">
    <w:name w:val="font81"/>
    <w:basedOn w:val="45"/>
    <w:qFormat/>
    <w:uiPriority w:val="0"/>
    <w:rPr>
      <w:rFonts w:hint="default" w:ascii="Times New Roman" w:hAnsi="Times New Roman" w:cs="Times New Roman"/>
      <w:color w:val="000000"/>
      <w:sz w:val="20"/>
      <w:szCs w:val="20"/>
      <w:u w:val="none"/>
    </w:rPr>
  </w:style>
  <w:style w:type="character" w:customStyle="1" w:styleId="178">
    <w:name w:val="font191"/>
    <w:basedOn w:val="45"/>
    <w:qFormat/>
    <w:uiPriority w:val="0"/>
    <w:rPr>
      <w:rFonts w:hint="eastAsia" w:ascii="宋体" w:hAnsi="宋体" w:eastAsia="宋体" w:cs="宋体"/>
      <w:b/>
      <w:bCs/>
      <w:color w:val="000000"/>
      <w:sz w:val="20"/>
      <w:szCs w:val="20"/>
      <w:u w:val="none"/>
    </w:rPr>
  </w:style>
  <w:style w:type="character" w:customStyle="1" w:styleId="179">
    <w:name w:val="font141"/>
    <w:basedOn w:val="45"/>
    <w:qFormat/>
    <w:uiPriority w:val="0"/>
    <w:rPr>
      <w:rFonts w:ascii="FZSSK--GBK1-0" w:hAnsi="FZSSK--GBK1-0" w:eastAsia="FZSSK--GBK1-0" w:cs="FZSSK--GBK1-0"/>
      <w:color w:val="000000"/>
      <w:sz w:val="16"/>
      <w:szCs w:val="16"/>
      <w:u w:val="none"/>
    </w:rPr>
  </w:style>
  <w:style w:type="character" w:customStyle="1" w:styleId="180">
    <w:name w:val="font51"/>
    <w:basedOn w:val="45"/>
    <w:qFormat/>
    <w:uiPriority w:val="0"/>
    <w:rPr>
      <w:rFonts w:hint="eastAsia" w:ascii="宋体" w:hAnsi="宋体" w:eastAsia="宋体" w:cs="宋体"/>
      <w:color w:val="000000"/>
      <w:sz w:val="16"/>
      <w:szCs w:val="16"/>
      <w:u w:val="none"/>
    </w:rPr>
  </w:style>
  <w:style w:type="character" w:customStyle="1" w:styleId="181">
    <w:name w:val="font151"/>
    <w:basedOn w:val="45"/>
    <w:qFormat/>
    <w:uiPriority w:val="0"/>
    <w:rPr>
      <w:rFonts w:hint="default" w:ascii="Times New Roman" w:hAnsi="Times New Roman" w:cs="Times New Roman"/>
      <w:color w:val="000000"/>
      <w:sz w:val="16"/>
      <w:szCs w:val="16"/>
      <w:u w:val="none"/>
    </w:rPr>
  </w:style>
  <w:style w:type="character" w:customStyle="1" w:styleId="182">
    <w:name w:val="font71"/>
    <w:basedOn w:val="45"/>
    <w:qFormat/>
    <w:uiPriority w:val="0"/>
    <w:rPr>
      <w:rFonts w:hint="eastAsia" w:ascii="等线 Light" w:hAnsi="等线 Light" w:eastAsia="等线 Light" w:cs="等线 Light"/>
      <w:color w:val="000000"/>
      <w:sz w:val="20"/>
      <w:szCs w:val="20"/>
      <w:u w:val="none"/>
      <w:vertAlign w:val="superscript"/>
    </w:rPr>
  </w:style>
  <w:style w:type="table" w:customStyle="1" w:styleId="183">
    <w:name w:val="Plain Table 1"/>
    <w:basedOn w:val="43"/>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paragraph" w:customStyle="1" w:styleId="184">
    <w:name w:val="UserStyle_0"/>
    <w:basedOn w:val="145"/>
    <w:qFormat/>
    <w:uiPriority w:val="0"/>
    <w:pPr>
      <w:widowControl/>
      <w:spacing w:line="420" w:lineRule="atLeast"/>
      <w:jc w:val="left"/>
      <w:textAlignment w:val="baseline"/>
    </w:pPr>
    <w:rPr>
      <w:rFonts w:ascii="Arial" w:hAnsi="Arial"/>
      <w:kern w:val="0"/>
      <w:sz w:val="19"/>
      <w:szCs w:val="24"/>
      <w:lang w:val="en-US" w:eastAsia="en-US" w:bidi="ar-SA"/>
    </w:rPr>
  </w:style>
  <w:style w:type="character" w:customStyle="1" w:styleId="185">
    <w:name w:val="font61"/>
    <w:basedOn w:val="45"/>
    <w:qFormat/>
    <w:uiPriority w:val="0"/>
    <w:rPr>
      <w:rFonts w:ascii="Calibri" w:hAnsi="Calibri" w:cs="Calibri"/>
      <w:color w:val="000000"/>
      <w:sz w:val="22"/>
      <w:szCs w:val="22"/>
      <w:u w:val="none"/>
    </w:rPr>
  </w:style>
  <w:style w:type="character" w:customStyle="1" w:styleId="186">
    <w:name w:val="mini-outputtext1"/>
    <w:basedOn w:val="45"/>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theme" Target="theme/theme1.xml"/><Relationship Id="rId13" Type="http://schemas.openxmlformats.org/officeDocument/2006/relationships/footer" Target="foot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9" Type="http://schemas.openxmlformats.org/officeDocument/2006/relationships/font" Target="fonts/font19.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user</Company>
  <Pages>257</Pages>
  <Words>7321</Words>
  <Characters>8055</Characters>
  <Lines>366</Lines>
  <Paragraphs>103</Paragraphs>
  <TotalTime>8</TotalTime>
  <ScaleCrop>false</ScaleCrop>
  <LinksUpToDate>false</LinksUpToDate>
  <CharactersWithSpaces>8253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2022-06-24T01:17:00Z</dcterms:created>
  <dc:creator>admin</dc:creator>
  <cp:lastModifiedBy>仲坚</cp:lastModifiedBy>
  <cp:lastPrinted>2026-07-10T03:47:00Z</cp:lastPrinted>
  <dcterms:modified xsi:type="dcterms:W3CDTF">2026-07-10T07:20:11Z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7B35ACEBB32B42649DA69CD935019B30_13</vt:lpwstr>
  </property>
  <property fmtid="{D5CDD505-2E9C-101B-9397-08002B2CF9AE}" pid="4" name="KSOTemplateDocerSaveRecord">
    <vt:lpwstr>eyJoZGlkIjoiZGE2MTQxMzVhMDI1YjFjN2M0OWNhMjgyNDRkYzk3ZmUiLCJ1c2VySWQiOiIzOTU0NjIzOTUifQ==</vt:lpwstr>
  </property>
</Properties>
</file>