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D0CEC9D">
      <w:pPr>
        <w:pStyle w:val="25"/>
        <w:adjustRightInd w:val="0"/>
        <w:snapToGrid w:val="0"/>
        <w:spacing w:line="240" w:lineRule="atLeast"/>
        <w:rPr>
          <w:rFonts w:hAnsi="宋体"/>
          <w:color w:val="000000"/>
          <w:sz w:val="44"/>
        </w:rPr>
      </w:pPr>
    </w:p>
    <w:p w14:paraId="67313BA4">
      <w:pPr>
        <w:pStyle w:val="25"/>
        <w:adjustRightInd w:val="0"/>
        <w:snapToGrid w:val="0"/>
        <w:spacing w:line="240" w:lineRule="atLeast"/>
        <w:rPr>
          <w:rFonts w:hAnsi="宋体"/>
          <w:color w:val="000000"/>
          <w:sz w:val="44"/>
        </w:rPr>
      </w:pPr>
    </w:p>
    <w:p w14:paraId="037CADEC">
      <w:pPr>
        <w:pStyle w:val="25"/>
        <w:adjustRightInd w:val="0"/>
        <w:snapToGrid w:val="0"/>
        <w:spacing w:line="240" w:lineRule="atLeast"/>
        <w:rPr>
          <w:rFonts w:hAnsi="宋体"/>
          <w:color w:val="000000"/>
          <w:sz w:val="44"/>
        </w:rPr>
      </w:pPr>
    </w:p>
    <w:p w14:paraId="58543500">
      <w:pPr>
        <w:pStyle w:val="25"/>
        <w:adjustRightInd w:val="0"/>
        <w:snapToGrid w:val="0"/>
        <w:spacing w:line="240" w:lineRule="atLeast"/>
        <w:jc w:val="center"/>
        <w:rPr>
          <w:rFonts w:ascii="华文中宋" w:hAnsi="华文中宋" w:eastAsia="华文中宋"/>
          <w:b/>
          <w:bCs/>
          <w:color w:val="000000"/>
          <w:sz w:val="96"/>
          <w:szCs w:val="96"/>
        </w:rPr>
      </w:pPr>
      <w:r>
        <w:rPr>
          <w:rFonts w:hint="eastAsia" w:ascii="华文中宋" w:hAnsi="华文中宋" w:eastAsia="华文中宋"/>
          <w:b/>
          <w:bCs/>
          <w:color w:val="000000"/>
          <w:sz w:val="96"/>
          <w:szCs w:val="96"/>
        </w:rPr>
        <w:t>政府采购</w:t>
      </w:r>
    </w:p>
    <w:p w14:paraId="1AEAE559">
      <w:pPr>
        <w:pStyle w:val="25"/>
        <w:adjustRightInd w:val="0"/>
        <w:snapToGrid w:val="0"/>
        <w:spacing w:line="240" w:lineRule="atLeast"/>
        <w:jc w:val="center"/>
        <w:rPr>
          <w:rFonts w:ascii="华文中宋" w:hAnsi="华文中宋" w:eastAsia="华文中宋"/>
          <w:b/>
          <w:bCs/>
          <w:color w:val="000000"/>
          <w:sz w:val="84"/>
          <w:szCs w:val="84"/>
        </w:rPr>
      </w:pPr>
      <w:r>
        <w:rPr>
          <w:rFonts w:hint="eastAsia" w:ascii="华文中宋" w:hAnsi="华文中宋" w:eastAsia="华文中宋"/>
          <w:b/>
          <w:bCs/>
          <w:color w:val="000000"/>
          <w:sz w:val="96"/>
          <w:szCs w:val="96"/>
        </w:rPr>
        <w:t>服务项目招标文件</w:t>
      </w:r>
    </w:p>
    <w:p w14:paraId="588F0381">
      <w:pPr>
        <w:pStyle w:val="25"/>
        <w:adjustRightInd w:val="0"/>
        <w:snapToGrid w:val="0"/>
        <w:spacing w:line="240" w:lineRule="atLeast"/>
        <w:jc w:val="center"/>
        <w:rPr>
          <w:rFonts w:ascii="华文中宋" w:hAnsi="华文中宋" w:eastAsia="华文中宋"/>
          <w:b/>
          <w:bCs/>
          <w:color w:val="000000"/>
          <w:sz w:val="44"/>
          <w:szCs w:val="44"/>
        </w:rPr>
      </w:pPr>
    </w:p>
    <w:p w14:paraId="69A8FB66">
      <w:pPr>
        <w:pStyle w:val="25"/>
        <w:adjustRightInd w:val="0"/>
        <w:snapToGrid w:val="0"/>
        <w:spacing w:line="240" w:lineRule="atLeast"/>
        <w:jc w:val="center"/>
        <w:rPr>
          <w:rFonts w:ascii="华文中宋" w:hAnsi="华文中宋" w:eastAsia="华文中宋"/>
          <w:b/>
          <w:bCs/>
          <w:color w:val="000000"/>
          <w:sz w:val="44"/>
          <w:szCs w:val="44"/>
        </w:rPr>
      </w:pPr>
    </w:p>
    <w:p w14:paraId="4F283594">
      <w:pPr>
        <w:pStyle w:val="25"/>
        <w:adjustRightInd w:val="0"/>
        <w:snapToGrid w:val="0"/>
        <w:spacing w:line="240" w:lineRule="atLeast"/>
        <w:jc w:val="center"/>
        <w:rPr>
          <w:rFonts w:ascii="华文中宋" w:hAnsi="华文中宋" w:eastAsia="华文中宋"/>
          <w:b/>
          <w:bCs/>
          <w:color w:val="000000"/>
          <w:sz w:val="44"/>
          <w:szCs w:val="44"/>
        </w:rPr>
      </w:pPr>
    </w:p>
    <w:p w14:paraId="307C287F">
      <w:pPr>
        <w:pStyle w:val="25"/>
        <w:adjustRightInd w:val="0"/>
        <w:snapToGrid w:val="0"/>
        <w:spacing w:line="240" w:lineRule="atLeast"/>
        <w:jc w:val="center"/>
        <w:rPr>
          <w:rFonts w:ascii="华文中宋" w:hAnsi="华文中宋" w:eastAsia="华文中宋"/>
          <w:b/>
          <w:bCs/>
          <w:color w:val="000000"/>
          <w:sz w:val="44"/>
          <w:szCs w:val="44"/>
        </w:rPr>
      </w:pPr>
    </w:p>
    <w:p w14:paraId="0F0A586F">
      <w:pPr>
        <w:pStyle w:val="25"/>
        <w:adjustRightInd w:val="0"/>
        <w:snapToGrid w:val="0"/>
        <w:spacing w:line="240" w:lineRule="atLeast"/>
        <w:rPr>
          <w:rFonts w:ascii="华文中宋" w:hAnsi="华文中宋" w:eastAsia="华文中宋"/>
          <w:b/>
          <w:bCs/>
          <w:color w:val="000000"/>
          <w:sz w:val="44"/>
          <w:szCs w:val="44"/>
        </w:rPr>
      </w:pPr>
    </w:p>
    <w:p w14:paraId="315CC64A">
      <w:pPr>
        <w:pStyle w:val="25"/>
        <w:adjustRightInd w:val="0"/>
        <w:snapToGrid w:val="0"/>
        <w:spacing w:line="240" w:lineRule="atLeast"/>
        <w:jc w:val="center"/>
        <w:rPr>
          <w:rFonts w:ascii="华文中宋" w:hAnsi="华文中宋" w:eastAsia="华文中宋"/>
          <w:bCs/>
          <w:color w:val="000000"/>
        </w:rPr>
      </w:pPr>
    </w:p>
    <w:p w14:paraId="290FF73D">
      <w:pPr>
        <w:adjustRightInd w:val="0"/>
        <w:snapToGrid w:val="0"/>
        <w:spacing w:line="360" w:lineRule="auto"/>
        <w:ind w:firstLine="643" w:firstLineChars="200"/>
        <w:rPr>
          <w:rFonts w:hint="eastAsia" w:ascii="宋体" w:hAnsi="宋体" w:eastAsia="宋体" w:cs="宋体"/>
          <w:b/>
          <w:color w:val="000000"/>
          <w:sz w:val="32"/>
          <w:szCs w:val="32"/>
          <w:u w:val="thick"/>
          <w:lang w:eastAsia="zh-CN"/>
        </w:rPr>
      </w:pPr>
      <w:r>
        <w:rPr>
          <w:rFonts w:hint="eastAsia" w:ascii="宋体" w:hAnsi="宋体" w:eastAsia="宋体" w:cs="宋体"/>
          <w:b/>
          <w:color w:val="000000"/>
          <w:sz w:val="32"/>
          <w:szCs w:val="32"/>
        </w:rPr>
        <w:t>采购项目名称：</w:t>
      </w:r>
      <w:r>
        <w:rPr>
          <w:rFonts w:hint="eastAsia" w:ascii="宋体" w:hAnsi="宋体" w:cs="宋体"/>
          <w:b/>
          <w:color w:val="000000"/>
          <w:sz w:val="32"/>
          <w:szCs w:val="32"/>
          <w:u w:val="single"/>
          <w:lang w:eastAsia="zh-CN"/>
        </w:rPr>
        <w:t>双峰县行政中心机关食堂经营项目</w:t>
      </w:r>
    </w:p>
    <w:p w14:paraId="0357790E">
      <w:pPr>
        <w:adjustRightInd w:val="0"/>
        <w:snapToGrid w:val="0"/>
        <w:spacing w:line="360" w:lineRule="auto"/>
        <w:ind w:firstLine="643" w:firstLineChars="200"/>
        <w:rPr>
          <w:rFonts w:hint="default" w:ascii="宋体" w:hAnsi="宋体" w:eastAsia="宋体" w:cs="宋体"/>
          <w:b/>
          <w:color w:val="auto"/>
          <w:sz w:val="32"/>
          <w:szCs w:val="32"/>
          <w:highlight w:val="yellow"/>
          <w:u w:val="single"/>
          <w:lang w:val="en-US" w:eastAsia="zh-CN"/>
        </w:rPr>
      </w:pPr>
      <w:r>
        <w:rPr>
          <w:rFonts w:hint="eastAsia" w:ascii="宋体" w:hAnsi="宋体" w:eastAsia="宋体" w:cs="宋体"/>
          <w:b/>
          <w:color w:val="000000"/>
          <w:sz w:val="32"/>
          <w:szCs w:val="32"/>
        </w:rPr>
        <w:t>政府采购编号：</w:t>
      </w:r>
      <w:r>
        <w:rPr>
          <w:rFonts w:hint="eastAsia" w:ascii="宋体" w:hAnsi="宋体" w:cs="宋体"/>
          <w:b/>
          <w:color w:val="auto"/>
          <w:sz w:val="32"/>
          <w:szCs w:val="32"/>
          <w:highlight w:val="none"/>
          <w:u w:val="single"/>
          <w:lang w:eastAsia="zh-CN"/>
        </w:rPr>
        <w:t>双峰财采计[2026]0029号</w:t>
      </w:r>
    </w:p>
    <w:p w14:paraId="7D9DF828">
      <w:pPr>
        <w:adjustRightInd w:val="0"/>
        <w:snapToGrid w:val="0"/>
        <w:spacing w:line="360" w:lineRule="auto"/>
        <w:ind w:firstLine="643" w:firstLineChars="200"/>
        <w:rPr>
          <w:rFonts w:hint="eastAsia" w:ascii="宋体" w:hAnsi="宋体" w:eastAsia="宋体" w:cs="宋体"/>
          <w:b/>
          <w:sz w:val="32"/>
          <w:szCs w:val="32"/>
        </w:rPr>
      </w:pPr>
      <w:r>
        <w:rPr>
          <w:rFonts w:hint="eastAsia" w:ascii="宋体" w:hAnsi="宋体" w:cs="宋体"/>
          <w:b/>
          <w:sz w:val="32"/>
          <w:szCs w:val="32"/>
          <w:lang w:eastAsia="zh-CN"/>
        </w:rPr>
        <w:t>采购</w:t>
      </w:r>
      <w:r>
        <w:rPr>
          <w:rFonts w:hint="eastAsia" w:ascii="宋体" w:hAnsi="宋体" w:eastAsia="宋体" w:cs="宋体"/>
          <w:b/>
          <w:sz w:val="32"/>
          <w:szCs w:val="32"/>
        </w:rPr>
        <w:t>代理编号：</w:t>
      </w:r>
      <w:r>
        <w:rPr>
          <w:rFonts w:hint="eastAsia" w:ascii="宋体" w:hAnsi="宋体" w:cs="宋体"/>
          <w:b/>
          <w:sz w:val="32"/>
          <w:szCs w:val="32"/>
          <w:u w:val="single"/>
          <w:lang w:eastAsia="zh-CN"/>
        </w:rPr>
        <w:t>HZY-ZC-26409</w:t>
      </w:r>
    </w:p>
    <w:p w14:paraId="4B2F7D75">
      <w:pPr>
        <w:adjustRightInd w:val="0"/>
        <w:snapToGrid w:val="0"/>
        <w:spacing w:line="360" w:lineRule="auto"/>
        <w:ind w:firstLine="643" w:firstLineChars="200"/>
        <w:rPr>
          <w:rFonts w:hint="eastAsia" w:ascii="宋体" w:hAnsi="宋体" w:eastAsia="宋体" w:cs="宋体"/>
          <w:b/>
          <w:color w:val="000000"/>
          <w:sz w:val="32"/>
          <w:szCs w:val="32"/>
          <w:u w:val="single"/>
        </w:rPr>
      </w:pPr>
      <w:r>
        <w:rPr>
          <w:rFonts w:hint="eastAsia" w:ascii="宋体" w:hAnsi="宋体" w:eastAsia="宋体" w:cs="宋体"/>
          <w:b/>
          <w:color w:val="000000"/>
          <w:sz w:val="32"/>
          <w:szCs w:val="32"/>
        </w:rPr>
        <w:t>采   购   人：</w:t>
      </w:r>
      <w:r>
        <w:rPr>
          <w:rFonts w:hint="eastAsia" w:ascii="宋体" w:hAnsi="宋体" w:cs="宋体"/>
          <w:b/>
          <w:sz w:val="32"/>
          <w:szCs w:val="32"/>
          <w:u w:val="single"/>
          <w:lang w:eastAsia="zh-CN"/>
        </w:rPr>
        <w:t>双峰县机关事务服务中心</w:t>
      </w:r>
    </w:p>
    <w:p w14:paraId="1AA588BE">
      <w:pPr>
        <w:adjustRightInd w:val="0"/>
        <w:snapToGrid w:val="0"/>
        <w:spacing w:line="360" w:lineRule="auto"/>
        <w:ind w:firstLine="643" w:firstLineChars="200"/>
        <w:rPr>
          <w:rFonts w:hint="eastAsia" w:hAnsi="宋体" w:eastAsia="宋体"/>
          <w:b/>
          <w:color w:val="000000"/>
          <w:sz w:val="32"/>
          <w:szCs w:val="32"/>
          <w:u w:val="single"/>
          <w:lang w:eastAsia="zh-CN"/>
        </w:rPr>
      </w:pPr>
      <w:r>
        <w:rPr>
          <w:rFonts w:hint="eastAsia" w:ascii="宋体" w:hAnsi="宋体" w:eastAsia="宋体" w:cs="宋体"/>
          <w:b/>
          <w:color w:val="000000"/>
          <w:sz w:val="32"/>
          <w:szCs w:val="21"/>
          <w:lang w:eastAsia="zh-CN"/>
        </w:rPr>
        <w:t>采购代理机构</w:t>
      </w:r>
      <w:r>
        <w:rPr>
          <w:rFonts w:hint="eastAsia" w:ascii="宋体" w:hAnsi="宋体" w:eastAsia="宋体" w:cs="宋体"/>
          <w:b/>
          <w:color w:val="000000"/>
          <w:sz w:val="32"/>
          <w:szCs w:val="21"/>
        </w:rPr>
        <w:t>：</w:t>
      </w:r>
      <w:r>
        <w:rPr>
          <w:rFonts w:hint="eastAsia" w:ascii="宋体" w:hAnsi="宋体" w:cs="宋体"/>
          <w:b/>
          <w:color w:val="000000"/>
          <w:sz w:val="32"/>
          <w:szCs w:val="32"/>
          <w:u w:val="single"/>
          <w:lang w:eastAsia="zh-CN"/>
        </w:rPr>
        <w:t>湖南华中源工程项目管理有限公司</w:t>
      </w:r>
    </w:p>
    <w:p w14:paraId="5A312882">
      <w:pPr>
        <w:pStyle w:val="25"/>
        <w:adjustRightInd w:val="0"/>
        <w:snapToGrid w:val="0"/>
        <w:spacing w:line="360" w:lineRule="auto"/>
        <w:jc w:val="center"/>
        <w:rPr>
          <w:rFonts w:hAnsi="宋体"/>
          <w:bCs/>
          <w:color w:val="000000"/>
          <w:sz w:val="32"/>
          <w:szCs w:val="32"/>
        </w:rPr>
      </w:pPr>
    </w:p>
    <w:p w14:paraId="5FDC7F61">
      <w:pPr>
        <w:pStyle w:val="25"/>
        <w:adjustRightInd w:val="0"/>
        <w:snapToGrid w:val="0"/>
        <w:spacing w:line="240" w:lineRule="atLeast"/>
        <w:jc w:val="both"/>
        <w:rPr>
          <w:rFonts w:hAnsi="宋体"/>
          <w:bCs/>
          <w:color w:val="000000"/>
          <w:sz w:val="32"/>
          <w:szCs w:val="32"/>
        </w:rPr>
      </w:pPr>
    </w:p>
    <w:p w14:paraId="4120A31E">
      <w:pPr>
        <w:pStyle w:val="25"/>
        <w:adjustRightInd w:val="0"/>
        <w:snapToGrid w:val="0"/>
        <w:spacing w:line="240" w:lineRule="atLeast"/>
        <w:rPr>
          <w:rFonts w:hAnsi="宋体"/>
          <w:bCs/>
          <w:color w:val="000000"/>
          <w:sz w:val="32"/>
          <w:szCs w:val="32"/>
        </w:rPr>
      </w:pPr>
    </w:p>
    <w:p w14:paraId="2F2D2C50">
      <w:pPr>
        <w:pStyle w:val="25"/>
        <w:adjustRightInd w:val="0"/>
        <w:snapToGrid w:val="0"/>
        <w:spacing w:line="240" w:lineRule="atLeast"/>
        <w:jc w:val="center"/>
        <w:rPr>
          <w:rFonts w:hAnsi="宋体"/>
          <w:b/>
          <w:bCs/>
          <w:color w:val="000000"/>
          <w:sz w:val="32"/>
          <w:szCs w:val="32"/>
        </w:rPr>
      </w:pPr>
      <w:r>
        <w:rPr>
          <w:rFonts w:hint="eastAsia" w:hAnsi="宋体"/>
          <w:b/>
          <w:color w:val="000000"/>
          <w:sz w:val="36"/>
          <w:szCs w:val="22"/>
        </w:rPr>
        <w:t>202</w:t>
      </w:r>
      <w:r>
        <w:rPr>
          <w:rFonts w:hint="eastAsia" w:hAnsi="宋体"/>
          <w:b/>
          <w:color w:val="000000"/>
          <w:sz w:val="36"/>
          <w:szCs w:val="22"/>
          <w:lang w:val="en-US" w:eastAsia="zh-CN"/>
        </w:rPr>
        <w:t>6</w:t>
      </w:r>
      <w:r>
        <w:rPr>
          <w:rFonts w:hint="eastAsia" w:hAnsi="宋体"/>
          <w:b/>
          <w:color w:val="000000"/>
          <w:sz w:val="36"/>
          <w:szCs w:val="22"/>
        </w:rPr>
        <w:t>年</w:t>
      </w:r>
      <w:r>
        <w:rPr>
          <w:rFonts w:hint="eastAsia" w:hAnsi="宋体"/>
          <w:b/>
          <w:color w:val="000000"/>
          <w:sz w:val="36"/>
          <w:szCs w:val="22"/>
          <w:lang w:val="en-US" w:eastAsia="zh-CN"/>
        </w:rPr>
        <w:t>06</w:t>
      </w:r>
      <w:r>
        <w:rPr>
          <w:rFonts w:hint="eastAsia" w:hAnsi="宋体"/>
          <w:b/>
          <w:color w:val="000000"/>
          <w:sz w:val="36"/>
          <w:szCs w:val="22"/>
        </w:rPr>
        <w:t>月</w:t>
      </w:r>
    </w:p>
    <w:p w14:paraId="2F2B8370">
      <w:pPr>
        <w:pStyle w:val="25"/>
        <w:adjustRightInd w:val="0"/>
        <w:snapToGrid w:val="0"/>
        <w:spacing w:line="240" w:lineRule="atLeast"/>
        <w:jc w:val="center"/>
        <w:rPr>
          <w:rFonts w:hAnsi="宋体"/>
          <w:b/>
          <w:bCs/>
          <w:color w:val="000000"/>
          <w:sz w:val="32"/>
          <w:szCs w:val="32"/>
        </w:rPr>
        <w:sectPr>
          <w:headerReference r:id="rId5" w:type="default"/>
          <w:pgSz w:w="11906" w:h="16838"/>
          <w:pgMar w:top="1440" w:right="1588" w:bottom="1440" w:left="1588" w:header="851" w:footer="992" w:gutter="0"/>
          <w:pgNumType w:start="1"/>
          <w:cols w:space="720" w:num="1"/>
          <w:docGrid w:type="lines" w:linePitch="312" w:charSpace="0"/>
        </w:sectPr>
      </w:pPr>
    </w:p>
    <w:p w14:paraId="54495869">
      <w:pPr>
        <w:ind w:firstLine="4088" w:firstLineChars="600"/>
        <w:rPr>
          <w:rFonts w:ascii="华文中宋" w:hAnsi="华文中宋" w:eastAsia="华文中宋"/>
          <w:b/>
          <w:color w:val="000000"/>
          <w:spacing w:val="160"/>
          <w:sz w:val="36"/>
          <w:szCs w:val="36"/>
        </w:rPr>
      </w:pPr>
      <w:r>
        <w:rPr>
          <w:rFonts w:hint="eastAsia" w:ascii="华文中宋" w:hAnsi="华文中宋" w:eastAsia="华文中宋"/>
          <w:b/>
          <w:color w:val="000000"/>
          <w:spacing w:val="160"/>
          <w:sz w:val="36"/>
          <w:szCs w:val="36"/>
        </w:rPr>
        <w:t>目录</w:t>
      </w:r>
    </w:p>
    <w:p w14:paraId="55EDAD31">
      <w:pPr>
        <w:pStyle w:val="31"/>
        <w:tabs>
          <w:tab w:val="right" w:leader="dot" w:pos="8504"/>
        </w:tabs>
      </w:pPr>
      <w:r>
        <w:rPr>
          <w:rStyle w:val="48"/>
          <w:rFonts w:hint="eastAsia"/>
          <w:b/>
        </w:rPr>
        <w:fldChar w:fldCharType="begin"/>
      </w:r>
      <w:r>
        <w:rPr>
          <w:rStyle w:val="48"/>
          <w:rFonts w:hint="eastAsia" w:asciiTheme="minorEastAsia" w:hAnsiTheme="minorEastAsia" w:eastAsiaTheme="minorEastAsia" w:cstheme="minorEastAsia"/>
          <w:b/>
          <w:color w:val="000000"/>
          <w:sz w:val="21"/>
        </w:rPr>
        <w:instrText xml:space="preserve"> TOC \o "1-5" \h \z \u </w:instrText>
      </w:r>
      <w:r>
        <w:rPr>
          <w:rStyle w:val="48"/>
          <w:rFonts w:hint="eastAsia"/>
          <w:b/>
        </w:rPr>
        <w:fldChar w:fldCharType="separate"/>
      </w:r>
      <w:r>
        <w:rPr>
          <w:rFonts w:hint="eastAsia"/>
        </w:rPr>
        <w:fldChar w:fldCharType="begin"/>
      </w:r>
      <w:r>
        <w:rPr>
          <w:rFonts w:hint="eastAsia"/>
        </w:rPr>
        <w:instrText xml:space="preserve"> HYPERLINK \l _Toc4718 </w:instrText>
      </w:r>
      <w:r>
        <w:rPr>
          <w:rFonts w:hint="eastAsia"/>
        </w:rPr>
        <w:fldChar w:fldCharType="separate"/>
      </w:r>
      <w:r>
        <w:rPr>
          <w:rFonts w:hint="eastAsia" w:ascii="黑体" w:hAnsi="华文中宋" w:eastAsia="黑体"/>
          <w:szCs w:val="32"/>
        </w:rPr>
        <w:t>第一章 投标邀请</w:t>
      </w:r>
      <w:r>
        <w:tab/>
      </w:r>
      <w:r>
        <w:fldChar w:fldCharType="begin"/>
      </w:r>
      <w:r>
        <w:instrText xml:space="preserve"> PAGEREF _Toc4718 \h </w:instrText>
      </w:r>
      <w:r>
        <w:fldChar w:fldCharType="separate"/>
      </w:r>
      <w:r>
        <w:t>5</w:t>
      </w:r>
      <w:r>
        <w:fldChar w:fldCharType="end"/>
      </w:r>
      <w:r>
        <w:rPr>
          <w:rFonts w:hint="eastAsia"/>
        </w:rPr>
        <w:fldChar w:fldCharType="end"/>
      </w:r>
    </w:p>
    <w:p w14:paraId="3D893316">
      <w:pPr>
        <w:pStyle w:val="31"/>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_Toc25601 </w:instrText>
      </w:r>
      <w:r>
        <w:rPr>
          <w:rFonts w:hint="eastAsia" w:asciiTheme="minorEastAsia" w:hAnsiTheme="minorEastAsia" w:eastAsiaTheme="minorEastAsia" w:cstheme="minorEastAsia"/>
          <w:bCs/>
        </w:rPr>
        <w:fldChar w:fldCharType="separate"/>
      </w:r>
      <w:r>
        <w:rPr>
          <w:rFonts w:hint="eastAsia" w:ascii="黑体" w:hAnsi="华文中宋" w:eastAsia="黑体"/>
          <w:szCs w:val="32"/>
        </w:rPr>
        <w:t>第二章 投标须知</w:t>
      </w:r>
      <w:r>
        <w:tab/>
      </w:r>
      <w:r>
        <w:fldChar w:fldCharType="begin"/>
      </w:r>
      <w:r>
        <w:instrText xml:space="preserve"> PAGEREF _Toc25601 \h </w:instrText>
      </w:r>
      <w:r>
        <w:fldChar w:fldCharType="separate"/>
      </w:r>
      <w:r>
        <w:t>10</w:t>
      </w:r>
      <w:r>
        <w:fldChar w:fldCharType="end"/>
      </w:r>
      <w:r>
        <w:rPr>
          <w:rFonts w:hint="eastAsia" w:asciiTheme="minorEastAsia" w:hAnsiTheme="minorEastAsia" w:eastAsiaTheme="minorEastAsia" w:cstheme="minorEastAsia"/>
          <w:bCs/>
          <w:color w:val="000000"/>
        </w:rPr>
        <w:fldChar w:fldCharType="end"/>
      </w:r>
    </w:p>
    <w:p w14:paraId="600BCA8B">
      <w:pPr>
        <w:pStyle w:val="35"/>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_Toc13985 </w:instrText>
      </w:r>
      <w:r>
        <w:rPr>
          <w:rFonts w:hint="eastAsia" w:asciiTheme="minorEastAsia" w:hAnsiTheme="minorEastAsia" w:eastAsiaTheme="minorEastAsia" w:cstheme="minorEastAsia"/>
          <w:bCs/>
        </w:rPr>
        <w:fldChar w:fldCharType="separate"/>
      </w:r>
      <w:r>
        <w:rPr>
          <w:rFonts w:hint="eastAsia" w:ascii="黑体" w:hAnsi="华文中宋" w:eastAsia="黑体"/>
          <w:bCs/>
          <w:szCs w:val="28"/>
        </w:rPr>
        <w:t>第一节 投标须知前附表</w:t>
      </w:r>
      <w:r>
        <w:tab/>
      </w:r>
      <w:r>
        <w:fldChar w:fldCharType="begin"/>
      </w:r>
      <w:r>
        <w:instrText xml:space="preserve"> PAGEREF _Toc13985 \h </w:instrText>
      </w:r>
      <w:r>
        <w:fldChar w:fldCharType="separate"/>
      </w:r>
      <w:r>
        <w:t>10</w:t>
      </w:r>
      <w:r>
        <w:fldChar w:fldCharType="end"/>
      </w:r>
      <w:r>
        <w:rPr>
          <w:rFonts w:hint="eastAsia" w:asciiTheme="minorEastAsia" w:hAnsiTheme="minorEastAsia" w:eastAsiaTheme="minorEastAsia" w:cstheme="minorEastAsia"/>
          <w:bCs/>
          <w:color w:val="000000"/>
        </w:rPr>
        <w:fldChar w:fldCharType="end"/>
      </w:r>
    </w:p>
    <w:p w14:paraId="00CB4A7A">
      <w:pPr>
        <w:pStyle w:val="35"/>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_Toc31979 </w:instrText>
      </w:r>
      <w:r>
        <w:rPr>
          <w:rFonts w:hint="eastAsia" w:asciiTheme="minorEastAsia" w:hAnsiTheme="minorEastAsia" w:eastAsiaTheme="minorEastAsia" w:cstheme="minorEastAsia"/>
          <w:bCs/>
        </w:rPr>
        <w:fldChar w:fldCharType="separate"/>
      </w:r>
      <w:r>
        <w:rPr>
          <w:rFonts w:hint="eastAsia" w:ascii="黑体" w:hAnsi="黑体" w:eastAsia="黑体"/>
          <w:bCs/>
          <w:szCs w:val="28"/>
        </w:rPr>
        <w:t>第二节 投标须知</w:t>
      </w:r>
      <w:r>
        <w:tab/>
      </w:r>
      <w:r>
        <w:fldChar w:fldCharType="begin"/>
      </w:r>
      <w:r>
        <w:instrText xml:space="preserve"> PAGEREF _Toc31979 \h </w:instrText>
      </w:r>
      <w:r>
        <w:fldChar w:fldCharType="separate"/>
      </w:r>
      <w:r>
        <w:t>16</w:t>
      </w:r>
      <w:r>
        <w:fldChar w:fldCharType="end"/>
      </w:r>
      <w:r>
        <w:rPr>
          <w:rFonts w:hint="eastAsia" w:asciiTheme="minorEastAsia" w:hAnsiTheme="minorEastAsia" w:eastAsiaTheme="minorEastAsia" w:cstheme="minorEastAsia"/>
          <w:bCs/>
          <w:color w:val="000000"/>
        </w:rPr>
        <w:fldChar w:fldCharType="end"/>
      </w:r>
    </w:p>
    <w:p w14:paraId="71C643F6">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_Toc29438 </w:instrText>
      </w:r>
      <w:r>
        <w:rPr>
          <w:rFonts w:hint="eastAsia" w:asciiTheme="minorEastAsia" w:hAnsiTheme="minorEastAsia" w:eastAsiaTheme="minorEastAsia" w:cstheme="minorEastAsia"/>
          <w:bCs/>
        </w:rPr>
        <w:fldChar w:fldCharType="separate"/>
      </w:r>
      <w:r>
        <w:rPr>
          <w:rFonts w:hint="eastAsia" w:ascii="黑体" w:hAnsi="黑体" w:eastAsia="黑体"/>
          <w:bCs/>
          <w:szCs w:val="28"/>
        </w:rPr>
        <w:t>一、总则</w:t>
      </w:r>
      <w:r>
        <w:tab/>
      </w:r>
      <w:r>
        <w:fldChar w:fldCharType="begin"/>
      </w:r>
      <w:r>
        <w:instrText xml:space="preserve"> PAGEREF _Toc29438 \h </w:instrText>
      </w:r>
      <w:r>
        <w:fldChar w:fldCharType="separate"/>
      </w:r>
      <w:r>
        <w:t>16</w:t>
      </w:r>
      <w:r>
        <w:fldChar w:fldCharType="end"/>
      </w:r>
      <w:r>
        <w:rPr>
          <w:rFonts w:hint="eastAsia" w:asciiTheme="minorEastAsia" w:hAnsiTheme="minorEastAsia" w:eastAsiaTheme="minorEastAsia" w:cstheme="minorEastAsia"/>
          <w:bCs/>
          <w:color w:val="000000"/>
        </w:rPr>
        <w:fldChar w:fldCharType="end"/>
      </w:r>
    </w:p>
    <w:p w14:paraId="7A02D475">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_Toc27553 </w:instrText>
      </w:r>
      <w:r>
        <w:rPr>
          <w:rFonts w:hint="eastAsia" w:asciiTheme="minorEastAsia" w:hAnsiTheme="minorEastAsia" w:eastAsiaTheme="minorEastAsia" w:cstheme="minorEastAsia"/>
          <w:bCs/>
        </w:rPr>
        <w:fldChar w:fldCharType="separate"/>
      </w:r>
      <w:r>
        <w:rPr>
          <w:rFonts w:hint="eastAsia" w:ascii="黑体" w:hAnsi="黑体" w:eastAsia="黑体"/>
          <w:szCs w:val="28"/>
        </w:rPr>
        <w:t>二、招标文件</w:t>
      </w:r>
      <w:r>
        <w:tab/>
      </w:r>
      <w:r>
        <w:fldChar w:fldCharType="begin"/>
      </w:r>
      <w:r>
        <w:instrText xml:space="preserve"> PAGEREF _Toc27553 \h </w:instrText>
      </w:r>
      <w:r>
        <w:fldChar w:fldCharType="separate"/>
      </w:r>
      <w:r>
        <w:t>17</w:t>
      </w:r>
      <w:r>
        <w:fldChar w:fldCharType="end"/>
      </w:r>
      <w:r>
        <w:rPr>
          <w:rFonts w:hint="eastAsia" w:asciiTheme="minorEastAsia" w:hAnsiTheme="minorEastAsia" w:eastAsiaTheme="minorEastAsia" w:cstheme="minorEastAsia"/>
          <w:bCs/>
          <w:color w:val="000000"/>
        </w:rPr>
        <w:fldChar w:fldCharType="end"/>
      </w:r>
    </w:p>
    <w:p w14:paraId="2D295235">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_Toc4119 </w:instrText>
      </w:r>
      <w:r>
        <w:rPr>
          <w:rFonts w:hint="eastAsia" w:asciiTheme="minorEastAsia" w:hAnsiTheme="minorEastAsia" w:eastAsiaTheme="minorEastAsia" w:cstheme="minorEastAsia"/>
          <w:bCs/>
        </w:rPr>
        <w:fldChar w:fldCharType="separate"/>
      </w:r>
      <w:r>
        <w:rPr>
          <w:rFonts w:hint="eastAsia" w:ascii="黑体" w:hAnsi="黑体" w:eastAsia="黑体"/>
          <w:szCs w:val="28"/>
        </w:rPr>
        <w:t>三、投标文件</w:t>
      </w:r>
      <w:r>
        <w:tab/>
      </w:r>
      <w:r>
        <w:fldChar w:fldCharType="begin"/>
      </w:r>
      <w:r>
        <w:instrText xml:space="preserve"> PAGEREF _Toc4119 \h </w:instrText>
      </w:r>
      <w:r>
        <w:fldChar w:fldCharType="separate"/>
      </w:r>
      <w:r>
        <w:t>18</w:t>
      </w:r>
      <w:r>
        <w:fldChar w:fldCharType="end"/>
      </w:r>
      <w:r>
        <w:rPr>
          <w:rFonts w:hint="eastAsia" w:asciiTheme="minorEastAsia" w:hAnsiTheme="minorEastAsia" w:eastAsiaTheme="minorEastAsia" w:cstheme="minorEastAsia"/>
          <w:bCs/>
          <w:color w:val="000000"/>
        </w:rPr>
        <w:fldChar w:fldCharType="end"/>
      </w:r>
    </w:p>
    <w:p w14:paraId="0729544C">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_Toc23240 </w:instrText>
      </w:r>
      <w:r>
        <w:rPr>
          <w:rFonts w:hint="eastAsia" w:asciiTheme="minorEastAsia" w:hAnsiTheme="minorEastAsia" w:eastAsiaTheme="minorEastAsia" w:cstheme="minorEastAsia"/>
          <w:bCs/>
        </w:rPr>
        <w:fldChar w:fldCharType="separate"/>
      </w:r>
      <w:r>
        <w:rPr>
          <w:rFonts w:hint="eastAsia" w:ascii="黑体" w:hAnsi="黑体" w:eastAsia="黑体"/>
          <w:szCs w:val="28"/>
        </w:rPr>
        <w:t>四、投标</w:t>
      </w:r>
      <w:r>
        <w:tab/>
      </w:r>
      <w:r>
        <w:fldChar w:fldCharType="begin"/>
      </w:r>
      <w:r>
        <w:instrText xml:space="preserve"> PAGEREF _Toc23240 \h </w:instrText>
      </w:r>
      <w:r>
        <w:fldChar w:fldCharType="separate"/>
      </w:r>
      <w:r>
        <w:t>22</w:t>
      </w:r>
      <w:r>
        <w:fldChar w:fldCharType="end"/>
      </w:r>
      <w:r>
        <w:rPr>
          <w:rFonts w:hint="eastAsia" w:asciiTheme="minorEastAsia" w:hAnsiTheme="minorEastAsia" w:eastAsiaTheme="minorEastAsia" w:cstheme="minorEastAsia"/>
          <w:bCs/>
          <w:color w:val="000000"/>
        </w:rPr>
        <w:fldChar w:fldCharType="end"/>
      </w:r>
    </w:p>
    <w:p w14:paraId="3BC39BB5">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_Toc26859 </w:instrText>
      </w:r>
      <w:r>
        <w:rPr>
          <w:rFonts w:hint="eastAsia" w:asciiTheme="minorEastAsia" w:hAnsiTheme="minorEastAsia" w:eastAsiaTheme="minorEastAsia" w:cstheme="minorEastAsia"/>
          <w:bCs/>
        </w:rPr>
        <w:fldChar w:fldCharType="separate"/>
      </w:r>
      <w:r>
        <w:rPr>
          <w:rFonts w:hint="eastAsia" w:ascii="黑体" w:hAnsi="黑体" w:eastAsia="黑体"/>
          <w:szCs w:val="28"/>
        </w:rPr>
        <w:t>五、开标，资格审查和评标</w:t>
      </w:r>
      <w:r>
        <w:tab/>
      </w:r>
      <w:r>
        <w:fldChar w:fldCharType="begin"/>
      </w:r>
      <w:r>
        <w:instrText xml:space="preserve"> PAGEREF _Toc26859 \h </w:instrText>
      </w:r>
      <w:r>
        <w:fldChar w:fldCharType="separate"/>
      </w:r>
      <w:r>
        <w:t>24</w:t>
      </w:r>
      <w:r>
        <w:fldChar w:fldCharType="end"/>
      </w:r>
      <w:r>
        <w:rPr>
          <w:rFonts w:hint="eastAsia" w:asciiTheme="minorEastAsia" w:hAnsiTheme="minorEastAsia" w:eastAsiaTheme="minorEastAsia" w:cstheme="minorEastAsia"/>
          <w:bCs/>
          <w:color w:val="000000"/>
        </w:rPr>
        <w:fldChar w:fldCharType="end"/>
      </w:r>
    </w:p>
    <w:p w14:paraId="7E969779">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_Toc28812 </w:instrText>
      </w:r>
      <w:r>
        <w:rPr>
          <w:rFonts w:hint="eastAsia" w:asciiTheme="minorEastAsia" w:hAnsiTheme="minorEastAsia" w:eastAsiaTheme="minorEastAsia" w:cstheme="minorEastAsia"/>
          <w:bCs/>
        </w:rPr>
        <w:fldChar w:fldCharType="separate"/>
      </w:r>
      <w:r>
        <w:rPr>
          <w:rFonts w:hint="eastAsia" w:ascii="黑体" w:hAnsi="黑体" w:eastAsia="黑体"/>
          <w:szCs w:val="28"/>
        </w:rPr>
        <w:t>六、中标信息公布</w:t>
      </w:r>
      <w:r>
        <w:tab/>
      </w:r>
      <w:r>
        <w:fldChar w:fldCharType="begin"/>
      </w:r>
      <w:r>
        <w:instrText xml:space="preserve"> PAGEREF _Toc28812 \h </w:instrText>
      </w:r>
      <w:r>
        <w:fldChar w:fldCharType="separate"/>
      </w:r>
      <w:r>
        <w:t>25</w:t>
      </w:r>
      <w:r>
        <w:fldChar w:fldCharType="end"/>
      </w:r>
      <w:r>
        <w:rPr>
          <w:rFonts w:hint="eastAsia" w:asciiTheme="minorEastAsia" w:hAnsiTheme="minorEastAsia" w:eastAsiaTheme="minorEastAsia" w:cstheme="minorEastAsia"/>
          <w:bCs/>
          <w:color w:val="000000"/>
        </w:rPr>
        <w:fldChar w:fldCharType="end"/>
      </w:r>
    </w:p>
    <w:p w14:paraId="7FD94C43">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_Toc3453 </w:instrText>
      </w:r>
      <w:r>
        <w:rPr>
          <w:rFonts w:hint="eastAsia" w:asciiTheme="minorEastAsia" w:hAnsiTheme="minorEastAsia" w:eastAsiaTheme="minorEastAsia" w:cstheme="minorEastAsia"/>
          <w:bCs/>
        </w:rPr>
        <w:fldChar w:fldCharType="separate"/>
      </w:r>
      <w:r>
        <w:rPr>
          <w:rFonts w:hint="eastAsia" w:ascii="黑体" w:hAnsi="黑体" w:eastAsia="黑体"/>
          <w:szCs w:val="28"/>
        </w:rPr>
        <w:t>七、合同签订</w:t>
      </w:r>
      <w:r>
        <w:tab/>
      </w:r>
      <w:r>
        <w:fldChar w:fldCharType="begin"/>
      </w:r>
      <w:r>
        <w:instrText xml:space="preserve"> PAGEREF _Toc3453 \h </w:instrText>
      </w:r>
      <w:r>
        <w:fldChar w:fldCharType="separate"/>
      </w:r>
      <w:r>
        <w:t>26</w:t>
      </w:r>
      <w:r>
        <w:fldChar w:fldCharType="end"/>
      </w:r>
      <w:r>
        <w:rPr>
          <w:rFonts w:hint="eastAsia" w:asciiTheme="minorEastAsia" w:hAnsiTheme="minorEastAsia" w:eastAsiaTheme="minorEastAsia" w:cstheme="minorEastAsia"/>
          <w:bCs/>
          <w:color w:val="000000"/>
        </w:rPr>
        <w:fldChar w:fldCharType="end"/>
      </w:r>
    </w:p>
    <w:p w14:paraId="2D53F99D">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_Toc32096 </w:instrText>
      </w:r>
      <w:r>
        <w:rPr>
          <w:rFonts w:hint="eastAsia" w:asciiTheme="minorEastAsia" w:hAnsiTheme="minorEastAsia" w:eastAsiaTheme="minorEastAsia" w:cstheme="minorEastAsia"/>
          <w:bCs/>
        </w:rPr>
        <w:fldChar w:fldCharType="separate"/>
      </w:r>
      <w:r>
        <w:rPr>
          <w:rFonts w:hint="eastAsia" w:ascii="黑体" w:hAnsi="黑体" w:eastAsia="黑体"/>
          <w:szCs w:val="28"/>
        </w:rPr>
        <w:t>八、政府采购政策</w:t>
      </w:r>
      <w:r>
        <w:tab/>
      </w:r>
      <w:r>
        <w:fldChar w:fldCharType="begin"/>
      </w:r>
      <w:r>
        <w:instrText xml:space="preserve"> PAGEREF _Toc32096 \h </w:instrText>
      </w:r>
      <w:r>
        <w:fldChar w:fldCharType="separate"/>
      </w:r>
      <w:r>
        <w:t>27</w:t>
      </w:r>
      <w:r>
        <w:fldChar w:fldCharType="end"/>
      </w:r>
      <w:r>
        <w:rPr>
          <w:rFonts w:hint="eastAsia" w:asciiTheme="minorEastAsia" w:hAnsiTheme="minorEastAsia" w:eastAsiaTheme="minorEastAsia" w:cstheme="minorEastAsia"/>
          <w:bCs/>
          <w:color w:val="000000"/>
        </w:rPr>
        <w:fldChar w:fldCharType="end"/>
      </w:r>
    </w:p>
    <w:p w14:paraId="47E57956">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_Toc29441 </w:instrText>
      </w:r>
      <w:r>
        <w:rPr>
          <w:rFonts w:hint="eastAsia" w:asciiTheme="minorEastAsia" w:hAnsiTheme="minorEastAsia" w:eastAsiaTheme="minorEastAsia" w:cstheme="minorEastAsia"/>
          <w:bCs/>
        </w:rPr>
        <w:fldChar w:fldCharType="separate"/>
      </w:r>
      <w:r>
        <w:rPr>
          <w:rFonts w:hint="eastAsia" w:ascii="黑体" w:hAnsi="黑体" w:eastAsia="黑体"/>
          <w:szCs w:val="28"/>
        </w:rPr>
        <w:t>九、其他规定</w:t>
      </w:r>
      <w:r>
        <w:tab/>
      </w:r>
      <w:r>
        <w:fldChar w:fldCharType="begin"/>
      </w:r>
      <w:r>
        <w:instrText xml:space="preserve"> PAGEREF _Toc29441 \h </w:instrText>
      </w:r>
      <w:r>
        <w:fldChar w:fldCharType="separate"/>
      </w:r>
      <w:r>
        <w:t>29</w:t>
      </w:r>
      <w:r>
        <w:fldChar w:fldCharType="end"/>
      </w:r>
      <w:r>
        <w:rPr>
          <w:rFonts w:hint="eastAsia" w:asciiTheme="minorEastAsia" w:hAnsiTheme="minorEastAsia" w:eastAsiaTheme="minorEastAsia" w:cstheme="minorEastAsia"/>
          <w:bCs/>
          <w:color w:val="000000"/>
        </w:rPr>
        <w:fldChar w:fldCharType="end"/>
      </w:r>
    </w:p>
    <w:p w14:paraId="421A81F7">
      <w:pPr>
        <w:pStyle w:val="31"/>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_Toc13809 </w:instrText>
      </w:r>
      <w:r>
        <w:rPr>
          <w:rFonts w:hint="eastAsia" w:asciiTheme="minorEastAsia" w:hAnsiTheme="minorEastAsia" w:eastAsiaTheme="minorEastAsia" w:cstheme="minorEastAsia"/>
          <w:bCs/>
        </w:rPr>
        <w:fldChar w:fldCharType="separate"/>
      </w:r>
      <w:r>
        <w:rPr>
          <w:rFonts w:hint="eastAsia" w:ascii="黑体" w:hAnsi="华文中宋" w:eastAsia="黑体"/>
          <w:szCs w:val="32"/>
        </w:rPr>
        <w:t>第三章 资格审查</w:t>
      </w:r>
      <w:r>
        <w:tab/>
      </w:r>
      <w:r>
        <w:fldChar w:fldCharType="begin"/>
      </w:r>
      <w:r>
        <w:instrText xml:space="preserve"> PAGEREF _Toc13809 \h </w:instrText>
      </w:r>
      <w:r>
        <w:fldChar w:fldCharType="separate"/>
      </w:r>
      <w:r>
        <w:t>31</w:t>
      </w:r>
      <w:r>
        <w:fldChar w:fldCharType="end"/>
      </w:r>
      <w:r>
        <w:rPr>
          <w:rFonts w:hint="eastAsia" w:asciiTheme="minorEastAsia" w:hAnsiTheme="minorEastAsia" w:eastAsiaTheme="minorEastAsia" w:cstheme="minorEastAsia"/>
          <w:bCs/>
          <w:color w:val="000000"/>
        </w:rPr>
        <w:fldChar w:fldCharType="end"/>
      </w:r>
    </w:p>
    <w:p w14:paraId="34EB1F93">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_Toc26260 </w:instrText>
      </w:r>
      <w:r>
        <w:rPr>
          <w:rFonts w:hint="eastAsia" w:asciiTheme="minorEastAsia" w:hAnsiTheme="minorEastAsia" w:eastAsiaTheme="minorEastAsia" w:cstheme="minorEastAsia"/>
          <w:bCs/>
        </w:rPr>
        <w:fldChar w:fldCharType="separate"/>
      </w:r>
      <w:r>
        <w:rPr>
          <w:rFonts w:hint="eastAsia" w:ascii="黑体" w:hAnsi="黑体" w:eastAsia="黑体"/>
          <w:szCs w:val="24"/>
        </w:rPr>
        <w:t>1．资格审查主体</w:t>
      </w:r>
      <w:r>
        <w:tab/>
      </w:r>
      <w:r>
        <w:fldChar w:fldCharType="begin"/>
      </w:r>
      <w:r>
        <w:instrText xml:space="preserve"> PAGEREF _Toc26260 \h </w:instrText>
      </w:r>
      <w:r>
        <w:fldChar w:fldCharType="separate"/>
      </w:r>
      <w:r>
        <w:t>31</w:t>
      </w:r>
      <w:r>
        <w:fldChar w:fldCharType="end"/>
      </w:r>
      <w:r>
        <w:rPr>
          <w:rFonts w:hint="eastAsia" w:asciiTheme="minorEastAsia" w:hAnsiTheme="minorEastAsia" w:eastAsiaTheme="minorEastAsia" w:cstheme="minorEastAsia"/>
          <w:bCs/>
          <w:color w:val="000000"/>
        </w:rPr>
        <w:fldChar w:fldCharType="end"/>
      </w:r>
    </w:p>
    <w:p w14:paraId="76B06ED4">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_Toc31107 </w:instrText>
      </w:r>
      <w:r>
        <w:rPr>
          <w:rFonts w:hint="eastAsia" w:asciiTheme="minorEastAsia" w:hAnsiTheme="minorEastAsia" w:eastAsiaTheme="minorEastAsia" w:cstheme="minorEastAsia"/>
          <w:bCs/>
        </w:rPr>
        <w:fldChar w:fldCharType="separate"/>
      </w:r>
      <w:r>
        <w:rPr>
          <w:rFonts w:hint="eastAsia" w:ascii="黑体" w:hAnsi="黑体" w:eastAsia="黑体"/>
          <w:szCs w:val="24"/>
        </w:rPr>
        <w:t>2．资格审查（未进行资格预审的）</w:t>
      </w:r>
      <w:r>
        <w:tab/>
      </w:r>
      <w:r>
        <w:fldChar w:fldCharType="begin"/>
      </w:r>
      <w:r>
        <w:instrText xml:space="preserve"> PAGEREF _Toc31107 \h </w:instrText>
      </w:r>
      <w:r>
        <w:fldChar w:fldCharType="separate"/>
      </w:r>
      <w:r>
        <w:t>31</w:t>
      </w:r>
      <w:r>
        <w:fldChar w:fldCharType="end"/>
      </w:r>
      <w:r>
        <w:rPr>
          <w:rFonts w:hint="eastAsia" w:asciiTheme="minorEastAsia" w:hAnsiTheme="minorEastAsia" w:eastAsiaTheme="minorEastAsia" w:cstheme="minorEastAsia"/>
          <w:bCs/>
          <w:color w:val="000000"/>
        </w:rPr>
        <w:fldChar w:fldCharType="end"/>
      </w:r>
    </w:p>
    <w:p w14:paraId="6EC12C5B">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_Toc24222 </w:instrText>
      </w:r>
      <w:r>
        <w:rPr>
          <w:rFonts w:hint="eastAsia" w:asciiTheme="minorEastAsia" w:hAnsiTheme="minorEastAsia" w:eastAsiaTheme="minorEastAsia" w:cstheme="minorEastAsia"/>
          <w:bCs/>
        </w:rPr>
        <w:fldChar w:fldCharType="separate"/>
      </w:r>
      <w:r>
        <w:rPr>
          <w:rFonts w:hint="eastAsia" w:ascii="黑体" w:hAnsi="黑体" w:eastAsia="黑体"/>
          <w:szCs w:val="24"/>
        </w:rPr>
        <w:t>2．资格审查（已进行资格预审的）</w:t>
      </w:r>
      <w:r>
        <w:tab/>
      </w:r>
      <w:r>
        <w:fldChar w:fldCharType="begin"/>
      </w:r>
      <w:r>
        <w:instrText xml:space="preserve"> PAGEREF _Toc24222 \h </w:instrText>
      </w:r>
      <w:r>
        <w:fldChar w:fldCharType="separate"/>
      </w:r>
      <w:r>
        <w:t>32</w:t>
      </w:r>
      <w:r>
        <w:fldChar w:fldCharType="end"/>
      </w:r>
      <w:r>
        <w:rPr>
          <w:rFonts w:hint="eastAsia" w:asciiTheme="minorEastAsia" w:hAnsiTheme="minorEastAsia" w:eastAsiaTheme="minorEastAsia" w:cstheme="minorEastAsia"/>
          <w:bCs/>
          <w:color w:val="000000"/>
        </w:rPr>
        <w:fldChar w:fldCharType="end"/>
      </w:r>
    </w:p>
    <w:p w14:paraId="24D8B827">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_Toc28744 </w:instrText>
      </w:r>
      <w:r>
        <w:rPr>
          <w:rFonts w:hint="eastAsia" w:asciiTheme="minorEastAsia" w:hAnsiTheme="minorEastAsia" w:eastAsiaTheme="minorEastAsia" w:cstheme="minorEastAsia"/>
          <w:bCs/>
        </w:rPr>
        <w:fldChar w:fldCharType="separate"/>
      </w:r>
      <w:r>
        <w:rPr>
          <w:rFonts w:hint="eastAsia" w:ascii="黑体" w:hAnsi="黑体" w:eastAsia="黑体"/>
          <w:szCs w:val="24"/>
        </w:rPr>
        <w:t>3．资格审查结果</w:t>
      </w:r>
      <w:r>
        <w:tab/>
      </w:r>
      <w:r>
        <w:fldChar w:fldCharType="begin"/>
      </w:r>
      <w:r>
        <w:instrText xml:space="preserve"> PAGEREF _Toc28744 \h </w:instrText>
      </w:r>
      <w:r>
        <w:fldChar w:fldCharType="separate"/>
      </w:r>
      <w:r>
        <w:t>32</w:t>
      </w:r>
      <w:r>
        <w:fldChar w:fldCharType="end"/>
      </w:r>
      <w:r>
        <w:rPr>
          <w:rFonts w:hint="eastAsia" w:asciiTheme="minorEastAsia" w:hAnsiTheme="minorEastAsia" w:eastAsiaTheme="minorEastAsia" w:cstheme="minorEastAsia"/>
          <w:bCs/>
          <w:color w:val="000000"/>
        </w:rPr>
        <w:fldChar w:fldCharType="end"/>
      </w:r>
    </w:p>
    <w:p w14:paraId="3E9591E0">
      <w:pPr>
        <w:pStyle w:val="31"/>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_Toc26697 </w:instrText>
      </w:r>
      <w:r>
        <w:rPr>
          <w:rFonts w:hint="eastAsia" w:asciiTheme="minorEastAsia" w:hAnsiTheme="minorEastAsia" w:eastAsiaTheme="minorEastAsia" w:cstheme="minorEastAsia"/>
          <w:bCs/>
        </w:rPr>
        <w:fldChar w:fldCharType="separate"/>
      </w:r>
      <w:r>
        <w:rPr>
          <w:rFonts w:hint="eastAsia" w:ascii="黑体" w:hAnsi="华文中宋" w:eastAsia="黑体"/>
          <w:szCs w:val="32"/>
        </w:rPr>
        <w:t>第四章 评标方法及标准</w:t>
      </w:r>
      <w:r>
        <w:tab/>
      </w:r>
      <w:r>
        <w:fldChar w:fldCharType="begin"/>
      </w:r>
      <w:r>
        <w:instrText xml:space="preserve"> PAGEREF _Toc26697 \h </w:instrText>
      </w:r>
      <w:r>
        <w:fldChar w:fldCharType="separate"/>
      </w:r>
      <w:r>
        <w:t>36</w:t>
      </w:r>
      <w:r>
        <w:fldChar w:fldCharType="end"/>
      </w:r>
      <w:r>
        <w:rPr>
          <w:rFonts w:hint="eastAsia" w:asciiTheme="minorEastAsia" w:hAnsiTheme="minorEastAsia" w:eastAsiaTheme="minorEastAsia" w:cstheme="minorEastAsia"/>
          <w:bCs/>
          <w:color w:val="000000"/>
        </w:rPr>
        <w:fldChar w:fldCharType="end"/>
      </w:r>
    </w:p>
    <w:p w14:paraId="15FD1D89">
      <w:pPr>
        <w:pStyle w:val="35"/>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_Toc27003 </w:instrText>
      </w:r>
      <w:r>
        <w:rPr>
          <w:rFonts w:hint="eastAsia" w:asciiTheme="minorEastAsia" w:hAnsiTheme="minorEastAsia" w:eastAsiaTheme="minorEastAsia" w:cstheme="minorEastAsia"/>
          <w:bCs/>
        </w:rPr>
        <w:fldChar w:fldCharType="separate"/>
      </w:r>
      <w:r>
        <w:rPr>
          <w:rFonts w:hint="eastAsia" w:ascii="黑体" w:hAnsi="华文中宋" w:eastAsia="黑体"/>
          <w:bCs/>
          <w:szCs w:val="28"/>
        </w:rPr>
        <w:t>第一节 评标方法及标准前附表</w:t>
      </w:r>
      <w:r>
        <w:tab/>
      </w:r>
      <w:r>
        <w:fldChar w:fldCharType="begin"/>
      </w:r>
      <w:r>
        <w:instrText xml:space="preserve"> PAGEREF _Toc27003 \h </w:instrText>
      </w:r>
      <w:r>
        <w:fldChar w:fldCharType="separate"/>
      </w:r>
      <w:r>
        <w:t>36</w:t>
      </w:r>
      <w:r>
        <w:fldChar w:fldCharType="end"/>
      </w:r>
      <w:r>
        <w:rPr>
          <w:rFonts w:hint="eastAsia" w:asciiTheme="minorEastAsia" w:hAnsiTheme="minorEastAsia" w:eastAsiaTheme="minorEastAsia" w:cstheme="minorEastAsia"/>
          <w:bCs/>
          <w:color w:val="000000"/>
        </w:rPr>
        <w:fldChar w:fldCharType="end"/>
      </w:r>
    </w:p>
    <w:p w14:paraId="678A6EFD">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_Toc6583 </w:instrText>
      </w:r>
      <w:r>
        <w:rPr>
          <w:rFonts w:hint="eastAsia" w:asciiTheme="minorEastAsia" w:hAnsiTheme="minorEastAsia" w:eastAsiaTheme="minorEastAsia" w:cstheme="minorEastAsia"/>
          <w:bCs/>
        </w:rPr>
        <w:fldChar w:fldCharType="separate"/>
      </w:r>
      <w:r>
        <w:rPr>
          <w:rFonts w:hint="eastAsia" w:ascii="黑体" w:hAnsi="黑体" w:eastAsia="黑体"/>
          <w:bCs/>
        </w:rPr>
        <w:t>1．评标方法</w:t>
      </w:r>
      <w:r>
        <w:tab/>
      </w:r>
      <w:r>
        <w:fldChar w:fldCharType="begin"/>
      </w:r>
      <w:r>
        <w:instrText xml:space="preserve"> PAGEREF _Toc6583 \h </w:instrText>
      </w:r>
      <w:r>
        <w:fldChar w:fldCharType="separate"/>
      </w:r>
      <w:r>
        <w:t>38</w:t>
      </w:r>
      <w:r>
        <w:fldChar w:fldCharType="end"/>
      </w:r>
      <w:r>
        <w:rPr>
          <w:rFonts w:hint="eastAsia" w:asciiTheme="minorEastAsia" w:hAnsiTheme="minorEastAsia" w:eastAsiaTheme="minorEastAsia" w:cstheme="minorEastAsia"/>
          <w:bCs/>
          <w:color w:val="000000"/>
        </w:rPr>
        <w:fldChar w:fldCharType="end"/>
      </w:r>
    </w:p>
    <w:p w14:paraId="34FD47B7">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_Toc24384 </w:instrText>
      </w:r>
      <w:r>
        <w:rPr>
          <w:rFonts w:hint="eastAsia" w:asciiTheme="minorEastAsia" w:hAnsiTheme="minorEastAsia" w:eastAsiaTheme="minorEastAsia" w:cstheme="minorEastAsia"/>
          <w:bCs/>
        </w:rPr>
        <w:fldChar w:fldCharType="separate"/>
      </w:r>
      <w:r>
        <w:rPr>
          <w:rFonts w:hint="eastAsia" w:ascii="黑体" w:hAnsi="黑体" w:eastAsia="黑体"/>
        </w:rPr>
        <w:t>2．评标程序</w:t>
      </w:r>
      <w:r>
        <w:tab/>
      </w:r>
      <w:r>
        <w:fldChar w:fldCharType="begin"/>
      </w:r>
      <w:r>
        <w:instrText xml:space="preserve"> PAGEREF _Toc24384 \h </w:instrText>
      </w:r>
      <w:r>
        <w:fldChar w:fldCharType="separate"/>
      </w:r>
      <w:r>
        <w:t>38</w:t>
      </w:r>
      <w:r>
        <w:fldChar w:fldCharType="end"/>
      </w:r>
      <w:r>
        <w:rPr>
          <w:rFonts w:hint="eastAsia" w:asciiTheme="minorEastAsia" w:hAnsiTheme="minorEastAsia" w:eastAsiaTheme="minorEastAsia" w:cstheme="minorEastAsia"/>
          <w:bCs/>
          <w:color w:val="000000"/>
        </w:rPr>
        <w:fldChar w:fldCharType="end"/>
      </w:r>
    </w:p>
    <w:p w14:paraId="10D42A00">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_Toc30425 </w:instrText>
      </w:r>
      <w:r>
        <w:rPr>
          <w:rFonts w:hint="eastAsia" w:asciiTheme="minorEastAsia" w:hAnsiTheme="minorEastAsia" w:eastAsiaTheme="minorEastAsia" w:cstheme="minorEastAsia"/>
          <w:bCs/>
        </w:rPr>
        <w:fldChar w:fldCharType="separate"/>
      </w:r>
      <w:r>
        <w:rPr>
          <w:rFonts w:hint="eastAsia" w:ascii="黑体" w:hAnsi="黑体" w:eastAsia="黑体"/>
        </w:rPr>
        <w:t>3．投标文件的符合性审查</w:t>
      </w:r>
      <w:r>
        <w:tab/>
      </w:r>
      <w:r>
        <w:fldChar w:fldCharType="begin"/>
      </w:r>
      <w:r>
        <w:instrText xml:space="preserve"> PAGEREF _Toc30425 \h </w:instrText>
      </w:r>
      <w:r>
        <w:fldChar w:fldCharType="separate"/>
      </w:r>
      <w:r>
        <w:t>38</w:t>
      </w:r>
      <w:r>
        <w:fldChar w:fldCharType="end"/>
      </w:r>
      <w:r>
        <w:rPr>
          <w:rFonts w:hint="eastAsia" w:asciiTheme="minorEastAsia" w:hAnsiTheme="minorEastAsia" w:eastAsiaTheme="minorEastAsia" w:cstheme="minorEastAsia"/>
          <w:bCs/>
          <w:color w:val="000000"/>
        </w:rPr>
        <w:fldChar w:fldCharType="end"/>
      </w:r>
    </w:p>
    <w:p w14:paraId="4B016970">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_Toc30364 </w:instrText>
      </w:r>
      <w:r>
        <w:rPr>
          <w:rFonts w:hint="eastAsia" w:asciiTheme="minorEastAsia" w:hAnsiTheme="minorEastAsia" w:eastAsiaTheme="minorEastAsia" w:cstheme="minorEastAsia"/>
          <w:bCs/>
        </w:rPr>
        <w:fldChar w:fldCharType="separate"/>
      </w:r>
      <w:r>
        <w:rPr>
          <w:rFonts w:hint="eastAsia" w:ascii="黑体" w:hAnsi="黑体" w:eastAsia="黑体"/>
        </w:rPr>
        <w:t>4．投标文件的澄清</w:t>
      </w:r>
      <w:r>
        <w:tab/>
      </w:r>
      <w:r>
        <w:fldChar w:fldCharType="begin"/>
      </w:r>
      <w:r>
        <w:instrText xml:space="preserve"> PAGEREF _Toc30364 \h </w:instrText>
      </w:r>
      <w:r>
        <w:fldChar w:fldCharType="separate"/>
      </w:r>
      <w:r>
        <w:t>38</w:t>
      </w:r>
      <w:r>
        <w:fldChar w:fldCharType="end"/>
      </w:r>
      <w:r>
        <w:rPr>
          <w:rFonts w:hint="eastAsia" w:asciiTheme="minorEastAsia" w:hAnsiTheme="minorEastAsia" w:eastAsiaTheme="minorEastAsia" w:cstheme="minorEastAsia"/>
          <w:bCs/>
          <w:color w:val="000000"/>
        </w:rPr>
        <w:fldChar w:fldCharType="end"/>
      </w:r>
    </w:p>
    <w:p w14:paraId="67E3B729">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_Toc26139 </w:instrText>
      </w:r>
      <w:r>
        <w:rPr>
          <w:rFonts w:hint="eastAsia" w:asciiTheme="minorEastAsia" w:hAnsiTheme="minorEastAsia" w:eastAsiaTheme="minorEastAsia" w:cstheme="minorEastAsia"/>
          <w:bCs/>
        </w:rPr>
        <w:fldChar w:fldCharType="separate"/>
      </w:r>
      <w:r>
        <w:rPr>
          <w:rFonts w:hint="eastAsia" w:ascii="黑体" w:hAnsi="黑体" w:eastAsia="黑体"/>
        </w:rPr>
        <w:t>5．投标文件的比较与评价</w:t>
      </w:r>
      <w:r>
        <w:tab/>
      </w:r>
      <w:r>
        <w:fldChar w:fldCharType="begin"/>
      </w:r>
      <w:r>
        <w:instrText xml:space="preserve"> PAGEREF _Toc26139 \h </w:instrText>
      </w:r>
      <w:r>
        <w:fldChar w:fldCharType="separate"/>
      </w:r>
      <w:r>
        <w:t>39</w:t>
      </w:r>
      <w:r>
        <w:fldChar w:fldCharType="end"/>
      </w:r>
      <w:r>
        <w:rPr>
          <w:rFonts w:hint="eastAsia" w:asciiTheme="minorEastAsia" w:hAnsiTheme="minorEastAsia" w:eastAsiaTheme="minorEastAsia" w:cstheme="minorEastAsia"/>
          <w:bCs/>
          <w:color w:val="000000"/>
        </w:rPr>
        <w:fldChar w:fldCharType="end"/>
      </w:r>
    </w:p>
    <w:p w14:paraId="6C5A60F7">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_Toc17401 </w:instrText>
      </w:r>
      <w:r>
        <w:rPr>
          <w:rFonts w:hint="eastAsia" w:asciiTheme="minorEastAsia" w:hAnsiTheme="minorEastAsia" w:eastAsiaTheme="minorEastAsia" w:cstheme="minorEastAsia"/>
          <w:bCs/>
        </w:rPr>
        <w:fldChar w:fldCharType="separate"/>
      </w:r>
      <w:r>
        <w:rPr>
          <w:rFonts w:hint="eastAsia" w:ascii="黑体" w:hAnsi="黑体" w:eastAsia="黑体"/>
        </w:rPr>
        <w:t>6．</w:t>
      </w:r>
      <w:r>
        <w:rPr>
          <w:rFonts w:hint="eastAsia" w:ascii="黑体" w:hAnsi="黑体" w:eastAsia="黑体"/>
          <w:bCs/>
        </w:rPr>
        <w:t>推荐中标候选人</w:t>
      </w:r>
      <w:r>
        <w:tab/>
      </w:r>
      <w:r>
        <w:fldChar w:fldCharType="begin"/>
      </w:r>
      <w:r>
        <w:instrText xml:space="preserve"> PAGEREF _Toc17401 \h </w:instrText>
      </w:r>
      <w:r>
        <w:fldChar w:fldCharType="separate"/>
      </w:r>
      <w:r>
        <w:t>40</w:t>
      </w:r>
      <w:r>
        <w:fldChar w:fldCharType="end"/>
      </w:r>
      <w:r>
        <w:rPr>
          <w:rFonts w:hint="eastAsia" w:asciiTheme="minorEastAsia" w:hAnsiTheme="minorEastAsia" w:eastAsiaTheme="minorEastAsia" w:cstheme="minorEastAsia"/>
          <w:bCs/>
          <w:color w:val="000000"/>
        </w:rPr>
        <w:fldChar w:fldCharType="end"/>
      </w:r>
    </w:p>
    <w:p w14:paraId="229108A9">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_Toc31545 </w:instrText>
      </w:r>
      <w:r>
        <w:rPr>
          <w:rFonts w:hint="eastAsia" w:asciiTheme="minorEastAsia" w:hAnsiTheme="minorEastAsia" w:eastAsiaTheme="minorEastAsia" w:cstheme="minorEastAsia"/>
          <w:bCs/>
        </w:rPr>
        <w:fldChar w:fldCharType="separate"/>
      </w:r>
      <w:r>
        <w:rPr>
          <w:rFonts w:hint="eastAsia" w:ascii="黑体" w:hAnsi="黑体" w:eastAsia="黑体"/>
        </w:rPr>
        <w:t>7．</w:t>
      </w:r>
      <w:r>
        <w:rPr>
          <w:rFonts w:hint="eastAsia" w:ascii="黑体" w:hAnsi="黑体" w:eastAsia="黑体"/>
          <w:bCs/>
        </w:rPr>
        <w:t>编写评标报告</w:t>
      </w:r>
      <w:r>
        <w:tab/>
      </w:r>
      <w:r>
        <w:fldChar w:fldCharType="begin"/>
      </w:r>
      <w:r>
        <w:instrText xml:space="preserve"> PAGEREF _Toc31545 \h </w:instrText>
      </w:r>
      <w:r>
        <w:fldChar w:fldCharType="separate"/>
      </w:r>
      <w:r>
        <w:t>40</w:t>
      </w:r>
      <w:r>
        <w:fldChar w:fldCharType="end"/>
      </w:r>
      <w:r>
        <w:rPr>
          <w:rFonts w:hint="eastAsia" w:asciiTheme="minorEastAsia" w:hAnsiTheme="minorEastAsia" w:eastAsiaTheme="minorEastAsia" w:cstheme="minorEastAsia"/>
          <w:bCs/>
          <w:color w:val="000000"/>
        </w:rPr>
        <w:fldChar w:fldCharType="end"/>
      </w:r>
    </w:p>
    <w:p w14:paraId="62A95F2E">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_Toc8476 </w:instrText>
      </w:r>
      <w:r>
        <w:rPr>
          <w:rFonts w:hint="eastAsia" w:asciiTheme="minorEastAsia" w:hAnsiTheme="minorEastAsia" w:eastAsiaTheme="minorEastAsia" w:cstheme="minorEastAsia"/>
          <w:bCs/>
        </w:rPr>
        <w:fldChar w:fldCharType="separate"/>
      </w:r>
      <w:r>
        <w:rPr>
          <w:rFonts w:hint="eastAsia" w:ascii="黑体" w:hAnsi="黑体" w:eastAsia="黑体"/>
        </w:rPr>
        <w:t>8．</w:t>
      </w:r>
      <w:r>
        <w:rPr>
          <w:rFonts w:hint="eastAsia" w:ascii="黑体" w:hAnsi="黑体" w:eastAsia="黑体"/>
          <w:bCs/>
        </w:rPr>
        <w:t>评标报告</w:t>
      </w:r>
      <w:r>
        <w:rPr>
          <w:rFonts w:hint="eastAsia" w:ascii="黑体" w:hAnsi="黑体" w:eastAsia="黑体"/>
        </w:rPr>
        <w:t>复核</w:t>
      </w:r>
      <w:r>
        <w:tab/>
      </w:r>
      <w:r>
        <w:fldChar w:fldCharType="begin"/>
      </w:r>
      <w:r>
        <w:instrText xml:space="preserve"> PAGEREF _Toc8476 \h </w:instrText>
      </w:r>
      <w:r>
        <w:fldChar w:fldCharType="separate"/>
      </w:r>
      <w:r>
        <w:t>40</w:t>
      </w:r>
      <w:r>
        <w:fldChar w:fldCharType="end"/>
      </w:r>
      <w:r>
        <w:rPr>
          <w:rFonts w:hint="eastAsia" w:asciiTheme="minorEastAsia" w:hAnsiTheme="minorEastAsia" w:eastAsiaTheme="minorEastAsia" w:cstheme="minorEastAsia"/>
          <w:bCs/>
          <w:color w:val="000000"/>
        </w:rPr>
        <w:fldChar w:fldCharType="end"/>
      </w:r>
    </w:p>
    <w:p w14:paraId="40737FC4">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_Toc20988 </w:instrText>
      </w:r>
      <w:r>
        <w:rPr>
          <w:rFonts w:hint="eastAsia" w:asciiTheme="minorEastAsia" w:hAnsiTheme="minorEastAsia" w:eastAsiaTheme="minorEastAsia" w:cstheme="minorEastAsia"/>
          <w:bCs/>
        </w:rPr>
        <w:fldChar w:fldCharType="separate"/>
      </w:r>
      <w:r>
        <w:rPr>
          <w:rFonts w:hint="eastAsia" w:ascii="黑体" w:hAnsi="黑体" w:eastAsia="黑体"/>
          <w:bCs/>
        </w:rPr>
        <w:t>9．</w:t>
      </w:r>
      <w:r>
        <w:rPr>
          <w:rFonts w:hint="eastAsia" w:ascii="黑体" w:hAnsi="黑体" w:eastAsia="黑体"/>
        </w:rPr>
        <w:t>停止评标</w:t>
      </w:r>
      <w:r>
        <w:tab/>
      </w:r>
      <w:r>
        <w:fldChar w:fldCharType="begin"/>
      </w:r>
      <w:r>
        <w:instrText xml:space="preserve"> PAGEREF _Toc20988 \h </w:instrText>
      </w:r>
      <w:r>
        <w:fldChar w:fldCharType="separate"/>
      </w:r>
      <w:r>
        <w:t>40</w:t>
      </w:r>
      <w:r>
        <w:fldChar w:fldCharType="end"/>
      </w:r>
      <w:r>
        <w:rPr>
          <w:rFonts w:hint="eastAsia" w:asciiTheme="minorEastAsia" w:hAnsiTheme="minorEastAsia" w:eastAsiaTheme="minorEastAsia" w:cstheme="minorEastAsia"/>
          <w:bCs/>
          <w:color w:val="000000"/>
        </w:rPr>
        <w:fldChar w:fldCharType="end"/>
      </w:r>
    </w:p>
    <w:p w14:paraId="59743940">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_Toc1908 </w:instrText>
      </w:r>
      <w:r>
        <w:rPr>
          <w:rFonts w:hint="eastAsia" w:asciiTheme="minorEastAsia" w:hAnsiTheme="minorEastAsia" w:eastAsiaTheme="minorEastAsia" w:cstheme="minorEastAsia"/>
          <w:bCs/>
        </w:rPr>
        <w:fldChar w:fldCharType="separate"/>
      </w:r>
      <w:r>
        <w:rPr>
          <w:rFonts w:hint="eastAsia" w:ascii="黑体" w:hAnsi="黑体" w:eastAsia="黑体" w:cs="宋体"/>
          <w:bCs/>
          <w:kern w:val="0"/>
        </w:rPr>
        <w:t>10.废标</w:t>
      </w:r>
      <w:r>
        <w:tab/>
      </w:r>
      <w:r>
        <w:fldChar w:fldCharType="begin"/>
      </w:r>
      <w:r>
        <w:instrText xml:space="preserve"> PAGEREF _Toc1908 \h </w:instrText>
      </w:r>
      <w:r>
        <w:fldChar w:fldCharType="separate"/>
      </w:r>
      <w:r>
        <w:t>41</w:t>
      </w:r>
      <w:r>
        <w:fldChar w:fldCharType="end"/>
      </w:r>
      <w:r>
        <w:rPr>
          <w:rFonts w:hint="eastAsia" w:asciiTheme="minorEastAsia" w:hAnsiTheme="minorEastAsia" w:eastAsiaTheme="minorEastAsia" w:cstheme="minorEastAsia"/>
          <w:bCs/>
          <w:color w:val="000000"/>
        </w:rPr>
        <w:fldChar w:fldCharType="end"/>
      </w:r>
    </w:p>
    <w:p w14:paraId="04B961A9">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_Toc16309 </w:instrText>
      </w:r>
      <w:r>
        <w:rPr>
          <w:rFonts w:hint="eastAsia" w:asciiTheme="minorEastAsia" w:hAnsiTheme="minorEastAsia" w:eastAsiaTheme="minorEastAsia" w:cstheme="minorEastAsia"/>
          <w:bCs/>
        </w:rPr>
        <w:fldChar w:fldCharType="separate"/>
      </w:r>
      <w:r>
        <w:rPr>
          <w:rFonts w:hint="eastAsia" w:ascii="黑体" w:hAnsi="黑体" w:eastAsia="黑体" w:cs="宋体"/>
          <w:bCs/>
          <w:kern w:val="0"/>
        </w:rPr>
        <w:t>11．重新组建评标委员会进行评标</w:t>
      </w:r>
      <w:r>
        <w:tab/>
      </w:r>
      <w:r>
        <w:fldChar w:fldCharType="begin"/>
      </w:r>
      <w:r>
        <w:instrText xml:space="preserve"> PAGEREF _Toc16309 \h </w:instrText>
      </w:r>
      <w:r>
        <w:fldChar w:fldCharType="separate"/>
      </w:r>
      <w:r>
        <w:t>41</w:t>
      </w:r>
      <w:r>
        <w:fldChar w:fldCharType="end"/>
      </w:r>
      <w:r>
        <w:rPr>
          <w:rFonts w:hint="eastAsia" w:asciiTheme="minorEastAsia" w:hAnsiTheme="minorEastAsia" w:eastAsiaTheme="minorEastAsia" w:cstheme="minorEastAsia"/>
          <w:bCs/>
          <w:color w:val="000000"/>
        </w:rPr>
        <w:fldChar w:fldCharType="end"/>
      </w:r>
    </w:p>
    <w:p w14:paraId="20FA4FD9">
      <w:pPr>
        <w:pStyle w:val="35"/>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_Toc14885 </w:instrText>
      </w:r>
      <w:r>
        <w:rPr>
          <w:rFonts w:hint="eastAsia" w:asciiTheme="minorEastAsia" w:hAnsiTheme="minorEastAsia" w:eastAsiaTheme="minorEastAsia" w:cstheme="minorEastAsia"/>
          <w:bCs/>
        </w:rPr>
        <w:fldChar w:fldCharType="separate"/>
      </w:r>
      <w:r>
        <w:rPr>
          <w:rFonts w:hint="eastAsia" w:ascii="黑体" w:hAnsi="华文中宋" w:eastAsia="黑体"/>
          <w:bCs/>
          <w:szCs w:val="28"/>
        </w:rPr>
        <w:t>第三节 投标文件的符合性审查</w:t>
      </w:r>
      <w:r>
        <w:tab/>
      </w:r>
      <w:r>
        <w:fldChar w:fldCharType="begin"/>
      </w:r>
      <w:r>
        <w:instrText xml:space="preserve"> PAGEREF _Toc14885 \h </w:instrText>
      </w:r>
      <w:r>
        <w:fldChar w:fldCharType="separate"/>
      </w:r>
      <w:r>
        <w:t>42</w:t>
      </w:r>
      <w:r>
        <w:fldChar w:fldCharType="end"/>
      </w:r>
      <w:r>
        <w:rPr>
          <w:rFonts w:hint="eastAsia" w:asciiTheme="minorEastAsia" w:hAnsiTheme="minorEastAsia" w:eastAsiaTheme="minorEastAsia" w:cstheme="minorEastAsia"/>
          <w:bCs/>
          <w:color w:val="000000"/>
        </w:rPr>
        <w:fldChar w:fldCharType="end"/>
      </w:r>
    </w:p>
    <w:p w14:paraId="5D9AC387">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_Toc6571 </w:instrText>
      </w:r>
      <w:r>
        <w:rPr>
          <w:rFonts w:hint="eastAsia" w:asciiTheme="minorEastAsia" w:hAnsiTheme="minorEastAsia" w:eastAsiaTheme="minorEastAsia" w:cstheme="minorEastAsia"/>
          <w:bCs/>
        </w:rPr>
        <w:fldChar w:fldCharType="separate"/>
      </w:r>
      <w:r>
        <w:rPr>
          <w:rFonts w:hint="eastAsia"/>
          <w:bCs/>
          <w:szCs w:val="21"/>
        </w:rPr>
        <w:t>附表1 符合性审查表</w:t>
      </w:r>
      <w:r>
        <w:tab/>
      </w:r>
      <w:r>
        <w:fldChar w:fldCharType="begin"/>
      </w:r>
      <w:r>
        <w:instrText xml:space="preserve"> PAGEREF _Toc6571 \h </w:instrText>
      </w:r>
      <w:r>
        <w:fldChar w:fldCharType="separate"/>
      </w:r>
      <w:r>
        <w:t>43</w:t>
      </w:r>
      <w:r>
        <w:fldChar w:fldCharType="end"/>
      </w:r>
      <w:r>
        <w:rPr>
          <w:rFonts w:hint="eastAsia" w:asciiTheme="minorEastAsia" w:hAnsiTheme="minorEastAsia" w:eastAsiaTheme="minorEastAsia" w:cstheme="minorEastAsia"/>
          <w:bCs/>
          <w:color w:val="000000"/>
        </w:rPr>
        <w:fldChar w:fldCharType="end"/>
      </w:r>
    </w:p>
    <w:p w14:paraId="55E39727">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_Toc9544 </w:instrText>
      </w:r>
      <w:r>
        <w:rPr>
          <w:rFonts w:hint="eastAsia" w:asciiTheme="minorEastAsia" w:hAnsiTheme="minorEastAsia" w:eastAsiaTheme="minorEastAsia" w:cstheme="minorEastAsia"/>
          <w:bCs/>
        </w:rPr>
        <w:fldChar w:fldCharType="separate"/>
      </w:r>
      <w:r>
        <w:rPr>
          <w:rFonts w:hint="eastAsia"/>
          <w:bCs/>
          <w:szCs w:val="21"/>
        </w:rPr>
        <w:t>附表2 符合性审查结果一览表</w:t>
      </w:r>
      <w:r>
        <w:tab/>
      </w:r>
      <w:r>
        <w:fldChar w:fldCharType="begin"/>
      </w:r>
      <w:r>
        <w:instrText xml:space="preserve"> PAGEREF _Toc9544 \h </w:instrText>
      </w:r>
      <w:r>
        <w:fldChar w:fldCharType="separate"/>
      </w:r>
      <w:r>
        <w:t>45</w:t>
      </w:r>
      <w:r>
        <w:fldChar w:fldCharType="end"/>
      </w:r>
      <w:r>
        <w:rPr>
          <w:rFonts w:hint="eastAsia" w:asciiTheme="minorEastAsia" w:hAnsiTheme="minorEastAsia" w:eastAsiaTheme="minorEastAsia" w:cstheme="minorEastAsia"/>
          <w:bCs/>
          <w:color w:val="000000"/>
        </w:rPr>
        <w:fldChar w:fldCharType="end"/>
      </w:r>
    </w:p>
    <w:p w14:paraId="31A1C97F">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_Toc32727 </w:instrText>
      </w:r>
      <w:r>
        <w:rPr>
          <w:rFonts w:hint="eastAsia" w:asciiTheme="minorEastAsia" w:hAnsiTheme="minorEastAsia" w:eastAsiaTheme="minorEastAsia" w:cstheme="minorEastAsia"/>
          <w:bCs/>
        </w:rPr>
        <w:fldChar w:fldCharType="separate"/>
      </w:r>
      <w:r>
        <w:rPr>
          <w:rFonts w:hint="eastAsia"/>
          <w:bCs/>
          <w:szCs w:val="21"/>
        </w:rPr>
        <w:t>附表3 符合性审查合格投标人名单</w:t>
      </w:r>
      <w:r>
        <w:tab/>
      </w:r>
      <w:r>
        <w:fldChar w:fldCharType="begin"/>
      </w:r>
      <w:r>
        <w:instrText xml:space="preserve"> PAGEREF _Toc32727 \h </w:instrText>
      </w:r>
      <w:r>
        <w:fldChar w:fldCharType="separate"/>
      </w:r>
      <w:r>
        <w:t>46</w:t>
      </w:r>
      <w:r>
        <w:fldChar w:fldCharType="end"/>
      </w:r>
      <w:r>
        <w:rPr>
          <w:rFonts w:hint="eastAsia" w:asciiTheme="minorEastAsia" w:hAnsiTheme="minorEastAsia" w:eastAsiaTheme="minorEastAsia" w:cstheme="minorEastAsia"/>
          <w:bCs/>
          <w:color w:val="000000"/>
        </w:rPr>
        <w:fldChar w:fldCharType="end"/>
      </w:r>
    </w:p>
    <w:p w14:paraId="1DC21AB6">
      <w:pPr>
        <w:pStyle w:val="35"/>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_Toc17449 </w:instrText>
      </w:r>
      <w:r>
        <w:rPr>
          <w:rFonts w:hint="eastAsia" w:asciiTheme="minorEastAsia" w:hAnsiTheme="minorEastAsia" w:eastAsiaTheme="minorEastAsia" w:cstheme="minorEastAsia"/>
          <w:bCs/>
        </w:rPr>
        <w:fldChar w:fldCharType="separate"/>
      </w:r>
      <w:r>
        <w:rPr>
          <w:rFonts w:hint="eastAsia" w:ascii="黑体" w:hAnsi="华文中宋" w:eastAsia="黑体"/>
          <w:bCs/>
          <w:szCs w:val="28"/>
        </w:rPr>
        <w:t>第四节 投标文件的比较与评价（综合评分法）</w:t>
      </w:r>
      <w:r>
        <w:tab/>
      </w:r>
      <w:r>
        <w:fldChar w:fldCharType="begin"/>
      </w:r>
      <w:r>
        <w:instrText xml:space="preserve"> PAGEREF _Toc17449 \h </w:instrText>
      </w:r>
      <w:r>
        <w:fldChar w:fldCharType="separate"/>
      </w:r>
      <w:r>
        <w:t>47</w:t>
      </w:r>
      <w:r>
        <w:fldChar w:fldCharType="end"/>
      </w:r>
      <w:r>
        <w:rPr>
          <w:rFonts w:hint="eastAsia" w:asciiTheme="minorEastAsia" w:hAnsiTheme="minorEastAsia" w:eastAsiaTheme="minorEastAsia" w:cstheme="minorEastAsia"/>
          <w:bCs/>
          <w:color w:val="000000"/>
        </w:rPr>
        <w:fldChar w:fldCharType="end"/>
      </w:r>
    </w:p>
    <w:p w14:paraId="05517933">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_Toc22179 </w:instrText>
      </w:r>
      <w:r>
        <w:rPr>
          <w:rFonts w:hint="eastAsia" w:asciiTheme="minorEastAsia" w:hAnsiTheme="minorEastAsia" w:eastAsiaTheme="minorEastAsia" w:cstheme="minorEastAsia"/>
          <w:bCs/>
        </w:rPr>
        <w:fldChar w:fldCharType="separate"/>
      </w:r>
      <w:r>
        <w:rPr>
          <w:rFonts w:hint="eastAsia"/>
          <w:bCs/>
          <w:szCs w:val="21"/>
        </w:rPr>
        <w:t>附页1 评标方法及标准表</w:t>
      </w:r>
      <w:r>
        <w:tab/>
      </w:r>
      <w:r>
        <w:fldChar w:fldCharType="begin"/>
      </w:r>
      <w:r>
        <w:instrText xml:space="preserve"> PAGEREF _Toc22179 \h </w:instrText>
      </w:r>
      <w:r>
        <w:fldChar w:fldCharType="separate"/>
      </w:r>
      <w:r>
        <w:t>49</w:t>
      </w:r>
      <w:r>
        <w:fldChar w:fldCharType="end"/>
      </w:r>
      <w:r>
        <w:rPr>
          <w:rFonts w:hint="eastAsia" w:asciiTheme="minorEastAsia" w:hAnsiTheme="minorEastAsia" w:eastAsiaTheme="minorEastAsia" w:cstheme="minorEastAsia"/>
          <w:bCs/>
          <w:color w:val="000000"/>
        </w:rPr>
        <w:fldChar w:fldCharType="end"/>
      </w:r>
    </w:p>
    <w:p w14:paraId="5F31875E">
      <w:pPr>
        <w:pStyle w:val="31"/>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_Toc11926 </w:instrText>
      </w:r>
      <w:r>
        <w:rPr>
          <w:rFonts w:hint="eastAsia" w:asciiTheme="minorEastAsia" w:hAnsiTheme="minorEastAsia" w:eastAsiaTheme="minorEastAsia" w:cstheme="minorEastAsia"/>
          <w:bCs/>
        </w:rPr>
        <w:fldChar w:fldCharType="separate"/>
      </w:r>
      <w:r>
        <w:rPr>
          <w:rFonts w:hint="eastAsia" w:ascii="黑体" w:hAnsi="华文中宋" w:eastAsia="黑体"/>
          <w:szCs w:val="32"/>
        </w:rPr>
        <w:t>第五章 采购需求</w:t>
      </w:r>
      <w:r>
        <w:tab/>
      </w:r>
      <w:r>
        <w:fldChar w:fldCharType="begin"/>
      </w:r>
      <w:r>
        <w:instrText xml:space="preserve"> PAGEREF _Toc11926 \h </w:instrText>
      </w:r>
      <w:r>
        <w:fldChar w:fldCharType="separate"/>
      </w:r>
      <w:r>
        <w:t>53</w:t>
      </w:r>
      <w:r>
        <w:fldChar w:fldCharType="end"/>
      </w:r>
      <w:r>
        <w:rPr>
          <w:rFonts w:hint="eastAsia" w:asciiTheme="minorEastAsia" w:hAnsiTheme="minorEastAsia" w:eastAsiaTheme="minorEastAsia" w:cstheme="minorEastAsia"/>
          <w:bCs/>
          <w:color w:val="000000"/>
        </w:rPr>
        <w:fldChar w:fldCharType="end"/>
      </w:r>
    </w:p>
    <w:p w14:paraId="2C1F840C">
      <w:pPr>
        <w:pStyle w:val="31"/>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_Toc12170 </w:instrText>
      </w:r>
      <w:r>
        <w:rPr>
          <w:rFonts w:hint="eastAsia" w:asciiTheme="minorEastAsia" w:hAnsiTheme="minorEastAsia" w:eastAsiaTheme="minorEastAsia" w:cstheme="minorEastAsia"/>
          <w:bCs/>
        </w:rPr>
        <w:fldChar w:fldCharType="separate"/>
      </w:r>
      <w:r>
        <w:rPr>
          <w:rFonts w:hint="eastAsia" w:ascii="黑体" w:hAnsi="华文中宋" w:eastAsia="黑体"/>
          <w:szCs w:val="32"/>
        </w:rPr>
        <w:t>第六章 政府采购合同</w:t>
      </w:r>
      <w:r>
        <w:tab/>
      </w:r>
      <w:r>
        <w:fldChar w:fldCharType="begin"/>
      </w:r>
      <w:r>
        <w:instrText xml:space="preserve"> PAGEREF _Toc12170 \h </w:instrText>
      </w:r>
      <w:r>
        <w:fldChar w:fldCharType="separate"/>
      </w:r>
      <w:r>
        <w:t>56</w:t>
      </w:r>
      <w:r>
        <w:fldChar w:fldCharType="end"/>
      </w:r>
      <w:r>
        <w:rPr>
          <w:rFonts w:hint="eastAsia" w:asciiTheme="minorEastAsia" w:hAnsiTheme="minorEastAsia" w:eastAsiaTheme="minorEastAsia" w:cstheme="minorEastAsia"/>
          <w:bCs/>
          <w:color w:val="000000"/>
        </w:rPr>
        <w:fldChar w:fldCharType="end"/>
      </w:r>
    </w:p>
    <w:p w14:paraId="05027B6F">
      <w:pPr>
        <w:pStyle w:val="35"/>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_Toc11638 </w:instrText>
      </w:r>
      <w:r>
        <w:rPr>
          <w:rFonts w:hint="eastAsia" w:asciiTheme="minorEastAsia" w:hAnsiTheme="minorEastAsia" w:eastAsiaTheme="minorEastAsia" w:cstheme="minorEastAsia"/>
          <w:bCs/>
        </w:rPr>
        <w:fldChar w:fldCharType="separate"/>
      </w:r>
      <w:r>
        <w:rPr>
          <w:rFonts w:hint="eastAsia" w:ascii="宋体" w:hAnsi="宋体" w:eastAsia="宋体" w:cs="Times New Roman"/>
          <w:kern w:val="0"/>
          <w:lang w:val="en-US" w:eastAsia="zh-CN" w:bidi="ar-SA"/>
        </w:rPr>
        <w:t>第一节 政府采购合同协议书</w:t>
      </w:r>
      <w:r>
        <w:tab/>
      </w:r>
      <w:r>
        <w:fldChar w:fldCharType="begin"/>
      </w:r>
      <w:r>
        <w:instrText xml:space="preserve"> PAGEREF _Toc11638 \h </w:instrText>
      </w:r>
      <w:r>
        <w:fldChar w:fldCharType="separate"/>
      </w:r>
      <w:r>
        <w:t>56</w:t>
      </w:r>
      <w:r>
        <w:fldChar w:fldCharType="end"/>
      </w:r>
      <w:r>
        <w:rPr>
          <w:rFonts w:hint="eastAsia" w:asciiTheme="minorEastAsia" w:hAnsiTheme="minorEastAsia" w:eastAsiaTheme="minorEastAsia" w:cstheme="minorEastAsia"/>
          <w:bCs/>
          <w:color w:val="000000"/>
        </w:rPr>
        <w:fldChar w:fldCharType="end"/>
      </w:r>
    </w:p>
    <w:p w14:paraId="528EBE75">
      <w:pPr>
        <w:pStyle w:val="35"/>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_Toc8137 </w:instrText>
      </w:r>
      <w:r>
        <w:rPr>
          <w:rFonts w:hint="eastAsia" w:asciiTheme="minorEastAsia" w:hAnsiTheme="minorEastAsia" w:eastAsiaTheme="minorEastAsia" w:cstheme="minorEastAsia"/>
          <w:bCs/>
        </w:rPr>
        <w:fldChar w:fldCharType="separate"/>
      </w:r>
      <w:r>
        <w:rPr>
          <w:rFonts w:hint="eastAsia" w:ascii="黑体" w:hAnsi="黑体" w:eastAsia="黑体"/>
          <w:szCs w:val="28"/>
          <w:highlight w:val="none"/>
        </w:rPr>
        <w:t>第二节 政府采购合同通用条款</w:t>
      </w:r>
      <w:r>
        <w:tab/>
      </w:r>
      <w:r>
        <w:fldChar w:fldCharType="begin"/>
      </w:r>
      <w:r>
        <w:instrText xml:space="preserve"> PAGEREF _Toc8137 \h </w:instrText>
      </w:r>
      <w:r>
        <w:fldChar w:fldCharType="separate"/>
      </w:r>
      <w:r>
        <w:t>59</w:t>
      </w:r>
      <w:r>
        <w:fldChar w:fldCharType="end"/>
      </w:r>
      <w:r>
        <w:rPr>
          <w:rFonts w:hint="eastAsia" w:asciiTheme="minorEastAsia" w:hAnsiTheme="minorEastAsia" w:eastAsiaTheme="minorEastAsia" w:cstheme="minorEastAsia"/>
          <w:bCs/>
          <w:color w:val="000000"/>
        </w:rPr>
        <w:fldChar w:fldCharType="end"/>
      </w:r>
    </w:p>
    <w:p w14:paraId="1B9BDDF1">
      <w:pPr>
        <w:pStyle w:val="35"/>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_Toc31038 </w:instrText>
      </w:r>
      <w:r>
        <w:rPr>
          <w:rFonts w:hint="eastAsia" w:asciiTheme="minorEastAsia" w:hAnsiTheme="minorEastAsia" w:eastAsiaTheme="minorEastAsia" w:cstheme="minorEastAsia"/>
          <w:bCs/>
        </w:rPr>
        <w:fldChar w:fldCharType="separate"/>
      </w:r>
      <w:r>
        <w:rPr>
          <w:rFonts w:hint="eastAsia" w:ascii="黑体" w:hAnsi="华文中宋" w:eastAsia="黑体"/>
          <w:szCs w:val="28"/>
        </w:rPr>
        <w:t>第三节 政府采购合同专用条款</w:t>
      </w:r>
      <w:r>
        <w:tab/>
      </w:r>
      <w:r>
        <w:fldChar w:fldCharType="begin"/>
      </w:r>
      <w:r>
        <w:instrText xml:space="preserve"> PAGEREF _Toc31038 \h </w:instrText>
      </w:r>
      <w:r>
        <w:fldChar w:fldCharType="separate"/>
      </w:r>
      <w:r>
        <w:t>66</w:t>
      </w:r>
      <w:r>
        <w:fldChar w:fldCharType="end"/>
      </w:r>
      <w:r>
        <w:rPr>
          <w:rFonts w:hint="eastAsia" w:asciiTheme="minorEastAsia" w:hAnsiTheme="minorEastAsia" w:eastAsiaTheme="minorEastAsia" w:cstheme="minorEastAsia"/>
          <w:bCs/>
          <w:color w:val="000000"/>
        </w:rPr>
        <w:fldChar w:fldCharType="end"/>
      </w:r>
    </w:p>
    <w:p w14:paraId="19141B17">
      <w:pPr>
        <w:pStyle w:val="31"/>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_Toc15743 </w:instrText>
      </w:r>
      <w:r>
        <w:rPr>
          <w:rFonts w:hint="eastAsia" w:asciiTheme="minorEastAsia" w:hAnsiTheme="minorEastAsia" w:eastAsiaTheme="minorEastAsia" w:cstheme="minorEastAsia"/>
          <w:bCs/>
        </w:rPr>
        <w:fldChar w:fldCharType="separate"/>
      </w:r>
      <w:r>
        <w:rPr>
          <w:rFonts w:hint="eastAsia" w:ascii="黑体" w:hAnsi="华文中宋" w:eastAsia="黑体"/>
          <w:szCs w:val="32"/>
        </w:rPr>
        <w:t>第七章 投标文件的组成</w:t>
      </w:r>
      <w:r>
        <w:tab/>
      </w:r>
      <w:r>
        <w:fldChar w:fldCharType="begin"/>
      </w:r>
      <w:r>
        <w:instrText xml:space="preserve"> PAGEREF _Toc15743 \h </w:instrText>
      </w:r>
      <w:r>
        <w:fldChar w:fldCharType="separate"/>
      </w:r>
      <w:r>
        <w:t>67</w:t>
      </w:r>
      <w:r>
        <w:fldChar w:fldCharType="end"/>
      </w:r>
      <w:r>
        <w:rPr>
          <w:rFonts w:hint="eastAsia" w:asciiTheme="minorEastAsia" w:hAnsiTheme="minorEastAsia" w:eastAsiaTheme="minorEastAsia" w:cstheme="minorEastAsia"/>
          <w:bCs/>
          <w:color w:val="000000"/>
        </w:rPr>
        <w:fldChar w:fldCharType="end"/>
      </w:r>
    </w:p>
    <w:p w14:paraId="31FB7B4B">
      <w:pPr>
        <w:pStyle w:val="35"/>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_Toc6410 </w:instrText>
      </w:r>
      <w:r>
        <w:rPr>
          <w:rFonts w:hint="eastAsia" w:asciiTheme="minorEastAsia" w:hAnsiTheme="minorEastAsia" w:eastAsiaTheme="minorEastAsia" w:cstheme="minorEastAsia"/>
          <w:bCs/>
        </w:rPr>
        <w:fldChar w:fldCharType="separate"/>
      </w:r>
      <w:r>
        <w:rPr>
          <w:rFonts w:hint="eastAsia" w:ascii="黑体" w:hAnsi="黑体" w:eastAsia="黑体"/>
          <w:szCs w:val="44"/>
        </w:rPr>
        <w:t>第一部分 资格证明文件</w:t>
      </w:r>
      <w:r>
        <w:tab/>
      </w:r>
      <w:r>
        <w:fldChar w:fldCharType="begin"/>
      </w:r>
      <w:r>
        <w:instrText xml:space="preserve"> PAGEREF _Toc6410 \h </w:instrText>
      </w:r>
      <w:r>
        <w:fldChar w:fldCharType="separate"/>
      </w:r>
      <w:r>
        <w:t>68</w:t>
      </w:r>
      <w:r>
        <w:fldChar w:fldCharType="end"/>
      </w:r>
      <w:r>
        <w:rPr>
          <w:rFonts w:hint="eastAsia" w:asciiTheme="minorEastAsia" w:hAnsiTheme="minorEastAsia" w:eastAsiaTheme="minorEastAsia" w:cstheme="minorEastAsia"/>
          <w:bCs/>
          <w:color w:val="000000"/>
        </w:rPr>
        <w:fldChar w:fldCharType="end"/>
      </w:r>
    </w:p>
    <w:p w14:paraId="70A82F35">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_Toc32498 </w:instrText>
      </w:r>
      <w:r>
        <w:rPr>
          <w:rFonts w:hint="eastAsia" w:asciiTheme="minorEastAsia" w:hAnsiTheme="minorEastAsia" w:eastAsiaTheme="minorEastAsia" w:cstheme="minorEastAsia"/>
          <w:bCs/>
        </w:rPr>
        <w:fldChar w:fldCharType="separate"/>
      </w:r>
      <w:r>
        <w:rPr>
          <w:rFonts w:hint="eastAsia" w:ascii="黑体" w:hAnsi="宋体" w:eastAsia="黑体"/>
          <w:szCs w:val="28"/>
        </w:rPr>
        <w:t>一、 开标一览表</w:t>
      </w:r>
      <w:r>
        <w:tab/>
      </w:r>
      <w:r>
        <w:fldChar w:fldCharType="begin"/>
      </w:r>
      <w:r>
        <w:instrText xml:space="preserve"> PAGEREF _Toc32498 \h </w:instrText>
      </w:r>
      <w:r>
        <w:fldChar w:fldCharType="separate"/>
      </w:r>
      <w:r>
        <w:t>70</w:t>
      </w:r>
      <w:r>
        <w:fldChar w:fldCharType="end"/>
      </w:r>
      <w:r>
        <w:rPr>
          <w:rFonts w:hint="eastAsia" w:asciiTheme="minorEastAsia" w:hAnsiTheme="minorEastAsia" w:eastAsiaTheme="minorEastAsia" w:cstheme="minorEastAsia"/>
          <w:bCs/>
          <w:color w:val="000000"/>
        </w:rPr>
        <w:fldChar w:fldCharType="end"/>
      </w:r>
    </w:p>
    <w:p w14:paraId="6510E4F3">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_Toc20307 </w:instrText>
      </w:r>
      <w:r>
        <w:rPr>
          <w:rFonts w:hint="eastAsia" w:asciiTheme="minorEastAsia" w:hAnsiTheme="minorEastAsia" w:eastAsiaTheme="minorEastAsia" w:cstheme="minorEastAsia"/>
          <w:bCs/>
        </w:rPr>
        <w:fldChar w:fldCharType="separate"/>
      </w:r>
      <w:r>
        <w:rPr>
          <w:rFonts w:hint="eastAsia" w:ascii="黑体" w:hAnsi="宋体" w:eastAsia="黑体"/>
          <w:szCs w:val="28"/>
          <w:lang w:val="en-US" w:eastAsia="zh-CN"/>
        </w:rPr>
        <w:t>二</w:t>
      </w:r>
      <w:r>
        <w:rPr>
          <w:rFonts w:hint="eastAsia" w:ascii="黑体" w:hAnsi="宋体" w:eastAsia="黑体"/>
          <w:szCs w:val="28"/>
        </w:rPr>
        <w:t>、法定代表人（单位负责人）身份证明</w:t>
      </w:r>
      <w:r>
        <w:tab/>
      </w:r>
      <w:r>
        <w:fldChar w:fldCharType="begin"/>
      </w:r>
      <w:r>
        <w:instrText xml:space="preserve"> PAGEREF _Toc20307 \h </w:instrText>
      </w:r>
      <w:r>
        <w:fldChar w:fldCharType="separate"/>
      </w:r>
      <w:r>
        <w:t>71</w:t>
      </w:r>
      <w:r>
        <w:fldChar w:fldCharType="end"/>
      </w:r>
      <w:r>
        <w:rPr>
          <w:rFonts w:hint="eastAsia" w:asciiTheme="minorEastAsia" w:hAnsiTheme="minorEastAsia" w:eastAsiaTheme="minorEastAsia" w:cstheme="minorEastAsia"/>
          <w:bCs/>
          <w:color w:val="000000"/>
        </w:rPr>
        <w:fldChar w:fldCharType="end"/>
      </w:r>
    </w:p>
    <w:p w14:paraId="4B8338CF">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_Toc21712 </w:instrText>
      </w:r>
      <w:r>
        <w:rPr>
          <w:rFonts w:hint="eastAsia" w:asciiTheme="minorEastAsia" w:hAnsiTheme="minorEastAsia" w:eastAsiaTheme="minorEastAsia" w:cstheme="minorEastAsia"/>
          <w:bCs/>
        </w:rPr>
        <w:fldChar w:fldCharType="separate"/>
      </w:r>
      <w:r>
        <w:rPr>
          <w:rFonts w:hint="eastAsia" w:ascii="黑体" w:hAnsi="宋体" w:eastAsia="黑体"/>
          <w:szCs w:val="28"/>
          <w:lang w:val="en-US" w:eastAsia="zh-CN"/>
        </w:rPr>
        <w:t>三</w:t>
      </w:r>
      <w:r>
        <w:rPr>
          <w:rFonts w:hint="eastAsia" w:ascii="黑体" w:hAnsi="宋体" w:eastAsia="黑体"/>
          <w:szCs w:val="28"/>
        </w:rPr>
        <w:t>、授权委托书</w:t>
      </w:r>
      <w:r>
        <w:tab/>
      </w:r>
      <w:r>
        <w:fldChar w:fldCharType="begin"/>
      </w:r>
      <w:r>
        <w:instrText xml:space="preserve"> PAGEREF _Toc21712 \h </w:instrText>
      </w:r>
      <w:r>
        <w:fldChar w:fldCharType="separate"/>
      </w:r>
      <w:r>
        <w:t>72</w:t>
      </w:r>
      <w:r>
        <w:fldChar w:fldCharType="end"/>
      </w:r>
      <w:r>
        <w:rPr>
          <w:rFonts w:hint="eastAsia" w:asciiTheme="minorEastAsia" w:hAnsiTheme="minorEastAsia" w:eastAsiaTheme="minorEastAsia" w:cstheme="minorEastAsia"/>
          <w:bCs/>
          <w:color w:val="000000"/>
        </w:rPr>
        <w:fldChar w:fldCharType="end"/>
      </w:r>
    </w:p>
    <w:p w14:paraId="541520FA">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_Toc10664 </w:instrText>
      </w:r>
      <w:r>
        <w:rPr>
          <w:rFonts w:hint="eastAsia" w:asciiTheme="minorEastAsia" w:hAnsiTheme="minorEastAsia" w:eastAsiaTheme="minorEastAsia" w:cstheme="minorEastAsia"/>
          <w:bCs/>
        </w:rPr>
        <w:fldChar w:fldCharType="separate"/>
      </w:r>
      <w:r>
        <w:rPr>
          <w:rFonts w:hint="eastAsia" w:ascii="黑体" w:hAnsi="宋体" w:eastAsia="黑体"/>
          <w:szCs w:val="28"/>
          <w:lang w:val="en-US" w:eastAsia="zh-CN"/>
        </w:rPr>
        <w:t>四、投标人提供的资格证明文件</w:t>
      </w:r>
      <w:r>
        <w:tab/>
      </w:r>
      <w:r>
        <w:fldChar w:fldCharType="begin"/>
      </w:r>
      <w:r>
        <w:instrText xml:space="preserve"> PAGEREF _Toc10664 \h </w:instrText>
      </w:r>
      <w:r>
        <w:fldChar w:fldCharType="separate"/>
      </w:r>
      <w:r>
        <w:t>73</w:t>
      </w:r>
      <w:r>
        <w:fldChar w:fldCharType="end"/>
      </w:r>
      <w:r>
        <w:rPr>
          <w:rFonts w:hint="eastAsia" w:asciiTheme="minorEastAsia" w:hAnsiTheme="minorEastAsia" w:eastAsiaTheme="minorEastAsia" w:cstheme="minorEastAsia"/>
          <w:bCs/>
          <w:color w:val="000000"/>
        </w:rPr>
        <w:fldChar w:fldCharType="end"/>
      </w:r>
    </w:p>
    <w:p w14:paraId="5709CCAD">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_Toc24486 </w:instrText>
      </w:r>
      <w:r>
        <w:rPr>
          <w:rFonts w:hint="eastAsia" w:asciiTheme="minorEastAsia" w:hAnsiTheme="minorEastAsia" w:eastAsiaTheme="minorEastAsia" w:cstheme="minorEastAsia"/>
          <w:bCs/>
        </w:rPr>
        <w:fldChar w:fldCharType="separate"/>
      </w:r>
      <w:r>
        <w:rPr>
          <w:rFonts w:hint="eastAsia" w:ascii="黑体" w:hAnsi="仿宋" w:eastAsia="黑体" w:cs="宋体"/>
          <w:bCs/>
          <w:szCs w:val="21"/>
        </w:rPr>
        <w:t>附件</w:t>
      </w:r>
      <w:r>
        <w:rPr>
          <w:rFonts w:hint="eastAsia" w:ascii="黑体" w:hAnsi="仿宋" w:eastAsia="黑体" w:cs="宋体"/>
          <w:bCs/>
          <w:szCs w:val="21"/>
          <w:lang w:val="en-US" w:eastAsia="zh-CN"/>
        </w:rPr>
        <w:t>4</w:t>
      </w:r>
      <w:r>
        <w:rPr>
          <w:rFonts w:hint="eastAsia" w:ascii="黑体" w:hAnsi="仿宋" w:eastAsia="黑体" w:cs="宋体"/>
          <w:bCs/>
          <w:szCs w:val="21"/>
        </w:rPr>
        <w:t>-1 投标人资格声明(格式)</w:t>
      </w:r>
      <w:r>
        <w:tab/>
      </w:r>
      <w:r>
        <w:fldChar w:fldCharType="begin"/>
      </w:r>
      <w:r>
        <w:instrText xml:space="preserve"> PAGEREF _Toc24486 \h </w:instrText>
      </w:r>
      <w:r>
        <w:fldChar w:fldCharType="separate"/>
      </w:r>
      <w:r>
        <w:t>74</w:t>
      </w:r>
      <w:r>
        <w:fldChar w:fldCharType="end"/>
      </w:r>
      <w:r>
        <w:rPr>
          <w:rFonts w:hint="eastAsia" w:asciiTheme="minorEastAsia" w:hAnsiTheme="minorEastAsia" w:eastAsiaTheme="minorEastAsia" w:cstheme="minorEastAsia"/>
          <w:bCs/>
          <w:color w:val="000000"/>
        </w:rPr>
        <w:fldChar w:fldCharType="end"/>
      </w:r>
    </w:p>
    <w:p w14:paraId="5502A4F5">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_Toc13005 </w:instrText>
      </w:r>
      <w:r>
        <w:rPr>
          <w:rFonts w:hint="eastAsia" w:asciiTheme="minorEastAsia" w:hAnsiTheme="minorEastAsia" w:eastAsiaTheme="minorEastAsia" w:cstheme="minorEastAsia"/>
          <w:bCs/>
        </w:rPr>
        <w:fldChar w:fldCharType="separate"/>
      </w:r>
      <w:r>
        <w:rPr>
          <w:rFonts w:hint="eastAsia" w:ascii="黑体" w:hAnsi="仿宋" w:cs="宋体"/>
          <w:szCs w:val="21"/>
        </w:rPr>
        <w:t>附件</w:t>
      </w:r>
      <w:r>
        <w:rPr>
          <w:rFonts w:hint="eastAsia" w:ascii="黑体" w:hAnsi="仿宋" w:cs="宋体"/>
          <w:szCs w:val="21"/>
          <w:lang w:val="en-US" w:eastAsia="zh-CN"/>
        </w:rPr>
        <w:t>4</w:t>
      </w:r>
      <w:r>
        <w:rPr>
          <w:rFonts w:hint="eastAsia" w:ascii="黑体" w:hAnsi="仿宋" w:cs="宋体"/>
          <w:szCs w:val="21"/>
        </w:rPr>
        <w:t>-2 法人或者其他组织的营业执照等主体资格证明文件，自然人的身份证明</w:t>
      </w:r>
      <w:r>
        <w:tab/>
      </w:r>
      <w:r>
        <w:fldChar w:fldCharType="begin"/>
      </w:r>
      <w:r>
        <w:instrText xml:space="preserve"> PAGEREF _Toc13005 \h </w:instrText>
      </w:r>
      <w:r>
        <w:fldChar w:fldCharType="separate"/>
      </w:r>
      <w:r>
        <w:t>76</w:t>
      </w:r>
      <w:r>
        <w:fldChar w:fldCharType="end"/>
      </w:r>
      <w:r>
        <w:rPr>
          <w:rFonts w:hint="eastAsia" w:asciiTheme="minorEastAsia" w:hAnsiTheme="minorEastAsia" w:eastAsiaTheme="minorEastAsia" w:cstheme="minorEastAsia"/>
          <w:bCs/>
          <w:color w:val="000000"/>
        </w:rPr>
        <w:fldChar w:fldCharType="end"/>
      </w:r>
    </w:p>
    <w:p w14:paraId="1B95E764">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_Toc25060 </w:instrText>
      </w:r>
      <w:r>
        <w:rPr>
          <w:rFonts w:hint="eastAsia" w:asciiTheme="minorEastAsia" w:hAnsiTheme="minorEastAsia" w:eastAsiaTheme="minorEastAsia" w:cstheme="minorEastAsia"/>
          <w:bCs/>
        </w:rPr>
        <w:fldChar w:fldCharType="separate"/>
      </w:r>
      <w:r>
        <w:rPr>
          <w:rFonts w:hint="eastAsia" w:ascii="黑体" w:hAnsi="仿宋" w:cs="宋体"/>
          <w:szCs w:val="21"/>
        </w:rPr>
        <w:t>附件</w:t>
      </w:r>
      <w:r>
        <w:rPr>
          <w:rFonts w:hint="eastAsia" w:ascii="黑体" w:hAnsi="仿宋" w:cs="宋体"/>
          <w:szCs w:val="21"/>
          <w:lang w:val="en-US" w:eastAsia="zh-CN"/>
        </w:rPr>
        <w:t>4</w:t>
      </w:r>
      <w:r>
        <w:rPr>
          <w:rFonts w:hint="eastAsia" w:ascii="黑体" w:hAnsi="仿宋" w:cs="宋体"/>
          <w:szCs w:val="21"/>
        </w:rPr>
        <w:t>-3 湖南省政府采购供应商资格承诺函(格式)</w:t>
      </w:r>
      <w:r>
        <w:tab/>
      </w:r>
      <w:r>
        <w:fldChar w:fldCharType="begin"/>
      </w:r>
      <w:r>
        <w:instrText xml:space="preserve"> PAGEREF _Toc25060 \h </w:instrText>
      </w:r>
      <w:r>
        <w:fldChar w:fldCharType="separate"/>
      </w:r>
      <w:r>
        <w:t>77</w:t>
      </w:r>
      <w:r>
        <w:fldChar w:fldCharType="end"/>
      </w:r>
      <w:r>
        <w:rPr>
          <w:rFonts w:hint="eastAsia" w:asciiTheme="minorEastAsia" w:hAnsiTheme="minorEastAsia" w:eastAsiaTheme="minorEastAsia" w:cstheme="minorEastAsia"/>
          <w:bCs/>
          <w:color w:val="000000"/>
        </w:rPr>
        <w:fldChar w:fldCharType="end"/>
      </w:r>
    </w:p>
    <w:p w14:paraId="4160C775">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_Toc811 </w:instrText>
      </w:r>
      <w:r>
        <w:rPr>
          <w:rFonts w:hint="eastAsia" w:asciiTheme="minorEastAsia" w:hAnsiTheme="minorEastAsia" w:eastAsiaTheme="minorEastAsia" w:cstheme="minorEastAsia"/>
          <w:bCs/>
        </w:rPr>
        <w:fldChar w:fldCharType="separate"/>
      </w:r>
      <w:r>
        <w:rPr>
          <w:rFonts w:hint="eastAsia" w:ascii="黑体" w:hAnsi="仿宋" w:cs="宋体"/>
          <w:szCs w:val="21"/>
        </w:rPr>
        <w:t>附件</w:t>
      </w:r>
      <w:r>
        <w:rPr>
          <w:rFonts w:hint="eastAsia" w:ascii="黑体" w:hAnsi="仿宋" w:cs="宋体"/>
          <w:szCs w:val="21"/>
          <w:lang w:val="en-US" w:eastAsia="zh-CN"/>
        </w:rPr>
        <w:t>4</w:t>
      </w:r>
      <w:r>
        <w:rPr>
          <w:rFonts w:hint="eastAsia" w:ascii="黑体" w:hAnsi="仿宋" w:cs="宋体"/>
          <w:szCs w:val="21"/>
        </w:rPr>
        <w:t>-4 符合特定资格条件证明材料复印件或者情况说明</w:t>
      </w:r>
      <w:r>
        <w:tab/>
      </w:r>
      <w:r>
        <w:fldChar w:fldCharType="begin"/>
      </w:r>
      <w:r>
        <w:instrText xml:space="preserve"> PAGEREF _Toc811 \h </w:instrText>
      </w:r>
      <w:r>
        <w:fldChar w:fldCharType="separate"/>
      </w:r>
      <w:r>
        <w:t>78</w:t>
      </w:r>
      <w:r>
        <w:fldChar w:fldCharType="end"/>
      </w:r>
      <w:r>
        <w:rPr>
          <w:rFonts w:hint="eastAsia" w:asciiTheme="minorEastAsia" w:hAnsiTheme="minorEastAsia" w:eastAsiaTheme="minorEastAsia" w:cstheme="minorEastAsia"/>
          <w:bCs/>
          <w:color w:val="000000"/>
        </w:rPr>
        <w:fldChar w:fldCharType="end"/>
      </w:r>
    </w:p>
    <w:p w14:paraId="6CB4B58F">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_Toc23332 </w:instrText>
      </w:r>
      <w:r>
        <w:rPr>
          <w:rFonts w:hint="eastAsia" w:asciiTheme="minorEastAsia" w:hAnsiTheme="minorEastAsia" w:eastAsiaTheme="minorEastAsia" w:cstheme="minorEastAsia"/>
          <w:bCs/>
        </w:rPr>
        <w:fldChar w:fldCharType="separate"/>
      </w:r>
      <w:r>
        <w:rPr>
          <w:rFonts w:hint="eastAsia" w:ascii="黑体" w:hAnsi="仿宋" w:cs="宋体"/>
          <w:szCs w:val="21"/>
        </w:rPr>
        <w:t>附件</w:t>
      </w:r>
      <w:r>
        <w:rPr>
          <w:rFonts w:hint="eastAsia" w:ascii="黑体" w:hAnsi="仿宋" w:cs="宋体"/>
          <w:szCs w:val="21"/>
          <w:lang w:val="en-US" w:eastAsia="zh-CN"/>
        </w:rPr>
        <w:t>4</w:t>
      </w:r>
      <w:r>
        <w:rPr>
          <w:rFonts w:hint="eastAsia" w:ascii="黑体" w:hAnsi="仿宋" w:cs="宋体"/>
          <w:szCs w:val="21"/>
        </w:rPr>
        <w:t>-5 联合体协议书（格式）</w:t>
      </w:r>
      <w:r>
        <w:tab/>
      </w:r>
      <w:r>
        <w:fldChar w:fldCharType="begin"/>
      </w:r>
      <w:r>
        <w:instrText xml:space="preserve"> PAGEREF _Toc23332 \h </w:instrText>
      </w:r>
      <w:r>
        <w:fldChar w:fldCharType="separate"/>
      </w:r>
      <w:r>
        <w:t>79</w:t>
      </w:r>
      <w:r>
        <w:fldChar w:fldCharType="end"/>
      </w:r>
      <w:r>
        <w:rPr>
          <w:rFonts w:hint="eastAsia" w:asciiTheme="minorEastAsia" w:hAnsiTheme="minorEastAsia" w:eastAsiaTheme="minorEastAsia" w:cstheme="minorEastAsia"/>
          <w:bCs/>
          <w:color w:val="000000"/>
        </w:rPr>
        <w:fldChar w:fldCharType="end"/>
      </w:r>
    </w:p>
    <w:p w14:paraId="496B212B">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_Toc2430 </w:instrText>
      </w:r>
      <w:r>
        <w:rPr>
          <w:rFonts w:hint="eastAsia" w:asciiTheme="minorEastAsia" w:hAnsiTheme="minorEastAsia" w:eastAsiaTheme="minorEastAsia" w:cstheme="minorEastAsia"/>
          <w:bCs/>
        </w:rPr>
        <w:fldChar w:fldCharType="separate"/>
      </w:r>
      <w:r>
        <w:rPr>
          <w:rFonts w:hint="eastAsia" w:ascii="黑体" w:hAnsi="仿宋" w:cs="宋体"/>
          <w:szCs w:val="21"/>
          <w:lang w:val="en-US" w:eastAsia="zh-CN"/>
        </w:rPr>
        <w:t>落实政府采购政策需满足的资格要求：提供《中小企业声明函》</w:t>
      </w:r>
      <w:r>
        <w:tab/>
      </w:r>
      <w:r>
        <w:fldChar w:fldCharType="begin"/>
      </w:r>
      <w:r>
        <w:instrText xml:space="preserve"> PAGEREF _Toc2430 \h </w:instrText>
      </w:r>
      <w:r>
        <w:fldChar w:fldCharType="separate"/>
      </w:r>
      <w:r>
        <w:t>80</w:t>
      </w:r>
      <w:r>
        <w:fldChar w:fldCharType="end"/>
      </w:r>
      <w:r>
        <w:rPr>
          <w:rFonts w:hint="eastAsia" w:asciiTheme="minorEastAsia" w:hAnsiTheme="minorEastAsia" w:eastAsiaTheme="minorEastAsia" w:cstheme="minorEastAsia"/>
          <w:bCs/>
          <w:color w:val="000000"/>
        </w:rPr>
        <w:fldChar w:fldCharType="end"/>
      </w:r>
    </w:p>
    <w:p w14:paraId="07AAC663">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_Toc24210 </w:instrText>
      </w:r>
      <w:r>
        <w:rPr>
          <w:rFonts w:hint="eastAsia" w:asciiTheme="minorEastAsia" w:hAnsiTheme="minorEastAsia" w:eastAsiaTheme="minorEastAsia" w:cstheme="minorEastAsia"/>
          <w:bCs/>
        </w:rPr>
        <w:fldChar w:fldCharType="separate"/>
      </w:r>
      <w:r>
        <w:rPr>
          <w:rFonts w:hint="eastAsia" w:ascii="黑体" w:hAnsi="仿宋" w:cs="宋体"/>
          <w:szCs w:val="21"/>
        </w:rPr>
        <w:t>不良信用记录查询</w:t>
      </w:r>
      <w:r>
        <w:tab/>
      </w:r>
      <w:r>
        <w:fldChar w:fldCharType="begin"/>
      </w:r>
      <w:r>
        <w:instrText xml:space="preserve"> PAGEREF _Toc24210 \h </w:instrText>
      </w:r>
      <w:r>
        <w:fldChar w:fldCharType="separate"/>
      </w:r>
      <w:r>
        <w:t>82</w:t>
      </w:r>
      <w:r>
        <w:fldChar w:fldCharType="end"/>
      </w:r>
      <w:r>
        <w:rPr>
          <w:rFonts w:hint="eastAsia" w:asciiTheme="minorEastAsia" w:hAnsiTheme="minorEastAsia" w:eastAsiaTheme="minorEastAsia" w:cstheme="minorEastAsia"/>
          <w:bCs/>
          <w:color w:val="000000"/>
        </w:rPr>
        <w:fldChar w:fldCharType="end"/>
      </w:r>
    </w:p>
    <w:p w14:paraId="659F8DF3">
      <w:pPr>
        <w:pStyle w:val="35"/>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_Toc30235 </w:instrText>
      </w:r>
      <w:r>
        <w:rPr>
          <w:rFonts w:hint="eastAsia" w:asciiTheme="minorEastAsia" w:hAnsiTheme="minorEastAsia" w:eastAsiaTheme="minorEastAsia" w:cstheme="minorEastAsia"/>
          <w:bCs/>
        </w:rPr>
        <w:fldChar w:fldCharType="separate"/>
      </w:r>
      <w:r>
        <w:rPr>
          <w:rFonts w:hint="eastAsia" w:ascii="黑体" w:hAnsi="黑体" w:eastAsia="黑体"/>
          <w:szCs w:val="44"/>
        </w:rPr>
        <w:t>第二部分 商务技术文件</w:t>
      </w:r>
      <w:r>
        <w:tab/>
      </w:r>
      <w:r>
        <w:fldChar w:fldCharType="begin"/>
      </w:r>
      <w:r>
        <w:instrText xml:space="preserve"> PAGEREF _Toc30235 \h </w:instrText>
      </w:r>
      <w:r>
        <w:fldChar w:fldCharType="separate"/>
      </w:r>
      <w:r>
        <w:t>83</w:t>
      </w:r>
      <w:r>
        <w:fldChar w:fldCharType="end"/>
      </w:r>
      <w:r>
        <w:rPr>
          <w:rFonts w:hint="eastAsia" w:asciiTheme="minorEastAsia" w:hAnsiTheme="minorEastAsia" w:eastAsiaTheme="minorEastAsia" w:cstheme="minorEastAsia"/>
          <w:bCs/>
          <w:color w:val="000000"/>
        </w:rPr>
        <w:fldChar w:fldCharType="end"/>
      </w:r>
    </w:p>
    <w:p w14:paraId="76EF8C46">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_Toc1445 </w:instrText>
      </w:r>
      <w:r>
        <w:rPr>
          <w:rFonts w:hint="eastAsia" w:asciiTheme="minorEastAsia" w:hAnsiTheme="minorEastAsia" w:eastAsiaTheme="minorEastAsia" w:cstheme="minorEastAsia"/>
          <w:bCs/>
        </w:rPr>
        <w:fldChar w:fldCharType="separate"/>
      </w:r>
      <w:r>
        <w:rPr>
          <w:rFonts w:hint="eastAsia" w:ascii="黑体" w:hAnsi="黑体"/>
          <w:szCs w:val="21"/>
        </w:rPr>
        <w:t>索引表2 符合性审查索引表</w:t>
      </w:r>
      <w:r>
        <w:tab/>
      </w:r>
      <w:r>
        <w:fldChar w:fldCharType="begin"/>
      </w:r>
      <w:r>
        <w:instrText xml:space="preserve"> PAGEREF _Toc1445 \h </w:instrText>
      </w:r>
      <w:r>
        <w:fldChar w:fldCharType="separate"/>
      </w:r>
      <w:r>
        <w:t>84</w:t>
      </w:r>
      <w:r>
        <w:fldChar w:fldCharType="end"/>
      </w:r>
      <w:r>
        <w:rPr>
          <w:rFonts w:hint="eastAsia" w:asciiTheme="minorEastAsia" w:hAnsiTheme="minorEastAsia" w:eastAsiaTheme="minorEastAsia" w:cstheme="minorEastAsia"/>
          <w:bCs/>
          <w:color w:val="000000"/>
        </w:rPr>
        <w:fldChar w:fldCharType="end"/>
      </w:r>
    </w:p>
    <w:p w14:paraId="0414DBFA">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_Toc17736 </w:instrText>
      </w:r>
      <w:r>
        <w:rPr>
          <w:rFonts w:hint="eastAsia" w:asciiTheme="minorEastAsia" w:hAnsiTheme="minorEastAsia" w:eastAsiaTheme="minorEastAsia" w:cstheme="minorEastAsia"/>
          <w:bCs/>
        </w:rPr>
        <w:fldChar w:fldCharType="separate"/>
      </w:r>
      <w:r>
        <w:rPr>
          <w:rFonts w:hint="eastAsia" w:ascii="黑体" w:hAnsi="黑体"/>
          <w:szCs w:val="21"/>
        </w:rPr>
        <w:t>索引表3 评标索引表</w:t>
      </w:r>
      <w:r>
        <w:tab/>
      </w:r>
      <w:r>
        <w:fldChar w:fldCharType="begin"/>
      </w:r>
      <w:r>
        <w:instrText xml:space="preserve"> PAGEREF _Toc17736 \h </w:instrText>
      </w:r>
      <w:r>
        <w:fldChar w:fldCharType="separate"/>
      </w:r>
      <w:r>
        <w:t>85</w:t>
      </w:r>
      <w:r>
        <w:fldChar w:fldCharType="end"/>
      </w:r>
      <w:r>
        <w:rPr>
          <w:rFonts w:hint="eastAsia" w:asciiTheme="minorEastAsia" w:hAnsiTheme="minorEastAsia" w:eastAsiaTheme="minorEastAsia" w:cstheme="minorEastAsia"/>
          <w:bCs/>
          <w:color w:val="000000"/>
        </w:rPr>
        <w:fldChar w:fldCharType="end"/>
      </w:r>
    </w:p>
    <w:p w14:paraId="5D56A9A3">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_Toc10633 </w:instrText>
      </w:r>
      <w:r>
        <w:rPr>
          <w:rFonts w:hint="eastAsia" w:asciiTheme="minorEastAsia" w:hAnsiTheme="minorEastAsia" w:eastAsiaTheme="minorEastAsia" w:cstheme="minorEastAsia"/>
          <w:bCs/>
        </w:rPr>
        <w:fldChar w:fldCharType="separate"/>
      </w:r>
      <w:r>
        <w:rPr>
          <w:rFonts w:hint="eastAsia" w:ascii="黑体" w:hAnsi="宋体" w:eastAsia="黑体"/>
          <w:szCs w:val="28"/>
          <w:lang w:val="en-US" w:eastAsia="zh-CN"/>
        </w:rPr>
        <w:t>五、投标函</w:t>
      </w:r>
      <w:r>
        <w:tab/>
      </w:r>
      <w:r>
        <w:fldChar w:fldCharType="begin"/>
      </w:r>
      <w:r>
        <w:instrText xml:space="preserve"> PAGEREF _Toc10633 \h </w:instrText>
      </w:r>
      <w:r>
        <w:fldChar w:fldCharType="separate"/>
      </w:r>
      <w:r>
        <w:t>86</w:t>
      </w:r>
      <w:r>
        <w:fldChar w:fldCharType="end"/>
      </w:r>
      <w:r>
        <w:rPr>
          <w:rFonts w:hint="eastAsia" w:asciiTheme="minorEastAsia" w:hAnsiTheme="minorEastAsia" w:eastAsiaTheme="minorEastAsia" w:cstheme="minorEastAsia"/>
          <w:bCs/>
          <w:color w:val="000000"/>
        </w:rPr>
        <w:fldChar w:fldCharType="end"/>
      </w:r>
    </w:p>
    <w:p w14:paraId="2385FF04">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_Toc8421 </w:instrText>
      </w:r>
      <w:r>
        <w:rPr>
          <w:rFonts w:hint="eastAsia" w:asciiTheme="minorEastAsia" w:hAnsiTheme="minorEastAsia" w:eastAsiaTheme="minorEastAsia" w:cstheme="minorEastAsia"/>
          <w:bCs/>
        </w:rPr>
        <w:fldChar w:fldCharType="separate"/>
      </w:r>
      <w:r>
        <w:rPr>
          <w:rFonts w:hint="eastAsia" w:ascii="黑体" w:hAnsi="宋体" w:eastAsia="黑体"/>
          <w:szCs w:val="28"/>
          <w:lang w:val="en-US" w:eastAsia="zh-CN"/>
        </w:rPr>
        <w:t>六、分项报价明细表</w:t>
      </w:r>
      <w:r>
        <w:tab/>
      </w:r>
      <w:r>
        <w:fldChar w:fldCharType="begin"/>
      </w:r>
      <w:r>
        <w:instrText xml:space="preserve"> PAGEREF _Toc8421 \h </w:instrText>
      </w:r>
      <w:r>
        <w:fldChar w:fldCharType="separate"/>
      </w:r>
      <w:r>
        <w:t>88</w:t>
      </w:r>
      <w:r>
        <w:fldChar w:fldCharType="end"/>
      </w:r>
      <w:r>
        <w:rPr>
          <w:rFonts w:hint="eastAsia" w:asciiTheme="minorEastAsia" w:hAnsiTheme="minorEastAsia" w:eastAsiaTheme="minorEastAsia" w:cstheme="minorEastAsia"/>
          <w:bCs/>
          <w:color w:val="000000"/>
        </w:rPr>
        <w:fldChar w:fldCharType="end"/>
      </w:r>
    </w:p>
    <w:p w14:paraId="7282C66F">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_Toc23692 </w:instrText>
      </w:r>
      <w:r>
        <w:rPr>
          <w:rFonts w:hint="eastAsia" w:asciiTheme="minorEastAsia" w:hAnsiTheme="minorEastAsia" w:eastAsiaTheme="minorEastAsia" w:cstheme="minorEastAsia"/>
          <w:bCs/>
        </w:rPr>
        <w:fldChar w:fldCharType="separate"/>
      </w:r>
      <w:r>
        <w:rPr>
          <w:rFonts w:hint="eastAsia" w:ascii="黑体" w:hAnsi="华文中宋" w:cs="宋体"/>
          <w:bCs w:val="0"/>
          <w:spacing w:val="6"/>
          <w:kern w:val="0"/>
          <w:szCs w:val="21"/>
        </w:rPr>
        <w:t>附件</w:t>
      </w:r>
      <w:r>
        <w:rPr>
          <w:rFonts w:hint="eastAsia" w:ascii="黑体" w:hAnsi="华文中宋" w:cs="宋体"/>
          <w:bCs w:val="0"/>
          <w:spacing w:val="6"/>
          <w:kern w:val="0"/>
          <w:szCs w:val="21"/>
          <w:lang w:val="en-US" w:eastAsia="zh-CN"/>
        </w:rPr>
        <w:t>6</w:t>
      </w:r>
      <w:r>
        <w:rPr>
          <w:rFonts w:hint="eastAsia" w:ascii="黑体" w:hAnsi="华文中宋" w:cs="宋体"/>
          <w:bCs w:val="0"/>
          <w:spacing w:val="6"/>
          <w:kern w:val="0"/>
          <w:szCs w:val="21"/>
        </w:rPr>
        <w:t xml:space="preserve">-1 </w:t>
      </w:r>
      <w:r>
        <w:rPr>
          <w:rFonts w:hint="eastAsia" w:ascii="黑体" w:cs="微软雅黑" w:hAnsiTheme="minorEastAsia"/>
          <w:spacing w:val="-2"/>
          <w:kern w:val="0"/>
          <w:szCs w:val="21"/>
        </w:rPr>
        <w:t>分</w:t>
      </w:r>
      <w:r>
        <w:rPr>
          <w:rFonts w:hint="eastAsia" w:ascii="黑体" w:cs="微软雅黑" w:hAnsiTheme="minorEastAsia"/>
          <w:kern w:val="0"/>
          <w:szCs w:val="21"/>
        </w:rPr>
        <w:t>项</w:t>
      </w:r>
      <w:r>
        <w:rPr>
          <w:rFonts w:hint="eastAsia" w:ascii="黑体" w:cs="微软雅黑" w:hAnsiTheme="minorEastAsia"/>
          <w:spacing w:val="-2"/>
          <w:kern w:val="0"/>
          <w:szCs w:val="21"/>
        </w:rPr>
        <w:t>报</w:t>
      </w:r>
      <w:r>
        <w:rPr>
          <w:rFonts w:hint="eastAsia" w:ascii="黑体" w:cs="微软雅黑" w:hAnsiTheme="minorEastAsia"/>
          <w:kern w:val="0"/>
          <w:szCs w:val="21"/>
        </w:rPr>
        <w:t>价说明</w:t>
      </w:r>
      <w:r>
        <w:tab/>
      </w:r>
      <w:r>
        <w:fldChar w:fldCharType="begin"/>
      </w:r>
      <w:r>
        <w:instrText xml:space="preserve"> PAGEREF _Toc23692 \h </w:instrText>
      </w:r>
      <w:r>
        <w:fldChar w:fldCharType="separate"/>
      </w:r>
      <w:r>
        <w:t>88</w:t>
      </w:r>
      <w:r>
        <w:fldChar w:fldCharType="end"/>
      </w:r>
      <w:r>
        <w:rPr>
          <w:rFonts w:hint="eastAsia" w:asciiTheme="minorEastAsia" w:hAnsiTheme="minorEastAsia" w:eastAsiaTheme="minorEastAsia" w:cstheme="minorEastAsia"/>
          <w:bCs/>
          <w:color w:val="000000"/>
        </w:rPr>
        <w:fldChar w:fldCharType="end"/>
      </w:r>
    </w:p>
    <w:p w14:paraId="016CEB4A">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_Toc27887 </w:instrText>
      </w:r>
      <w:r>
        <w:rPr>
          <w:rFonts w:hint="eastAsia" w:asciiTheme="minorEastAsia" w:hAnsiTheme="minorEastAsia" w:eastAsiaTheme="minorEastAsia" w:cstheme="minorEastAsia"/>
          <w:bCs/>
        </w:rPr>
        <w:fldChar w:fldCharType="separate"/>
      </w:r>
      <w:r>
        <w:rPr>
          <w:rFonts w:hint="eastAsia" w:ascii="宋体" w:hAnsi="宋体" w:eastAsia="宋体"/>
          <w:spacing w:val="6"/>
        </w:rPr>
        <w:t>附件</w:t>
      </w:r>
      <w:r>
        <w:rPr>
          <w:rFonts w:hint="eastAsia" w:ascii="宋体" w:hAnsi="宋体"/>
          <w:spacing w:val="6"/>
          <w:lang w:val="en-US" w:eastAsia="zh-CN"/>
        </w:rPr>
        <w:t>6</w:t>
      </w:r>
      <w:r>
        <w:rPr>
          <w:rFonts w:hint="eastAsia" w:ascii="宋体" w:hAnsi="宋体" w:eastAsia="宋体"/>
          <w:spacing w:val="6"/>
        </w:rPr>
        <w:t xml:space="preserve">-2 </w:t>
      </w:r>
      <w:r>
        <w:rPr>
          <w:rFonts w:hint="eastAsia" w:ascii="宋体" w:hAnsi="宋体" w:eastAsia="宋体"/>
          <w:spacing w:val="-2"/>
          <w:position w:val="-3"/>
        </w:rPr>
        <w:t>分</w:t>
      </w:r>
      <w:r>
        <w:rPr>
          <w:rFonts w:hint="eastAsia" w:ascii="宋体" w:hAnsi="宋体" w:eastAsia="宋体"/>
          <w:position w:val="-3"/>
        </w:rPr>
        <w:t>项</w:t>
      </w:r>
      <w:r>
        <w:rPr>
          <w:rFonts w:hint="eastAsia" w:ascii="宋体" w:hAnsi="宋体" w:eastAsia="宋体"/>
          <w:spacing w:val="-2"/>
          <w:position w:val="-3"/>
        </w:rPr>
        <w:t>报</w:t>
      </w:r>
      <w:r>
        <w:rPr>
          <w:rFonts w:hint="eastAsia" w:ascii="宋体" w:hAnsi="宋体" w:eastAsia="宋体"/>
          <w:position w:val="-3"/>
        </w:rPr>
        <w:t>价明细表</w:t>
      </w:r>
      <w:r>
        <w:tab/>
      </w:r>
      <w:r>
        <w:fldChar w:fldCharType="begin"/>
      </w:r>
      <w:r>
        <w:instrText xml:space="preserve"> PAGEREF _Toc27887 \h </w:instrText>
      </w:r>
      <w:r>
        <w:fldChar w:fldCharType="separate"/>
      </w:r>
      <w:r>
        <w:t>88</w:t>
      </w:r>
      <w:r>
        <w:fldChar w:fldCharType="end"/>
      </w:r>
      <w:r>
        <w:rPr>
          <w:rFonts w:hint="eastAsia" w:asciiTheme="minorEastAsia" w:hAnsiTheme="minorEastAsia" w:eastAsiaTheme="minorEastAsia" w:cstheme="minorEastAsia"/>
          <w:bCs/>
          <w:color w:val="000000"/>
        </w:rPr>
        <w:fldChar w:fldCharType="end"/>
      </w:r>
    </w:p>
    <w:p w14:paraId="01122DCE">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_Toc22256 </w:instrText>
      </w:r>
      <w:r>
        <w:rPr>
          <w:rFonts w:hint="eastAsia" w:asciiTheme="minorEastAsia" w:hAnsiTheme="minorEastAsia" w:eastAsiaTheme="minorEastAsia" w:cstheme="minorEastAsia"/>
          <w:bCs/>
        </w:rPr>
        <w:fldChar w:fldCharType="separate"/>
      </w:r>
      <w:r>
        <w:rPr>
          <w:rFonts w:hint="eastAsia" w:ascii="黑体" w:hAnsi="宋体" w:eastAsia="黑体"/>
          <w:szCs w:val="28"/>
          <w:lang w:val="en-US" w:eastAsia="zh-CN"/>
        </w:rPr>
        <w:t>七、采购需求响应</w:t>
      </w:r>
      <w:r>
        <w:tab/>
      </w:r>
      <w:r>
        <w:fldChar w:fldCharType="begin"/>
      </w:r>
      <w:r>
        <w:instrText xml:space="preserve"> PAGEREF _Toc22256 \h </w:instrText>
      </w:r>
      <w:r>
        <w:fldChar w:fldCharType="separate"/>
      </w:r>
      <w:r>
        <w:t>90</w:t>
      </w:r>
      <w:r>
        <w:fldChar w:fldCharType="end"/>
      </w:r>
      <w:r>
        <w:rPr>
          <w:rFonts w:hint="eastAsia" w:asciiTheme="minorEastAsia" w:hAnsiTheme="minorEastAsia" w:eastAsiaTheme="minorEastAsia" w:cstheme="minorEastAsia"/>
          <w:bCs/>
          <w:color w:val="000000"/>
        </w:rPr>
        <w:fldChar w:fldCharType="end"/>
      </w:r>
    </w:p>
    <w:p w14:paraId="16E61A9C">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_Toc22496 </w:instrText>
      </w:r>
      <w:r>
        <w:rPr>
          <w:rFonts w:hint="eastAsia" w:asciiTheme="minorEastAsia" w:hAnsiTheme="minorEastAsia" w:eastAsiaTheme="minorEastAsia" w:cstheme="minorEastAsia"/>
          <w:bCs/>
        </w:rPr>
        <w:fldChar w:fldCharType="separate"/>
      </w:r>
      <w:r>
        <w:rPr>
          <w:rFonts w:hint="eastAsia" w:ascii="黑体" w:hAnsi="宋体" w:eastAsia="黑体"/>
          <w:szCs w:val="28"/>
          <w:lang w:val="en-US" w:eastAsia="zh-CN"/>
        </w:rPr>
        <w:t>八、商务、合同条款偏离表</w:t>
      </w:r>
      <w:r>
        <w:tab/>
      </w:r>
      <w:r>
        <w:fldChar w:fldCharType="begin"/>
      </w:r>
      <w:r>
        <w:instrText xml:space="preserve"> PAGEREF _Toc22496 \h </w:instrText>
      </w:r>
      <w:r>
        <w:fldChar w:fldCharType="separate"/>
      </w:r>
      <w:r>
        <w:t>91</w:t>
      </w:r>
      <w:r>
        <w:fldChar w:fldCharType="end"/>
      </w:r>
      <w:r>
        <w:rPr>
          <w:rFonts w:hint="eastAsia" w:asciiTheme="minorEastAsia" w:hAnsiTheme="minorEastAsia" w:eastAsiaTheme="minorEastAsia" w:cstheme="minorEastAsia"/>
          <w:bCs/>
          <w:color w:val="000000"/>
        </w:rPr>
        <w:fldChar w:fldCharType="end"/>
      </w:r>
    </w:p>
    <w:p w14:paraId="48D9795E">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_Toc9957 </w:instrText>
      </w:r>
      <w:r>
        <w:rPr>
          <w:rFonts w:hint="eastAsia" w:asciiTheme="minorEastAsia" w:hAnsiTheme="minorEastAsia" w:eastAsiaTheme="minorEastAsia" w:cstheme="minorEastAsia"/>
          <w:bCs/>
        </w:rPr>
        <w:fldChar w:fldCharType="separate"/>
      </w:r>
      <w:r>
        <w:rPr>
          <w:rFonts w:hint="eastAsia" w:ascii="黑体" w:hAnsi="宋体" w:eastAsia="黑体"/>
          <w:szCs w:val="28"/>
          <w:lang w:val="en-US" w:eastAsia="zh-CN"/>
        </w:rPr>
        <w:t>九、采购需求偏离表</w:t>
      </w:r>
      <w:r>
        <w:tab/>
      </w:r>
      <w:r>
        <w:fldChar w:fldCharType="begin"/>
      </w:r>
      <w:r>
        <w:instrText xml:space="preserve"> PAGEREF _Toc9957 \h </w:instrText>
      </w:r>
      <w:r>
        <w:fldChar w:fldCharType="separate"/>
      </w:r>
      <w:r>
        <w:t>92</w:t>
      </w:r>
      <w:r>
        <w:fldChar w:fldCharType="end"/>
      </w:r>
      <w:r>
        <w:rPr>
          <w:rFonts w:hint="eastAsia" w:asciiTheme="minorEastAsia" w:hAnsiTheme="minorEastAsia" w:eastAsiaTheme="minorEastAsia" w:cstheme="minorEastAsia"/>
          <w:bCs/>
          <w:color w:val="000000"/>
        </w:rPr>
        <w:fldChar w:fldCharType="end"/>
      </w:r>
    </w:p>
    <w:p w14:paraId="09F8BA86">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_Toc22600 </w:instrText>
      </w:r>
      <w:r>
        <w:rPr>
          <w:rFonts w:hint="eastAsia" w:asciiTheme="minorEastAsia" w:hAnsiTheme="minorEastAsia" w:eastAsiaTheme="minorEastAsia" w:cstheme="minorEastAsia"/>
          <w:bCs/>
        </w:rPr>
        <w:fldChar w:fldCharType="separate"/>
      </w:r>
      <w:r>
        <w:rPr>
          <w:rFonts w:hint="eastAsia" w:ascii="黑体" w:hAnsi="宋体" w:eastAsia="黑体"/>
          <w:szCs w:val="28"/>
          <w:lang w:val="en-US" w:eastAsia="zh-CN"/>
        </w:rPr>
        <w:t>十、享受政府采购政策优惠的证明资料</w:t>
      </w:r>
      <w:r>
        <w:tab/>
      </w:r>
      <w:r>
        <w:fldChar w:fldCharType="begin"/>
      </w:r>
      <w:r>
        <w:instrText xml:space="preserve"> PAGEREF _Toc22600 \h </w:instrText>
      </w:r>
      <w:r>
        <w:fldChar w:fldCharType="separate"/>
      </w:r>
      <w:r>
        <w:t>93</w:t>
      </w:r>
      <w:r>
        <w:fldChar w:fldCharType="end"/>
      </w:r>
      <w:r>
        <w:rPr>
          <w:rFonts w:hint="eastAsia" w:asciiTheme="minorEastAsia" w:hAnsiTheme="minorEastAsia" w:eastAsiaTheme="minorEastAsia" w:cstheme="minorEastAsia"/>
          <w:bCs/>
          <w:color w:val="000000"/>
        </w:rPr>
        <w:fldChar w:fldCharType="end"/>
      </w:r>
    </w:p>
    <w:p w14:paraId="313AECFF">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_Toc27894 </w:instrText>
      </w:r>
      <w:r>
        <w:rPr>
          <w:rFonts w:hint="eastAsia" w:asciiTheme="minorEastAsia" w:hAnsiTheme="minorEastAsia" w:eastAsiaTheme="minorEastAsia" w:cstheme="minorEastAsia"/>
          <w:bCs/>
        </w:rPr>
        <w:fldChar w:fldCharType="separate"/>
      </w:r>
      <w:r>
        <w:rPr>
          <w:rFonts w:hint="eastAsia" w:ascii="黑体" w:hAnsi="华文中宋" w:cs="宋体"/>
          <w:bCs w:val="0"/>
          <w:spacing w:val="6"/>
          <w:kern w:val="0"/>
          <w:szCs w:val="21"/>
        </w:rPr>
        <w:t>附件1</w:t>
      </w:r>
      <w:r>
        <w:rPr>
          <w:rFonts w:hint="eastAsia" w:ascii="黑体" w:hAnsi="华文中宋" w:cs="宋体"/>
          <w:bCs w:val="0"/>
          <w:spacing w:val="6"/>
          <w:kern w:val="0"/>
          <w:szCs w:val="21"/>
          <w:lang w:val="en-US" w:eastAsia="zh-CN"/>
        </w:rPr>
        <w:t>0</w:t>
      </w:r>
      <w:r>
        <w:rPr>
          <w:rFonts w:hint="eastAsia" w:ascii="黑体" w:hAnsi="华文中宋" w:cs="宋体"/>
          <w:bCs w:val="0"/>
          <w:spacing w:val="6"/>
          <w:kern w:val="0"/>
          <w:szCs w:val="21"/>
        </w:rPr>
        <w:t>-1中小企业声明函</w:t>
      </w:r>
      <w:r>
        <w:tab/>
      </w:r>
      <w:r>
        <w:fldChar w:fldCharType="begin"/>
      </w:r>
      <w:r>
        <w:instrText xml:space="preserve"> PAGEREF _Toc27894 \h </w:instrText>
      </w:r>
      <w:r>
        <w:fldChar w:fldCharType="separate"/>
      </w:r>
      <w:r>
        <w:t>93</w:t>
      </w:r>
      <w:r>
        <w:fldChar w:fldCharType="end"/>
      </w:r>
      <w:r>
        <w:rPr>
          <w:rFonts w:hint="eastAsia" w:asciiTheme="minorEastAsia" w:hAnsiTheme="minorEastAsia" w:eastAsiaTheme="minorEastAsia" w:cstheme="minorEastAsia"/>
          <w:bCs/>
          <w:color w:val="000000"/>
        </w:rPr>
        <w:fldChar w:fldCharType="end"/>
      </w:r>
    </w:p>
    <w:p w14:paraId="21785CD4">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_Toc26585 </w:instrText>
      </w:r>
      <w:r>
        <w:rPr>
          <w:rFonts w:hint="eastAsia" w:asciiTheme="minorEastAsia" w:hAnsiTheme="minorEastAsia" w:eastAsiaTheme="minorEastAsia" w:cstheme="minorEastAsia"/>
          <w:bCs/>
        </w:rPr>
        <w:fldChar w:fldCharType="separate"/>
      </w:r>
      <w:r>
        <w:rPr>
          <w:rFonts w:hint="eastAsia" w:ascii="黑体" w:hAnsi="华文中宋" w:cs="宋体"/>
          <w:bCs w:val="0"/>
          <w:spacing w:val="6"/>
          <w:kern w:val="0"/>
          <w:szCs w:val="21"/>
        </w:rPr>
        <w:t>附件1</w:t>
      </w:r>
      <w:r>
        <w:rPr>
          <w:rFonts w:hint="eastAsia" w:ascii="黑体" w:hAnsi="华文中宋" w:cs="宋体"/>
          <w:bCs w:val="0"/>
          <w:spacing w:val="6"/>
          <w:kern w:val="0"/>
          <w:szCs w:val="21"/>
          <w:lang w:val="en-US" w:eastAsia="zh-CN"/>
        </w:rPr>
        <w:t>0</w:t>
      </w:r>
      <w:r>
        <w:rPr>
          <w:rFonts w:hint="eastAsia" w:ascii="黑体" w:hAnsi="华文中宋" w:cs="宋体"/>
          <w:bCs w:val="0"/>
          <w:spacing w:val="6"/>
          <w:kern w:val="0"/>
          <w:szCs w:val="21"/>
        </w:rPr>
        <w:t xml:space="preserve">-2 </w:t>
      </w:r>
      <w:r>
        <w:rPr>
          <w:rFonts w:hint="eastAsia" w:ascii="黑体" w:hAnsi="宋体"/>
          <w:spacing w:val="6"/>
          <w:szCs w:val="21"/>
        </w:rPr>
        <w:t>残疾人福利性单位声明函</w:t>
      </w:r>
      <w:r>
        <w:tab/>
      </w:r>
      <w:r>
        <w:fldChar w:fldCharType="begin"/>
      </w:r>
      <w:r>
        <w:instrText xml:space="preserve"> PAGEREF _Toc26585 \h </w:instrText>
      </w:r>
      <w:r>
        <w:fldChar w:fldCharType="separate"/>
      </w:r>
      <w:r>
        <w:t>94</w:t>
      </w:r>
      <w:r>
        <w:fldChar w:fldCharType="end"/>
      </w:r>
      <w:r>
        <w:rPr>
          <w:rFonts w:hint="eastAsia" w:asciiTheme="minorEastAsia" w:hAnsiTheme="minorEastAsia" w:eastAsiaTheme="minorEastAsia" w:cstheme="minorEastAsia"/>
          <w:bCs/>
          <w:color w:val="000000"/>
        </w:rPr>
        <w:fldChar w:fldCharType="end"/>
      </w:r>
    </w:p>
    <w:p w14:paraId="26EC3E06">
      <w:pPr>
        <w:pStyle w:val="32"/>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_Toc29207 </w:instrText>
      </w:r>
      <w:r>
        <w:rPr>
          <w:rFonts w:hint="eastAsia" w:asciiTheme="minorEastAsia" w:hAnsiTheme="minorEastAsia" w:eastAsiaTheme="minorEastAsia" w:cstheme="minorEastAsia"/>
          <w:bCs/>
        </w:rPr>
        <w:fldChar w:fldCharType="separate"/>
      </w:r>
      <w:r>
        <w:rPr>
          <w:rFonts w:hint="eastAsia" w:ascii="黑体" w:hAnsi="宋体" w:cs="宋体"/>
          <w:kern w:val="0"/>
          <w:szCs w:val="21"/>
        </w:rPr>
        <w:t>附件1</w:t>
      </w:r>
      <w:r>
        <w:rPr>
          <w:rFonts w:hint="eastAsia" w:ascii="黑体" w:hAnsi="宋体" w:cs="宋体"/>
          <w:kern w:val="0"/>
          <w:szCs w:val="21"/>
          <w:lang w:val="en-US" w:eastAsia="zh-CN"/>
        </w:rPr>
        <w:t>0</w:t>
      </w:r>
      <w:r>
        <w:rPr>
          <w:rFonts w:hint="eastAsia" w:ascii="黑体" w:hAnsi="宋体" w:cs="宋体"/>
          <w:kern w:val="0"/>
          <w:szCs w:val="21"/>
        </w:rPr>
        <w:t xml:space="preserve">-3 </w:t>
      </w:r>
      <w:r>
        <w:rPr>
          <w:rFonts w:hint="eastAsia" w:ascii="黑体" w:hAnsi="宋体"/>
          <w:szCs w:val="21"/>
        </w:rPr>
        <w:t>监狱企业证明资料</w:t>
      </w:r>
      <w:r>
        <w:tab/>
      </w:r>
      <w:r>
        <w:fldChar w:fldCharType="begin"/>
      </w:r>
      <w:r>
        <w:instrText xml:space="preserve"> PAGEREF _Toc29207 \h </w:instrText>
      </w:r>
      <w:r>
        <w:fldChar w:fldCharType="separate"/>
      </w:r>
      <w:r>
        <w:t>95</w:t>
      </w:r>
      <w:r>
        <w:fldChar w:fldCharType="end"/>
      </w:r>
      <w:r>
        <w:rPr>
          <w:rFonts w:hint="eastAsia" w:asciiTheme="minorEastAsia" w:hAnsiTheme="minorEastAsia" w:eastAsiaTheme="minorEastAsia" w:cstheme="minorEastAsia"/>
          <w:bCs/>
          <w:color w:val="000000"/>
        </w:rPr>
        <w:fldChar w:fldCharType="end"/>
      </w:r>
    </w:p>
    <w:p w14:paraId="1B5BBC19">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_Toc12698 </w:instrText>
      </w:r>
      <w:r>
        <w:rPr>
          <w:rFonts w:hint="eastAsia" w:asciiTheme="minorEastAsia" w:hAnsiTheme="minorEastAsia" w:eastAsiaTheme="minorEastAsia" w:cstheme="minorEastAsia"/>
          <w:bCs/>
        </w:rPr>
        <w:fldChar w:fldCharType="separate"/>
      </w:r>
      <w:r>
        <w:rPr>
          <w:rFonts w:hint="eastAsia" w:ascii="黑体" w:hAnsi="宋体" w:eastAsia="黑体"/>
          <w:szCs w:val="28"/>
          <w:lang w:val="en-US" w:eastAsia="zh-CN"/>
        </w:rPr>
        <w:t>十一、投标服务符合招标文件规定的证明文件</w:t>
      </w:r>
      <w:r>
        <w:tab/>
      </w:r>
      <w:r>
        <w:fldChar w:fldCharType="begin"/>
      </w:r>
      <w:r>
        <w:instrText xml:space="preserve"> PAGEREF _Toc12698 \h </w:instrText>
      </w:r>
      <w:r>
        <w:fldChar w:fldCharType="separate"/>
      </w:r>
      <w:r>
        <w:t>96</w:t>
      </w:r>
      <w:r>
        <w:fldChar w:fldCharType="end"/>
      </w:r>
      <w:r>
        <w:rPr>
          <w:rFonts w:hint="eastAsia" w:asciiTheme="minorEastAsia" w:hAnsiTheme="minorEastAsia" w:eastAsiaTheme="minorEastAsia" w:cstheme="minorEastAsia"/>
          <w:bCs/>
          <w:color w:val="000000"/>
        </w:rPr>
        <w:fldChar w:fldCharType="end"/>
      </w:r>
    </w:p>
    <w:p w14:paraId="47A12CA9">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_Toc11152 </w:instrText>
      </w:r>
      <w:r>
        <w:rPr>
          <w:rFonts w:hint="eastAsia" w:asciiTheme="minorEastAsia" w:hAnsiTheme="minorEastAsia" w:eastAsiaTheme="minorEastAsia" w:cstheme="minorEastAsia"/>
          <w:bCs/>
        </w:rPr>
        <w:fldChar w:fldCharType="separate"/>
      </w:r>
      <w:r>
        <w:rPr>
          <w:rFonts w:hint="eastAsia" w:ascii="黑体" w:hAnsi="宋体" w:eastAsia="黑体"/>
          <w:szCs w:val="28"/>
          <w:lang w:val="en-US" w:eastAsia="zh-CN"/>
        </w:rPr>
        <w:t>十二、投标人认为需提供的其他资料</w:t>
      </w:r>
      <w:r>
        <w:tab/>
      </w:r>
      <w:r>
        <w:fldChar w:fldCharType="begin"/>
      </w:r>
      <w:r>
        <w:instrText xml:space="preserve"> PAGEREF _Toc11152 \h </w:instrText>
      </w:r>
      <w:r>
        <w:fldChar w:fldCharType="separate"/>
      </w:r>
      <w:r>
        <w:t>97</w:t>
      </w:r>
      <w:r>
        <w:fldChar w:fldCharType="end"/>
      </w:r>
      <w:r>
        <w:rPr>
          <w:rFonts w:hint="eastAsia" w:asciiTheme="minorEastAsia" w:hAnsiTheme="minorEastAsia" w:eastAsiaTheme="minorEastAsia" w:cstheme="minorEastAsia"/>
          <w:bCs/>
          <w:color w:val="000000"/>
        </w:rPr>
        <w:fldChar w:fldCharType="end"/>
      </w:r>
    </w:p>
    <w:p w14:paraId="24A16EF4">
      <w:pPr>
        <w:pStyle w:val="24"/>
        <w:tabs>
          <w:tab w:val="right" w:leader="dot" w:pos="8504"/>
        </w:tabs>
      </w:pPr>
      <w:r>
        <w:rPr>
          <w:rFonts w:hint="eastAsia" w:asciiTheme="minorEastAsia" w:hAnsiTheme="minorEastAsia" w:eastAsiaTheme="minorEastAsia" w:cstheme="minorEastAsia"/>
          <w:bCs/>
          <w:color w:val="000000"/>
        </w:rPr>
        <w:fldChar w:fldCharType="begin"/>
      </w:r>
      <w:r>
        <w:rPr>
          <w:rFonts w:hint="eastAsia" w:asciiTheme="minorEastAsia" w:hAnsiTheme="minorEastAsia" w:eastAsiaTheme="minorEastAsia" w:cstheme="minorEastAsia"/>
          <w:bCs/>
        </w:rPr>
        <w:instrText xml:space="preserve"> HYPERLINK \l _Toc23201 </w:instrText>
      </w:r>
      <w:r>
        <w:rPr>
          <w:rFonts w:hint="eastAsia" w:asciiTheme="minorEastAsia" w:hAnsiTheme="minorEastAsia" w:eastAsiaTheme="minorEastAsia" w:cstheme="minorEastAsia"/>
          <w:bCs/>
        </w:rPr>
        <w:fldChar w:fldCharType="separate"/>
      </w:r>
      <w:r>
        <w:rPr>
          <w:rFonts w:hint="eastAsia"/>
          <w:lang w:val="en-US" w:eastAsia="zh-CN"/>
        </w:rPr>
        <w:t>十三、 技术部分</w:t>
      </w:r>
      <w:r>
        <w:tab/>
      </w:r>
      <w:r>
        <w:fldChar w:fldCharType="begin"/>
      </w:r>
      <w:r>
        <w:instrText xml:space="preserve"> PAGEREF _Toc23201 \h </w:instrText>
      </w:r>
      <w:r>
        <w:fldChar w:fldCharType="separate"/>
      </w:r>
      <w:r>
        <w:t>98</w:t>
      </w:r>
      <w:r>
        <w:fldChar w:fldCharType="end"/>
      </w:r>
      <w:r>
        <w:rPr>
          <w:rFonts w:hint="eastAsia" w:asciiTheme="minorEastAsia" w:hAnsiTheme="minorEastAsia" w:eastAsiaTheme="minorEastAsia" w:cstheme="minorEastAsia"/>
          <w:bCs/>
          <w:color w:val="000000"/>
        </w:rPr>
        <w:fldChar w:fldCharType="end"/>
      </w:r>
    </w:p>
    <w:p w14:paraId="617DD865">
      <w:pPr>
        <w:pStyle w:val="25"/>
        <w:adjustRightInd w:val="0"/>
        <w:snapToGrid w:val="0"/>
        <w:spacing w:line="360" w:lineRule="auto"/>
        <w:outlineLvl w:val="0"/>
        <w:rPr>
          <w:rFonts w:asciiTheme="minorEastAsia" w:hAnsiTheme="minorEastAsia" w:eastAsiaTheme="minorEastAsia" w:cstheme="minorEastAsia"/>
          <w:b/>
          <w:bCs/>
          <w:color w:val="000000"/>
        </w:rPr>
      </w:pPr>
      <w:r>
        <w:rPr>
          <w:rFonts w:hint="eastAsia" w:asciiTheme="minorEastAsia" w:hAnsiTheme="minorEastAsia" w:eastAsiaTheme="minorEastAsia" w:cstheme="minorEastAsia"/>
          <w:bCs/>
          <w:color w:val="000000"/>
        </w:rPr>
        <w:fldChar w:fldCharType="end"/>
      </w:r>
    </w:p>
    <w:p w14:paraId="1434AEB4">
      <w:pPr>
        <w:widowControl/>
        <w:jc w:val="left"/>
        <w:rPr>
          <w:rFonts w:ascii="黑体" w:hAnsi="华文中宋" w:eastAsia="黑体"/>
          <w:color w:val="000000"/>
          <w:sz w:val="32"/>
          <w:szCs w:val="32"/>
        </w:rPr>
        <w:sectPr>
          <w:headerReference r:id="rId7" w:type="first"/>
          <w:footerReference r:id="rId9" w:type="first"/>
          <w:headerReference r:id="rId6" w:type="default"/>
          <w:footerReference r:id="rId8" w:type="default"/>
          <w:pgSz w:w="11906" w:h="16838"/>
          <w:pgMar w:top="851" w:right="1701" w:bottom="397" w:left="1701" w:header="851" w:footer="992" w:gutter="0"/>
          <w:cols w:space="425" w:num="1"/>
          <w:titlePg/>
          <w:docGrid w:type="lines" w:linePitch="312" w:charSpace="0"/>
        </w:sectPr>
      </w:pPr>
      <w:bookmarkStart w:id="0" w:name="_Toc34720698"/>
      <w:bookmarkStart w:id="1" w:name="_Toc20816073"/>
      <w:bookmarkStart w:id="2" w:name="_Toc21000471"/>
      <w:bookmarkStart w:id="3" w:name="_Toc21001314"/>
      <w:bookmarkStart w:id="4" w:name="_Toc20642243"/>
      <w:bookmarkStart w:id="5" w:name="_Toc35421027"/>
      <w:bookmarkStart w:id="6" w:name="_Toc20988241"/>
      <w:bookmarkStart w:id="7" w:name="_Toc53472201"/>
    </w:p>
    <w:p w14:paraId="519841F5">
      <w:pPr>
        <w:pStyle w:val="3"/>
        <w:keepLines w:val="0"/>
        <w:pageBreakBefore w:val="0"/>
        <w:kinsoku/>
        <w:wordWrap/>
        <w:overflowPunct/>
        <w:topLinePunct w:val="0"/>
        <w:autoSpaceDE/>
        <w:autoSpaceDN/>
        <w:bidi w:val="0"/>
        <w:spacing w:line="360" w:lineRule="auto"/>
        <w:jc w:val="center"/>
        <w:textAlignment w:val="auto"/>
      </w:pPr>
      <w:bookmarkStart w:id="8" w:name="_Toc4718"/>
      <w:r>
        <w:rPr>
          <w:rFonts w:hint="eastAsia" w:ascii="黑体" w:hAnsi="华文中宋" w:eastAsia="黑体"/>
          <w:color w:val="000000"/>
          <w:sz w:val="32"/>
          <w:szCs w:val="32"/>
        </w:rPr>
        <w:t>第一章 投标邀请</w:t>
      </w:r>
      <w:bookmarkEnd w:id="8"/>
    </w:p>
    <w:p w14:paraId="2178694D">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ascii="宋体" w:hAnsi="宋体"/>
          <w:sz w:val="22"/>
          <w:szCs w:val="22"/>
        </w:rPr>
      </w:pPr>
      <w:r>
        <w:rPr>
          <w:rFonts w:hint="eastAsia" w:ascii="宋体" w:hAnsi="宋体"/>
          <w:sz w:val="22"/>
          <w:szCs w:val="22"/>
          <w:u w:val="single"/>
          <w:lang w:eastAsia="zh-CN"/>
        </w:rPr>
        <w:t>双峰县机关事务服务中心</w:t>
      </w:r>
      <w:r>
        <w:rPr>
          <w:rFonts w:hint="eastAsia" w:ascii="宋体" w:hAnsi="宋体"/>
          <w:sz w:val="22"/>
          <w:szCs w:val="22"/>
        </w:rPr>
        <w:t>（采购人名称）的</w:t>
      </w:r>
      <w:r>
        <w:rPr>
          <w:rFonts w:hint="eastAsia" w:ascii="宋体" w:hAnsi="宋体"/>
          <w:sz w:val="22"/>
          <w:szCs w:val="22"/>
          <w:u w:val="single"/>
          <w:lang w:eastAsia="zh-CN"/>
        </w:rPr>
        <w:t>双峰县行政中心机关食堂经营项目</w:t>
      </w:r>
      <w:r>
        <w:rPr>
          <w:rFonts w:hint="eastAsia" w:ascii="宋体" w:hAnsi="宋体"/>
          <w:sz w:val="22"/>
          <w:szCs w:val="22"/>
        </w:rPr>
        <w:t xml:space="preserve"> (项目名称)进行公开招标采购，现邀请合格投标人参加投标。</w:t>
      </w:r>
    </w:p>
    <w:p w14:paraId="3E641877">
      <w:pPr>
        <w:keepLines w:val="0"/>
        <w:pageBreakBefore w:val="0"/>
        <w:kinsoku/>
        <w:wordWrap/>
        <w:overflowPunct/>
        <w:topLinePunct w:val="0"/>
        <w:autoSpaceDE/>
        <w:autoSpaceDN/>
        <w:bidi w:val="0"/>
        <w:adjustRightInd w:val="0"/>
        <w:snapToGrid w:val="0"/>
        <w:spacing w:line="360" w:lineRule="auto"/>
        <w:ind w:firstLine="442" w:firstLineChars="200"/>
        <w:textAlignment w:val="auto"/>
        <w:rPr>
          <w:rFonts w:ascii="宋体" w:hAnsi="宋体"/>
          <w:b/>
          <w:sz w:val="22"/>
          <w:szCs w:val="22"/>
        </w:rPr>
      </w:pPr>
      <w:r>
        <w:rPr>
          <w:rFonts w:hint="eastAsia" w:ascii="宋体" w:hAnsi="宋体"/>
          <w:b/>
          <w:sz w:val="22"/>
          <w:szCs w:val="22"/>
        </w:rPr>
        <w:t>一、采购项目基本信息</w:t>
      </w:r>
    </w:p>
    <w:p w14:paraId="01051A1C">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sz w:val="22"/>
          <w:szCs w:val="22"/>
          <w:lang w:eastAsia="zh-CN"/>
        </w:rPr>
      </w:pPr>
      <w:r>
        <w:rPr>
          <w:rFonts w:hint="eastAsia" w:ascii="宋体" w:hAnsi="宋体"/>
          <w:sz w:val="22"/>
          <w:szCs w:val="22"/>
        </w:rPr>
        <w:t>1、采购项目名称：</w:t>
      </w:r>
      <w:r>
        <w:rPr>
          <w:rFonts w:hint="eastAsia" w:ascii="宋体" w:hAnsi="宋体"/>
          <w:sz w:val="22"/>
          <w:szCs w:val="22"/>
          <w:u w:val="single"/>
          <w:lang w:eastAsia="zh-CN"/>
        </w:rPr>
        <w:t>双峰县行政中心机关食堂经营项目</w:t>
      </w:r>
    </w:p>
    <w:p w14:paraId="70043F74">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default" w:ascii="宋体" w:hAnsi="宋体" w:eastAsia="宋体"/>
          <w:sz w:val="22"/>
          <w:szCs w:val="22"/>
          <w:highlight w:val="yellow"/>
          <w:lang w:val="en-US" w:eastAsia="zh-CN"/>
        </w:rPr>
      </w:pPr>
      <w:r>
        <w:rPr>
          <w:rFonts w:hint="eastAsia" w:ascii="宋体" w:hAnsi="宋体"/>
          <w:sz w:val="22"/>
          <w:szCs w:val="22"/>
        </w:rPr>
        <w:t>2、政府采购编号：</w:t>
      </w:r>
      <w:r>
        <w:rPr>
          <w:rFonts w:hint="eastAsia" w:ascii="宋体" w:hAnsi="宋体"/>
          <w:color w:val="auto"/>
          <w:sz w:val="22"/>
          <w:szCs w:val="22"/>
          <w:highlight w:val="none"/>
          <w:u w:val="single"/>
          <w:lang w:eastAsia="zh-CN"/>
        </w:rPr>
        <w:t>双峰财采计[2026]0029号</w:t>
      </w:r>
    </w:p>
    <w:p w14:paraId="176F4F2B">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default" w:ascii="宋体" w:hAnsi="宋体" w:eastAsia="宋体"/>
          <w:sz w:val="22"/>
          <w:szCs w:val="22"/>
          <w:u w:val="single"/>
          <w:lang w:val="en-US" w:eastAsia="zh-CN"/>
        </w:rPr>
      </w:pPr>
      <w:r>
        <w:rPr>
          <w:rFonts w:hint="eastAsia" w:ascii="宋体" w:hAnsi="宋体"/>
          <w:sz w:val="22"/>
          <w:szCs w:val="22"/>
        </w:rPr>
        <w:t>3、</w:t>
      </w:r>
      <w:r>
        <w:rPr>
          <w:rFonts w:hint="eastAsia" w:ascii="宋体" w:hAnsi="宋体"/>
          <w:sz w:val="22"/>
          <w:szCs w:val="22"/>
          <w:lang w:eastAsia="zh-CN"/>
        </w:rPr>
        <w:t>采购</w:t>
      </w:r>
      <w:r>
        <w:rPr>
          <w:rFonts w:hint="eastAsia" w:ascii="宋体" w:hAnsi="宋体"/>
          <w:sz w:val="22"/>
          <w:szCs w:val="22"/>
        </w:rPr>
        <w:t>代理编号：</w:t>
      </w:r>
      <w:r>
        <w:rPr>
          <w:rFonts w:hint="eastAsia" w:ascii="宋体" w:hAnsi="宋体"/>
          <w:sz w:val="22"/>
          <w:szCs w:val="22"/>
          <w:u w:val="single"/>
          <w:lang w:val="en-US" w:eastAsia="zh-CN"/>
        </w:rPr>
        <w:t>HZY-ZC-26409</w:t>
      </w:r>
    </w:p>
    <w:p w14:paraId="19A2350C">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default" w:ascii="宋体" w:hAnsi="宋体" w:eastAsia="宋体"/>
          <w:bCs/>
          <w:sz w:val="22"/>
          <w:szCs w:val="22"/>
          <w:lang w:val="en-US" w:eastAsia="zh-CN"/>
        </w:rPr>
      </w:pPr>
      <w:r>
        <w:rPr>
          <w:rFonts w:hint="eastAsia" w:ascii="宋体" w:hAnsi="宋体"/>
          <w:bCs/>
          <w:sz w:val="22"/>
          <w:szCs w:val="22"/>
        </w:rPr>
        <w:t>4、采购项目预算：</w:t>
      </w:r>
      <w:r>
        <w:rPr>
          <w:rFonts w:hint="eastAsia" w:ascii="宋体" w:hAnsi="宋体" w:cs="宋体"/>
          <w:color w:val="000000"/>
          <w:kern w:val="0"/>
          <w:sz w:val="22"/>
          <w:szCs w:val="22"/>
          <w:u w:val="single"/>
          <w:lang w:eastAsia="zh-CN"/>
        </w:rPr>
        <w:t>1611245.69</w:t>
      </w:r>
      <w:r>
        <w:rPr>
          <w:rFonts w:hint="eastAsia" w:ascii="宋体" w:hAnsi="宋体" w:cs="宋体"/>
          <w:color w:val="000000"/>
          <w:kern w:val="0"/>
          <w:sz w:val="22"/>
          <w:szCs w:val="22"/>
          <w:u w:val="single"/>
          <w:lang w:val="en-US" w:eastAsia="zh-CN"/>
        </w:rPr>
        <w:t>元</w:t>
      </w:r>
    </w:p>
    <w:p w14:paraId="0E14541A">
      <w:pPr>
        <w:keepLines w:val="0"/>
        <w:pageBreakBefore w:val="0"/>
        <w:kinsoku/>
        <w:wordWrap/>
        <w:overflowPunct/>
        <w:topLinePunct w:val="0"/>
        <w:autoSpaceDE/>
        <w:autoSpaceDN/>
        <w:bidi w:val="0"/>
        <w:adjustRightInd w:val="0"/>
        <w:snapToGrid w:val="0"/>
        <w:spacing w:line="360" w:lineRule="auto"/>
        <w:ind w:firstLine="660" w:firstLineChars="300"/>
        <w:textAlignment w:val="auto"/>
        <w:rPr>
          <w:rFonts w:ascii="宋体" w:hAnsi="宋体"/>
          <w:bCs/>
          <w:sz w:val="22"/>
          <w:szCs w:val="22"/>
          <w:u w:val="single"/>
        </w:rPr>
      </w:pPr>
      <w:r>
        <w:rPr>
          <w:rFonts w:hint="eastAsia" w:ascii="宋体" w:hAnsi="宋体"/>
          <w:iCs/>
          <w:sz w:val="22"/>
          <w:szCs w:val="22"/>
        </w:rPr>
        <w:sym w:font="Wingdings" w:char="00A8"/>
      </w:r>
      <w:r>
        <w:rPr>
          <w:rFonts w:hint="eastAsia" w:ascii="宋体" w:hAnsi="宋体"/>
          <w:iCs/>
          <w:sz w:val="22"/>
          <w:szCs w:val="22"/>
        </w:rPr>
        <w:t>支持</w:t>
      </w:r>
      <w:r>
        <w:rPr>
          <w:rFonts w:hint="eastAsia" w:ascii="宋体" w:hAnsi="宋体"/>
          <w:bCs/>
          <w:sz w:val="22"/>
          <w:szCs w:val="22"/>
        </w:rPr>
        <w:t>预付款，预付比例：</w:t>
      </w:r>
      <w:r>
        <w:rPr>
          <w:rFonts w:hint="eastAsia" w:ascii="宋体" w:hAnsi="宋体"/>
          <w:bCs/>
          <w:sz w:val="22"/>
          <w:szCs w:val="22"/>
          <w:u w:val="single"/>
        </w:rPr>
        <w:t xml:space="preserve">  </w:t>
      </w:r>
      <w:r>
        <w:rPr>
          <w:rFonts w:ascii="宋体" w:hAnsi="宋体"/>
          <w:bCs/>
          <w:sz w:val="22"/>
          <w:szCs w:val="22"/>
          <w:u w:val="single"/>
        </w:rPr>
        <w:t>/</w:t>
      </w:r>
      <w:r>
        <w:rPr>
          <w:rFonts w:hint="eastAsia" w:ascii="宋体" w:hAnsi="宋体"/>
          <w:bCs/>
          <w:sz w:val="22"/>
          <w:szCs w:val="22"/>
          <w:u w:val="single"/>
        </w:rPr>
        <w:t xml:space="preserve">  </w:t>
      </w:r>
    </w:p>
    <w:p w14:paraId="49DC98D5">
      <w:pPr>
        <w:keepLines w:val="0"/>
        <w:pageBreakBefore w:val="0"/>
        <w:numPr>
          <w:ilvl w:val="0"/>
          <w:numId w:val="3"/>
        </w:numPr>
        <w:kinsoku/>
        <w:wordWrap/>
        <w:overflowPunct/>
        <w:topLinePunct w:val="0"/>
        <w:autoSpaceDE/>
        <w:autoSpaceDN/>
        <w:bidi w:val="0"/>
        <w:adjustRightInd w:val="0"/>
        <w:snapToGrid w:val="0"/>
        <w:spacing w:line="360" w:lineRule="auto"/>
        <w:ind w:firstLine="440" w:firstLineChars="200"/>
        <w:textAlignment w:val="auto"/>
        <w:rPr>
          <w:rFonts w:hint="eastAsia"/>
          <w:sz w:val="22"/>
          <w:szCs w:val="22"/>
          <w:highlight w:val="white"/>
        </w:rPr>
      </w:pPr>
      <w:r>
        <w:rPr>
          <w:rFonts w:hint="eastAsia" w:ascii="宋体" w:hAnsi="宋体"/>
          <w:bCs/>
          <w:sz w:val="22"/>
          <w:szCs w:val="22"/>
        </w:rPr>
        <w:t>本项目</w:t>
      </w:r>
      <w:r>
        <w:rPr>
          <w:rFonts w:hint="eastAsia" w:ascii="宋体" w:hAnsi="宋体"/>
          <w:sz w:val="22"/>
          <w:szCs w:val="22"/>
        </w:rPr>
        <w:t>对应的中小企业划分标准所属行业：</w:t>
      </w:r>
      <w:r>
        <w:rPr>
          <w:rFonts w:hint="eastAsia" w:ascii="宋体" w:hAnsi="宋体" w:cs="宋体"/>
          <w:color w:val="000000"/>
          <w:sz w:val="22"/>
          <w:szCs w:val="22"/>
          <w:u w:val="single"/>
        </w:rPr>
        <w:t>《中小企业划型标准规定》（工信部联企业【2011】300号）中的“</w:t>
      </w:r>
      <w:r>
        <w:rPr>
          <w:rFonts w:hint="eastAsia" w:ascii="宋体" w:hAnsi="宋体" w:cs="宋体"/>
          <w:color w:val="000000"/>
          <w:sz w:val="22"/>
          <w:szCs w:val="22"/>
          <w:u w:val="single"/>
          <w:lang w:val="en-US" w:eastAsia="zh-CN"/>
        </w:rPr>
        <w:t>餐饮</w:t>
      </w:r>
      <w:r>
        <w:rPr>
          <w:rFonts w:hint="eastAsia" w:ascii="宋体" w:hAnsi="宋体" w:cs="宋体"/>
          <w:color w:val="000000"/>
          <w:sz w:val="22"/>
          <w:szCs w:val="22"/>
          <w:u w:val="single"/>
          <w:lang w:eastAsia="zh-CN"/>
        </w:rPr>
        <w:t>业</w:t>
      </w:r>
      <w:r>
        <w:rPr>
          <w:rFonts w:hint="eastAsia" w:ascii="宋体" w:hAnsi="宋体" w:cs="宋体"/>
          <w:color w:val="000000"/>
          <w:sz w:val="22"/>
          <w:szCs w:val="22"/>
          <w:u w:val="single"/>
        </w:rPr>
        <w:t>”。</w:t>
      </w:r>
    </w:p>
    <w:p w14:paraId="636FB96D">
      <w:pPr>
        <w:keepLines w:val="0"/>
        <w:pageBreakBefore w:val="0"/>
        <w:numPr>
          <w:ilvl w:val="0"/>
          <w:numId w:val="0"/>
        </w:numPr>
        <w:kinsoku/>
        <w:wordWrap/>
        <w:overflowPunct/>
        <w:topLinePunct w:val="0"/>
        <w:autoSpaceDE/>
        <w:autoSpaceDN/>
        <w:bidi w:val="0"/>
        <w:adjustRightInd w:val="0"/>
        <w:snapToGrid w:val="0"/>
        <w:spacing w:line="360" w:lineRule="auto"/>
        <w:ind w:firstLine="440" w:firstLineChars="200"/>
        <w:textAlignment w:val="auto"/>
        <w:rPr>
          <w:rFonts w:ascii="宋体" w:hAnsi="宋体"/>
          <w:bCs/>
          <w:sz w:val="22"/>
          <w:szCs w:val="22"/>
        </w:rPr>
      </w:pPr>
      <w:r>
        <w:rPr>
          <w:rFonts w:hint="eastAsia" w:ascii="宋体" w:hAnsi="宋体"/>
          <w:bCs/>
          <w:sz w:val="22"/>
          <w:szCs w:val="22"/>
        </w:rPr>
        <w:t>6、资格审查方式：资格后审；评标方法：</w:t>
      </w:r>
      <w:r>
        <w:rPr>
          <w:rFonts w:hint="eastAsia" w:ascii="宋体" w:hAnsi="宋体" w:eastAsia="宋体" w:cs="宋体"/>
          <w:b w:val="0"/>
          <w:bCs/>
          <w:color w:val="auto"/>
          <w:sz w:val="22"/>
          <w:szCs w:val="22"/>
          <w:lang w:val="en-US" w:eastAsia="zh-CN"/>
        </w:rPr>
        <w:t>√</w:t>
      </w:r>
      <w:r>
        <w:rPr>
          <w:rFonts w:hint="eastAsia" w:ascii="宋体" w:hAnsi="宋体"/>
          <w:iCs/>
          <w:sz w:val="22"/>
          <w:szCs w:val="22"/>
        </w:rPr>
        <w:t xml:space="preserve">综合评分法 </w:t>
      </w:r>
      <w:r>
        <w:rPr>
          <w:rFonts w:hint="eastAsia" w:ascii="宋体" w:hAnsi="宋体"/>
          <w:iCs/>
          <w:sz w:val="22"/>
          <w:szCs w:val="22"/>
        </w:rPr>
        <w:sym w:font="Wingdings 2" w:char="00A3"/>
      </w:r>
      <w:r>
        <w:rPr>
          <w:rFonts w:hint="eastAsia" w:ascii="宋体" w:hAnsi="宋体"/>
          <w:iCs/>
          <w:sz w:val="22"/>
          <w:szCs w:val="22"/>
        </w:rPr>
        <w:t>最低评标价法</w:t>
      </w:r>
    </w:p>
    <w:p w14:paraId="66BD95F9">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ascii="宋体" w:hAnsi="宋体"/>
          <w:bCs/>
          <w:sz w:val="22"/>
          <w:szCs w:val="22"/>
          <w:u w:val="single"/>
        </w:rPr>
      </w:pPr>
      <w:r>
        <w:rPr>
          <w:rFonts w:hint="eastAsia" w:ascii="宋体" w:hAnsi="宋体"/>
          <w:bCs/>
          <w:sz w:val="22"/>
          <w:szCs w:val="22"/>
        </w:rPr>
        <w:t>7、合同定价方式：</w:t>
      </w:r>
      <w:r>
        <w:rPr>
          <w:rFonts w:hint="eastAsia" w:ascii="宋体" w:hAnsi="宋体"/>
          <w:iCs/>
          <w:sz w:val="22"/>
          <w:szCs w:val="22"/>
        </w:rPr>
        <w:sym w:font="Wingdings" w:char="00A8"/>
      </w:r>
      <w:r>
        <w:rPr>
          <w:rFonts w:hint="eastAsia" w:ascii="宋体" w:hAnsi="宋体"/>
          <w:iCs/>
          <w:sz w:val="22"/>
          <w:szCs w:val="22"/>
        </w:rPr>
        <w:t xml:space="preserve">固定总价 </w:t>
      </w:r>
      <w:r>
        <w:rPr>
          <w:rFonts w:hint="eastAsia" w:ascii="宋体" w:hAnsi="宋体"/>
          <w:iCs/>
          <w:sz w:val="22"/>
          <w:szCs w:val="22"/>
        </w:rPr>
        <w:sym w:font="Wingdings" w:char="00FE"/>
      </w:r>
      <w:r>
        <w:rPr>
          <w:rFonts w:hint="eastAsia" w:ascii="宋体" w:hAnsi="宋体"/>
          <w:iCs/>
          <w:sz w:val="22"/>
          <w:szCs w:val="22"/>
        </w:rPr>
        <w:t xml:space="preserve">固定单价 </w:t>
      </w:r>
      <w:r>
        <w:rPr>
          <w:rFonts w:hint="eastAsia" w:ascii="宋体" w:hAnsi="宋体"/>
          <w:iCs/>
          <w:sz w:val="22"/>
          <w:szCs w:val="22"/>
        </w:rPr>
        <w:sym w:font="Wingdings" w:char="00A8"/>
      </w:r>
      <w:r>
        <w:rPr>
          <w:rFonts w:hint="eastAsia" w:ascii="宋体" w:hAnsi="宋体"/>
          <w:iCs/>
          <w:sz w:val="22"/>
          <w:szCs w:val="22"/>
        </w:rPr>
        <w:t xml:space="preserve">成本补偿 </w:t>
      </w:r>
      <w:r>
        <w:rPr>
          <w:rFonts w:hint="eastAsia" w:ascii="宋体" w:hAnsi="宋体"/>
          <w:iCs/>
          <w:sz w:val="22"/>
          <w:szCs w:val="22"/>
        </w:rPr>
        <w:sym w:font="Wingdings" w:char="00A8"/>
      </w:r>
      <w:r>
        <w:rPr>
          <w:rFonts w:hint="eastAsia" w:ascii="宋体" w:hAnsi="宋体"/>
          <w:iCs/>
          <w:sz w:val="22"/>
          <w:szCs w:val="22"/>
        </w:rPr>
        <w:t>绩效激励</w:t>
      </w:r>
    </w:p>
    <w:p w14:paraId="1556DBDA">
      <w:pPr>
        <w:keepLines w:val="0"/>
        <w:pageBreakBefore w:val="0"/>
        <w:widowControl/>
        <w:kinsoku/>
        <w:wordWrap/>
        <w:overflowPunct/>
        <w:topLinePunct w:val="0"/>
        <w:autoSpaceDE/>
        <w:autoSpaceDN/>
        <w:bidi w:val="0"/>
        <w:spacing w:line="360" w:lineRule="auto"/>
        <w:ind w:firstLine="480"/>
        <w:jc w:val="left"/>
        <w:textAlignment w:val="auto"/>
        <w:rPr>
          <w:rFonts w:hint="eastAsia" w:ascii="宋体" w:hAnsi="宋体" w:eastAsia="宋体" w:cs="Times New Roman"/>
          <w:sz w:val="22"/>
          <w:szCs w:val="22"/>
        </w:rPr>
      </w:pPr>
      <w:r>
        <w:rPr>
          <w:rFonts w:hint="eastAsia" w:ascii="宋体" w:hAnsi="宋体"/>
          <w:bCs/>
          <w:color w:val="auto"/>
          <w:sz w:val="22"/>
          <w:szCs w:val="22"/>
        </w:rPr>
        <w:t>8、合同履行期限：</w:t>
      </w:r>
      <w:r>
        <w:rPr>
          <w:rFonts w:hint="eastAsia" w:ascii="宋体" w:hAnsi="宋体" w:cs="宋体"/>
          <w:color w:val="000000"/>
          <w:kern w:val="0"/>
          <w:sz w:val="22"/>
          <w:szCs w:val="22"/>
          <w:highlight w:val="none"/>
          <w:u w:val="single"/>
          <w:lang w:val="en-US" w:eastAsia="zh-CN"/>
        </w:rPr>
        <w:t>两年</w:t>
      </w:r>
    </w:p>
    <w:p w14:paraId="3C83FD72">
      <w:pPr>
        <w:pStyle w:val="63"/>
        <w:keepLines w:val="0"/>
        <w:pageBreakBefore w:val="0"/>
        <w:kinsoku/>
        <w:wordWrap/>
        <w:overflowPunct/>
        <w:topLinePunct w:val="0"/>
        <w:autoSpaceDE/>
        <w:autoSpaceDN/>
        <w:bidi w:val="0"/>
        <w:spacing w:line="360" w:lineRule="auto"/>
        <w:textAlignment w:val="auto"/>
        <w:rPr>
          <w:sz w:val="22"/>
          <w:szCs w:val="22"/>
        </w:rPr>
      </w:pPr>
      <w:r>
        <w:rPr>
          <w:rFonts w:hint="eastAsia" w:ascii="宋体" w:hAnsi="宋体"/>
          <w:bCs/>
          <w:sz w:val="22"/>
          <w:szCs w:val="22"/>
        </w:rPr>
        <w:t>9、</w:t>
      </w:r>
      <w:r>
        <w:rPr>
          <w:rFonts w:hint="eastAsia"/>
          <w:sz w:val="22"/>
          <w:szCs w:val="22"/>
        </w:rPr>
        <w:t>本项目分阶段要求投标人提供以下保证：</w:t>
      </w:r>
    </w:p>
    <w:p w14:paraId="516F9EC2">
      <w:pPr>
        <w:pStyle w:val="63"/>
        <w:keepLines w:val="0"/>
        <w:pageBreakBefore w:val="0"/>
        <w:kinsoku/>
        <w:wordWrap/>
        <w:overflowPunct/>
        <w:topLinePunct w:val="0"/>
        <w:autoSpaceDE/>
        <w:autoSpaceDN/>
        <w:bidi w:val="0"/>
        <w:spacing w:line="360" w:lineRule="auto"/>
        <w:textAlignment w:val="auto"/>
        <w:rPr>
          <w:rFonts w:hint="eastAsia" w:ascii="宋体" w:hAnsi="宋体"/>
          <w:iCs/>
          <w:sz w:val="22"/>
          <w:szCs w:val="22"/>
        </w:rPr>
      </w:pPr>
      <w:r>
        <w:rPr>
          <w:rFonts w:hint="eastAsia" w:ascii="宋体" w:hAnsi="宋体"/>
          <w:iCs/>
          <w:sz w:val="22"/>
          <w:szCs w:val="22"/>
        </w:rPr>
        <w:sym w:font="Wingdings" w:char="00A8"/>
      </w:r>
      <w:r>
        <w:rPr>
          <w:rFonts w:hint="eastAsia" w:ascii="宋体" w:hAnsi="宋体"/>
          <w:sz w:val="22"/>
          <w:szCs w:val="22"/>
        </w:rPr>
        <w:t>投标保证金：</w:t>
      </w:r>
      <w:r>
        <w:rPr>
          <w:rFonts w:hint="eastAsia" w:ascii="宋体" w:hAnsi="宋体"/>
          <w:iCs/>
          <w:sz w:val="22"/>
          <w:szCs w:val="22"/>
        </w:rPr>
        <w:t>采购项目预算的</w:t>
      </w:r>
      <w:r>
        <w:rPr>
          <w:rFonts w:hint="eastAsia" w:ascii="宋体" w:hAnsi="宋体"/>
          <w:iCs/>
          <w:sz w:val="22"/>
          <w:szCs w:val="22"/>
          <w:u w:val="single"/>
        </w:rPr>
        <w:t xml:space="preserve"> </w:t>
      </w:r>
      <w:r>
        <w:rPr>
          <w:rFonts w:ascii="宋体" w:hAnsi="宋体"/>
          <w:iCs/>
          <w:sz w:val="22"/>
          <w:szCs w:val="22"/>
          <w:u w:val="single"/>
        </w:rPr>
        <w:t>/</w:t>
      </w:r>
      <w:r>
        <w:rPr>
          <w:rFonts w:hint="eastAsia" w:ascii="宋体" w:hAnsi="宋体"/>
          <w:iCs/>
          <w:sz w:val="22"/>
          <w:szCs w:val="22"/>
          <w:u w:val="single"/>
        </w:rPr>
        <w:t xml:space="preserve"> </w:t>
      </w:r>
      <w:r>
        <w:rPr>
          <w:rFonts w:hint="eastAsia" w:ascii="宋体" w:hAnsi="宋体"/>
          <w:iCs/>
          <w:sz w:val="22"/>
          <w:szCs w:val="22"/>
        </w:rPr>
        <w:t>%</w:t>
      </w:r>
      <w:r>
        <w:rPr>
          <w:rFonts w:hint="eastAsia" w:ascii="宋体" w:hAnsi="宋体"/>
          <w:sz w:val="22"/>
          <w:szCs w:val="22"/>
        </w:rPr>
        <w:t>；（</w:t>
      </w:r>
      <w:r>
        <w:rPr>
          <w:rFonts w:hint="eastAsia" w:ascii="宋体" w:hAnsi="宋体" w:eastAsia="宋体" w:cs="宋体"/>
          <w:color w:val="000000"/>
          <w:kern w:val="2"/>
          <w:sz w:val="22"/>
          <w:szCs w:val="22"/>
          <w:u w:val="single"/>
          <w:lang w:val="en-US" w:eastAsia="zh-CN" w:bidi="ar-SA"/>
        </w:rPr>
        <w:t>根据娄财购函【2022】20号文件精神，不要求提供</w:t>
      </w:r>
      <w:r>
        <w:rPr>
          <w:rFonts w:hint="eastAsia" w:ascii="宋体" w:hAnsi="宋体"/>
          <w:sz w:val="22"/>
          <w:szCs w:val="22"/>
        </w:rPr>
        <w:t>）</w:t>
      </w:r>
    </w:p>
    <w:p w14:paraId="6E6765A2">
      <w:pPr>
        <w:pStyle w:val="63"/>
        <w:keepLines w:val="0"/>
        <w:pageBreakBefore w:val="0"/>
        <w:kinsoku/>
        <w:wordWrap/>
        <w:overflowPunct/>
        <w:topLinePunct w:val="0"/>
        <w:autoSpaceDE/>
        <w:autoSpaceDN/>
        <w:bidi w:val="0"/>
        <w:spacing w:line="360" w:lineRule="auto"/>
        <w:textAlignment w:val="auto"/>
        <w:rPr>
          <w:rFonts w:hint="default" w:ascii="宋体" w:hAnsi="宋体" w:eastAsia="宋体"/>
          <w:iCs/>
          <w:sz w:val="22"/>
          <w:szCs w:val="22"/>
          <w:lang w:val="en-US" w:eastAsia="zh-CN"/>
        </w:rPr>
      </w:pPr>
      <w:r>
        <w:rPr>
          <w:rFonts w:hint="eastAsia" w:ascii="宋体" w:hAnsi="宋体"/>
          <w:iCs/>
          <w:sz w:val="22"/>
          <w:szCs w:val="22"/>
        </w:rPr>
        <w:sym w:font="Wingdings" w:char="00FE"/>
      </w:r>
      <w:r>
        <w:rPr>
          <w:rFonts w:hint="eastAsia" w:ascii="宋体" w:hAnsi="宋体"/>
          <w:sz w:val="22"/>
          <w:szCs w:val="22"/>
        </w:rPr>
        <w:t>履约保证金：</w:t>
      </w:r>
      <w:r>
        <w:rPr>
          <w:rFonts w:hint="eastAsia" w:ascii="宋体" w:hAnsi="宋体" w:eastAsia="宋体" w:cs="宋体"/>
          <w:color w:val="000000"/>
          <w:kern w:val="2"/>
          <w:sz w:val="22"/>
          <w:szCs w:val="22"/>
          <w:u w:val="single"/>
          <w:lang w:val="en-US" w:eastAsia="zh-CN" w:bidi="ar-SA"/>
        </w:rPr>
        <w:t>本项目设履约保证金</w:t>
      </w:r>
      <w:r>
        <w:rPr>
          <w:rFonts w:hint="eastAsia" w:ascii="宋体" w:hAnsi="宋体" w:eastAsia="宋体" w:cs="宋体"/>
          <w:color w:val="000000"/>
          <w:kern w:val="2"/>
          <w:sz w:val="22"/>
          <w:szCs w:val="22"/>
          <w:highlight w:val="none"/>
          <w:u w:val="single"/>
          <w:lang w:val="en-US" w:eastAsia="zh-CN" w:bidi="ar-SA"/>
        </w:rPr>
        <w:t>60000.00元（陆万元</w:t>
      </w:r>
      <w:r>
        <w:rPr>
          <w:rFonts w:hint="eastAsia" w:ascii="宋体" w:hAnsi="宋体" w:eastAsia="宋体" w:cs="宋体"/>
          <w:color w:val="000000"/>
          <w:kern w:val="2"/>
          <w:sz w:val="22"/>
          <w:szCs w:val="22"/>
          <w:u w:val="single"/>
          <w:lang w:val="en-US" w:eastAsia="zh-CN" w:bidi="ar-SA"/>
        </w:rPr>
        <w:t>整），签订合同前交清，合同履行结束后一个月内无息退还。根据《湖南省财政厅关于政府采购促进中小企业发展有关措施的通知》的相关要求，中标人可以以银行保函的形式缴纳本项目履约保证金</w:t>
      </w:r>
      <w:r>
        <w:rPr>
          <w:rFonts w:hint="eastAsia" w:ascii="宋体" w:hAnsi="宋体" w:cs="宋体"/>
          <w:color w:val="000000"/>
          <w:kern w:val="0"/>
          <w:sz w:val="22"/>
          <w:szCs w:val="22"/>
        </w:rPr>
        <w:t>；</w:t>
      </w:r>
    </w:p>
    <w:p w14:paraId="74F67757">
      <w:pPr>
        <w:pStyle w:val="63"/>
        <w:keepLines w:val="0"/>
        <w:pageBreakBefore w:val="0"/>
        <w:kinsoku/>
        <w:wordWrap/>
        <w:overflowPunct/>
        <w:topLinePunct w:val="0"/>
        <w:autoSpaceDE/>
        <w:autoSpaceDN/>
        <w:bidi w:val="0"/>
        <w:spacing w:line="360" w:lineRule="auto"/>
        <w:textAlignment w:val="auto"/>
        <w:rPr>
          <w:rFonts w:hint="eastAsia" w:ascii="宋体" w:hAnsi="宋体"/>
          <w:iCs/>
          <w:sz w:val="22"/>
          <w:szCs w:val="22"/>
        </w:rPr>
      </w:pPr>
      <w:r>
        <w:rPr>
          <w:rFonts w:hint="eastAsia" w:ascii="宋体" w:hAnsi="宋体"/>
          <w:iCs/>
          <w:sz w:val="22"/>
          <w:szCs w:val="22"/>
        </w:rPr>
        <w:sym w:font="Wingdings" w:char="00A8"/>
      </w:r>
      <w:r>
        <w:rPr>
          <w:rFonts w:hint="eastAsia" w:ascii="宋体" w:hAnsi="宋体"/>
          <w:iCs/>
          <w:sz w:val="22"/>
          <w:szCs w:val="22"/>
        </w:rPr>
        <w:t>预付款保证金：预付款的</w:t>
      </w:r>
      <w:r>
        <w:rPr>
          <w:rFonts w:hint="eastAsia" w:ascii="宋体" w:hAnsi="宋体"/>
          <w:iCs/>
          <w:sz w:val="22"/>
          <w:szCs w:val="22"/>
          <w:u w:val="single"/>
        </w:rPr>
        <w:t xml:space="preserve">  </w:t>
      </w:r>
      <w:r>
        <w:rPr>
          <w:rFonts w:ascii="宋体" w:hAnsi="宋体"/>
          <w:iCs/>
          <w:sz w:val="22"/>
          <w:szCs w:val="22"/>
          <w:u w:val="single"/>
        </w:rPr>
        <w:t>/</w:t>
      </w:r>
      <w:r>
        <w:rPr>
          <w:rFonts w:hint="eastAsia" w:ascii="宋体" w:hAnsi="宋体"/>
          <w:iCs/>
          <w:sz w:val="22"/>
          <w:szCs w:val="22"/>
          <w:u w:val="single"/>
        </w:rPr>
        <w:t xml:space="preserve">  </w:t>
      </w:r>
      <w:r>
        <w:rPr>
          <w:rFonts w:hint="eastAsia" w:ascii="宋体" w:hAnsi="宋体"/>
          <w:iCs/>
          <w:sz w:val="22"/>
          <w:szCs w:val="22"/>
        </w:rPr>
        <w:t>%；</w:t>
      </w:r>
    </w:p>
    <w:p w14:paraId="7E135C9D">
      <w:pPr>
        <w:pStyle w:val="63"/>
        <w:keepLines w:val="0"/>
        <w:pageBreakBefore w:val="0"/>
        <w:kinsoku/>
        <w:wordWrap/>
        <w:overflowPunct/>
        <w:topLinePunct w:val="0"/>
        <w:autoSpaceDE/>
        <w:autoSpaceDN/>
        <w:bidi w:val="0"/>
        <w:spacing w:line="360" w:lineRule="auto"/>
        <w:textAlignment w:val="auto"/>
        <w:rPr>
          <w:rFonts w:hint="eastAsia" w:ascii="宋体" w:hAnsi="宋体"/>
          <w:iCs/>
          <w:sz w:val="22"/>
          <w:szCs w:val="22"/>
        </w:rPr>
      </w:pPr>
      <w:r>
        <w:rPr>
          <w:rFonts w:hint="eastAsia" w:ascii="宋体" w:hAnsi="宋体"/>
          <w:iCs/>
          <w:sz w:val="22"/>
          <w:szCs w:val="22"/>
        </w:rPr>
        <w:sym w:font="Wingdings" w:char="00A8"/>
      </w:r>
      <w:r>
        <w:rPr>
          <w:rFonts w:hint="eastAsia" w:ascii="宋体" w:hAnsi="宋体"/>
          <w:iCs/>
          <w:sz w:val="22"/>
          <w:szCs w:val="22"/>
        </w:rPr>
        <w:t>质量保证金：合同金额的</w:t>
      </w:r>
      <w:r>
        <w:rPr>
          <w:rFonts w:hint="eastAsia" w:ascii="宋体" w:hAnsi="宋体"/>
          <w:iCs/>
          <w:sz w:val="22"/>
          <w:szCs w:val="22"/>
          <w:u w:val="single"/>
        </w:rPr>
        <w:t xml:space="preserve">  </w:t>
      </w:r>
      <w:r>
        <w:rPr>
          <w:rFonts w:ascii="宋体" w:hAnsi="宋体"/>
          <w:iCs/>
          <w:sz w:val="22"/>
          <w:szCs w:val="22"/>
          <w:u w:val="single"/>
        </w:rPr>
        <w:t>/</w:t>
      </w:r>
      <w:r>
        <w:rPr>
          <w:rFonts w:hint="eastAsia" w:ascii="宋体" w:hAnsi="宋体"/>
          <w:iCs/>
          <w:sz w:val="22"/>
          <w:szCs w:val="22"/>
          <w:u w:val="single"/>
        </w:rPr>
        <w:t xml:space="preserve">  </w:t>
      </w:r>
      <w:r>
        <w:rPr>
          <w:rFonts w:hint="eastAsia" w:ascii="宋体" w:hAnsi="宋体"/>
          <w:iCs/>
          <w:sz w:val="22"/>
          <w:szCs w:val="22"/>
        </w:rPr>
        <w:t>%。</w:t>
      </w:r>
    </w:p>
    <w:p w14:paraId="4E26DAB3">
      <w:pPr>
        <w:keepLines w:val="0"/>
        <w:pageBreakBefore w:val="0"/>
        <w:kinsoku/>
        <w:wordWrap/>
        <w:overflowPunct/>
        <w:topLinePunct w:val="0"/>
        <w:autoSpaceDE/>
        <w:autoSpaceDN/>
        <w:bidi w:val="0"/>
        <w:adjustRightInd w:val="0"/>
        <w:snapToGrid w:val="0"/>
        <w:spacing w:line="360" w:lineRule="auto"/>
        <w:ind w:firstLine="442" w:firstLineChars="200"/>
        <w:textAlignment w:val="auto"/>
        <w:rPr>
          <w:rFonts w:hint="eastAsia" w:ascii="宋体" w:hAnsi="宋体"/>
          <w:b/>
          <w:sz w:val="22"/>
          <w:szCs w:val="22"/>
        </w:rPr>
      </w:pPr>
      <w:r>
        <w:rPr>
          <w:rFonts w:hint="eastAsia" w:ascii="宋体" w:hAnsi="宋体"/>
          <w:b/>
          <w:sz w:val="22"/>
          <w:szCs w:val="22"/>
        </w:rPr>
        <w:t>二、采购人的采购需求</w:t>
      </w:r>
    </w:p>
    <w:tbl>
      <w:tblPr>
        <w:tblStyle w:val="45"/>
        <w:tblW w:w="5404" w:type="pct"/>
        <w:tblCellSpacing w:w="0" w:type="dxa"/>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61"/>
        <w:gridCol w:w="1213"/>
        <w:gridCol w:w="1735"/>
        <w:gridCol w:w="2805"/>
        <w:gridCol w:w="1614"/>
        <w:gridCol w:w="1086"/>
      </w:tblGrid>
      <w:tr w14:paraId="14FC8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412" w:type="pct"/>
            <w:noWrap/>
            <w:vAlign w:val="center"/>
          </w:tcPr>
          <w:p w14:paraId="383ECEE1">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bCs/>
                <w:color w:val="000000"/>
                <w:kern w:val="0"/>
                <w:sz w:val="22"/>
                <w:szCs w:val="22"/>
                <w:lang w:eastAsia="zh-CN"/>
              </w:rPr>
            </w:pPr>
            <w:r>
              <w:rPr>
                <w:rFonts w:hint="eastAsia" w:ascii="宋体" w:hAnsi="宋体" w:eastAsia="宋体" w:cs="宋体"/>
                <w:b/>
                <w:bCs/>
                <w:color w:val="000000"/>
                <w:kern w:val="0"/>
                <w:sz w:val="22"/>
                <w:szCs w:val="22"/>
                <w:lang w:eastAsia="zh-CN"/>
              </w:rPr>
              <w:t>序号</w:t>
            </w:r>
          </w:p>
        </w:tc>
        <w:tc>
          <w:tcPr>
            <w:tcW w:w="658" w:type="pct"/>
            <w:noWrap/>
            <w:vAlign w:val="center"/>
          </w:tcPr>
          <w:p w14:paraId="03E53E9F">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最高限价</w:t>
            </w:r>
          </w:p>
        </w:tc>
        <w:tc>
          <w:tcPr>
            <w:tcW w:w="941" w:type="pct"/>
            <w:noWrap/>
            <w:vAlign w:val="center"/>
          </w:tcPr>
          <w:p w14:paraId="23639984">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标的名称</w:t>
            </w:r>
          </w:p>
        </w:tc>
        <w:tc>
          <w:tcPr>
            <w:tcW w:w="1522" w:type="pct"/>
            <w:noWrap/>
            <w:vAlign w:val="center"/>
          </w:tcPr>
          <w:p w14:paraId="3DCDF563">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bCs/>
                <w:color w:val="000000"/>
                <w:kern w:val="0"/>
                <w:sz w:val="22"/>
                <w:szCs w:val="22"/>
                <w:lang w:eastAsia="zh-CN"/>
              </w:rPr>
            </w:pPr>
            <w:r>
              <w:rPr>
                <w:rFonts w:hint="eastAsia" w:ascii="宋体" w:hAnsi="宋体" w:eastAsia="宋体" w:cs="宋体"/>
                <w:b/>
                <w:bCs/>
                <w:color w:val="000000"/>
                <w:kern w:val="0"/>
                <w:sz w:val="22"/>
                <w:szCs w:val="22"/>
                <w:lang w:eastAsia="zh-CN"/>
              </w:rPr>
              <w:t>服务内容</w:t>
            </w:r>
          </w:p>
        </w:tc>
        <w:tc>
          <w:tcPr>
            <w:tcW w:w="875" w:type="pct"/>
            <w:noWrap/>
            <w:vAlign w:val="center"/>
          </w:tcPr>
          <w:p w14:paraId="4A0E6A68">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b/>
                <w:bCs/>
                <w:color w:val="000000"/>
                <w:kern w:val="0"/>
                <w:sz w:val="22"/>
                <w:szCs w:val="22"/>
              </w:rPr>
            </w:pPr>
            <w:r>
              <w:rPr>
                <w:rFonts w:hint="eastAsia" w:ascii="宋体" w:hAnsi="宋体" w:eastAsia="宋体" w:cs="宋体"/>
                <w:b/>
                <w:bCs/>
                <w:color w:val="000000"/>
                <w:kern w:val="0"/>
                <w:sz w:val="22"/>
                <w:szCs w:val="22"/>
              </w:rPr>
              <w:t>标的预算</w:t>
            </w:r>
          </w:p>
        </w:tc>
        <w:tc>
          <w:tcPr>
            <w:tcW w:w="589" w:type="pct"/>
            <w:noWrap/>
            <w:vAlign w:val="center"/>
          </w:tcPr>
          <w:p w14:paraId="2C8BEC11">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color w:val="000000"/>
                <w:kern w:val="0"/>
                <w:sz w:val="22"/>
                <w:szCs w:val="22"/>
              </w:rPr>
            </w:pPr>
            <w:r>
              <w:rPr>
                <w:rFonts w:hint="eastAsia" w:ascii="宋体" w:hAnsi="宋体" w:eastAsia="宋体" w:cs="宋体"/>
                <w:b/>
                <w:bCs/>
                <w:color w:val="000000"/>
                <w:kern w:val="0"/>
                <w:sz w:val="22"/>
                <w:szCs w:val="22"/>
              </w:rPr>
              <w:t>合同履行期限</w:t>
            </w:r>
          </w:p>
        </w:tc>
      </w:tr>
      <w:tr w14:paraId="7BE263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90" w:hRule="atLeast"/>
          <w:tblCellSpacing w:w="0" w:type="dxa"/>
        </w:trPr>
        <w:tc>
          <w:tcPr>
            <w:tcW w:w="412" w:type="pct"/>
            <w:noWrap w:val="0"/>
            <w:vAlign w:val="center"/>
          </w:tcPr>
          <w:p w14:paraId="1033AF93">
            <w:pPr>
              <w:keepLines w:val="0"/>
              <w:pageBreakBefore w:val="0"/>
              <w:widowControl/>
              <w:kinsoku/>
              <w:wordWrap/>
              <w:overflowPunct/>
              <w:topLinePunct w:val="0"/>
              <w:autoSpaceDE/>
              <w:autoSpaceDN/>
              <w:bidi w:val="0"/>
              <w:spacing w:line="360" w:lineRule="auto"/>
              <w:jc w:val="center"/>
              <w:textAlignment w:val="auto"/>
              <w:rPr>
                <w:rFonts w:hint="default" w:ascii="宋体" w:hAnsi="宋体" w:eastAsia="宋体" w:cs="宋体"/>
                <w:color w:val="000000"/>
                <w:sz w:val="22"/>
                <w:szCs w:val="22"/>
                <w:u w:val="none"/>
                <w:lang w:val="en-US" w:eastAsia="zh-CN"/>
              </w:rPr>
            </w:pPr>
            <w:r>
              <w:rPr>
                <w:rFonts w:hint="eastAsia" w:ascii="宋体" w:hAnsi="宋体" w:eastAsia="宋体" w:cs="宋体"/>
                <w:color w:val="000000"/>
                <w:sz w:val="22"/>
                <w:szCs w:val="22"/>
                <w:u w:val="none"/>
                <w:lang w:val="en-US" w:eastAsia="zh-CN"/>
              </w:rPr>
              <w:t>01</w:t>
            </w:r>
          </w:p>
        </w:tc>
        <w:tc>
          <w:tcPr>
            <w:tcW w:w="658" w:type="pct"/>
            <w:noWrap w:val="0"/>
            <w:vAlign w:val="center"/>
          </w:tcPr>
          <w:p w14:paraId="12FED900">
            <w:pPr>
              <w:keepLines w:val="0"/>
              <w:pageBreakBefore w:val="0"/>
              <w:widowControl/>
              <w:kinsoku/>
              <w:wordWrap/>
              <w:overflowPunct/>
              <w:topLinePunct w:val="0"/>
              <w:autoSpaceDE/>
              <w:autoSpaceDN/>
              <w:bidi w:val="0"/>
              <w:spacing w:line="360" w:lineRule="auto"/>
              <w:jc w:val="center"/>
              <w:textAlignment w:val="auto"/>
              <w:rPr>
                <w:rFonts w:hint="default" w:ascii="宋体" w:hAnsi="宋体" w:eastAsia="宋体" w:cs="宋体"/>
                <w:color w:val="000000"/>
                <w:sz w:val="22"/>
                <w:szCs w:val="22"/>
                <w:u w:val="none"/>
                <w:lang w:val="en-US" w:eastAsia="zh-CN"/>
              </w:rPr>
            </w:pPr>
            <w:r>
              <w:rPr>
                <w:rFonts w:hint="eastAsia" w:ascii="宋体" w:hAnsi="宋体" w:cs="宋体"/>
                <w:color w:val="000000"/>
                <w:sz w:val="22"/>
                <w:szCs w:val="22"/>
                <w:u w:val="none"/>
                <w:lang w:val="en-US" w:eastAsia="zh-CN"/>
              </w:rPr>
              <w:t>1611245.69</w:t>
            </w:r>
            <w:r>
              <w:rPr>
                <w:rFonts w:hint="eastAsia" w:ascii="宋体" w:hAnsi="宋体" w:eastAsia="宋体" w:cs="宋体"/>
                <w:color w:val="000000"/>
                <w:sz w:val="22"/>
                <w:szCs w:val="22"/>
                <w:u w:val="none"/>
                <w:lang w:val="en-US" w:eastAsia="zh-CN"/>
              </w:rPr>
              <w:t>元</w:t>
            </w:r>
          </w:p>
        </w:tc>
        <w:tc>
          <w:tcPr>
            <w:tcW w:w="941" w:type="pct"/>
            <w:noWrap w:val="0"/>
            <w:vAlign w:val="center"/>
          </w:tcPr>
          <w:p w14:paraId="143BD2FA">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color w:val="000000"/>
                <w:sz w:val="22"/>
                <w:szCs w:val="22"/>
                <w:u w:val="none"/>
                <w:lang w:val="en-US" w:eastAsia="zh-CN"/>
              </w:rPr>
            </w:pPr>
            <w:r>
              <w:rPr>
                <w:rFonts w:hint="eastAsia" w:ascii="宋体" w:hAnsi="宋体" w:eastAsia="宋体" w:cs="宋体"/>
                <w:color w:val="000000"/>
                <w:sz w:val="22"/>
                <w:szCs w:val="22"/>
                <w:u w:val="none"/>
                <w:lang w:val="en-US" w:eastAsia="zh-CN"/>
              </w:rPr>
              <w:t>双峰县行政中心机关食堂经营项目</w:t>
            </w:r>
          </w:p>
        </w:tc>
        <w:tc>
          <w:tcPr>
            <w:tcW w:w="1522" w:type="pct"/>
            <w:noWrap w:val="0"/>
            <w:vAlign w:val="center"/>
          </w:tcPr>
          <w:p w14:paraId="3D212050">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color w:val="000000"/>
                <w:sz w:val="22"/>
                <w:szCs w:val="22"/>
                <w:u w:val="none"/>
                <w:lang w:val="en-US" w:eastAsia="zh-CN"/>
              </w:rPr>
            </w:pPr>
            <w:r>
              <w:rPr>
                <w:rFonts w:hint="eastAsia" w:ascii="宋体" w:hAnsi="宋体" w:eastAsia="宋体" w:cs="宋体"/>
                <w:color w:val="000000"/>
                <w:sz w:val="22"/>
                <w:szCs w:val="22"/>
                <w:u w:val="none"/>
                <w:lang w:val="en-US" w:eastAsia="zh-CN"/>
              </w:rPr>
              <w:t>服务内容：县行政中心机关食堂是公益性、非盈利性机构，按非盈利模式提供餐饮服务，财务实行统一管理，独立核算，收支平衡。行政中心机关食堂继续实行“包工不包料”的方式，由具有资质且前期在餐饮行业有先进承包经验和优秀团队的餐饮企业提供服务。食材采购、食品安全、卫生管理、费用结算、刷卡服务、监督考核等由县机关事务服务中心指派专人负责。具体内容详见第五章采购需求。</w:t>
            </w:r>
          </w:p>
        </w:tc>
        <w:tc>
          <w:tcPr>
            <w:tcW w:w="875" w:type="pct"/>
            <w:noWrap w:val="0"/>
            <w:vAlign w:val="center"/>
          </w:tcPr>
          <w:p w14:paraId="6C98D318">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color w:val="000000"/>
                <w:sz w:val="22"/>
                <w:szCs w:val="22"/>
                <w:u w:val="none"/>
                <w:lang w:val="en-US" w:eastAsia="zh-CN"/>
              </w:rPr>
            </w:pPr>
            <w:r>
              <w:rPr>
                <w:rFonts w:hint="eastAsia" w:ascii="宋体" w:hAnsi="宋体" w:cs="宋体"/>
                <w:color w:val="000000"/>
                <w:sz w:val="22"/>
                <w:szCs w:val="22"/>
                <w:u w:val="none"/>
                <w:lang w:val="en-US" w:eastAsia="zh-CN"/>
              </w:rPr>
              <w:t>1611245.69</w:t>
            </w:r>
            <w:r>
              <w:rPr>
                <w:rFonts w:hint="eastAsia" w:ascii="宋体" w:hAnsi="宋体" w:eastAsia="宋体" w:cs="宋体"/>
                <w:color w:val="000000"/>
                <w:sz w:val="22"/>
                <w:szCs w:val="22"/>
                <w:u w:val="none"/>
                <w:lang w:val="en-US" w:eastAsia="zh-CN"/>
              </w:rPr>
              <w:t>元</w:t>
            </w:r>
          </w:p>
        </w:tc>
        <w:tc>
          <w:tcPr>
            <w:tcW w:w="589" w:type="pct"/>
            <w:noWrap w:val="0"/>
            <w:vAlign w:val="center"/>
          </w:tcPr>
          <w:p w14:paraId="0BDFDAC9">
            <w:pPr>
              <w:keepLines w:val="0"/>
              <w:pageBreakBefore w:val="0"/>
              <w:widowControl/>
              <w:kinsoku/>
              <w:wordWrap/>
              <w:overflowPunct/>
              <w:topLinePunct w:val="0"/>
              <w:autoSpaceDE/>
              <w:autoSpaceDN/>
              <w:bidi w:val="0"/>
              <w:spacing w:line="360" w:lineRule="auto"/>
              <w:jc w:val="center"/>
              <w:textAlignment w:val="auto"/>
              <w:rPr>
                <w:rFonts w:hint="eastAsia" w:ascii="宋体" w:hAnsi="宋体" w:eastAsia="宋体" w:cs="宋体"/>
                <w:color w:val="000000"/>
                <w:sz w:val="22"/>
                <w:szCs w:val="22"/>
                <w:u w:val="none"/>
                <w:lang w:val="en-US" w:eastAsia="zh-CN"/>
              </w:rPr>
            </w:pPr>
            <w:bookmarkStart w:id="9" w:name="_1763030350"/>
            <w:bookmarkEnd w:id="9"/>
            <w:r>
              <w:rPr>
                <w:rFonts w:hint="eastAsia" w:ascii="宋体" w:hAnsi="宋体" w:cs="宋体"/>
                <w:color w:val="000000"/>
                <w:sz w:val="22"/>
                <w:szCs w:val="22"/>
                <w:u w:val="none"/>
                <w:lang w:val="en-US" w:eastAsia="zh-CN"/>
              </w:rPr>
              <w:t>两年</w:t>
            </w:r>
          </w:p>
        </w:tc>
      </w:tr>
    </w:tbl>
    <w:p w14:paraId="6E76F0B0">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ascii="宋体" w:hAnsi="宋体"/>
          <w:sz w:val="22"/>
          <w:szCs w:val="22"/>
        </w:rPr>
      </w:pPr>
      <w:r>
        <w:rPr>
          <w:rFonts w:hint="eastAsia" w:ascii="宋体" w:hAnsi="宋体"/>
          <w:sz w:val="22"/>
          <w:szCs w:val="22"/>
        </w:rPr>
        <w:t>说明：</w:t>
      </w:r>
    </w:p>
    <w:p w14:paraId="5A7AB542">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ascii="宋体" w:hAnsi="宋体"/>
          <w:sz w:val="22"/>
          <w:szCs w:val="22"/>
        </w:rPr>
      </w:pPr>
      <w:r>
        <w:rPr>
          <w:rFonts w:hint="eastAsia" w:ascii="宋体" w:hAnsi="宋体"/>
          <w:sz w:val="22"/>
          <w:szCs w:val="22"/>
        </w:rPr>
        <w:t>1.节能产品实行</w:t>
      </w:r>
      <w:r>
        <w:rPr>
          <w:rFonts w:hint="eastAsia" w:ascii="宋体" w:hAnsi="宋体"/>
          <w:iCs/>
          <w:sz w:val="22"/>
          <w:szCs w:val="22"/>
        </w:rPr>
        <w:t>强制采购的</w:t>
      </w:r>
      <w:r>
        <w:rPr>
          <w:rFonts w:hint="eastAsia" w:ascii="宋体" w:hAnsi="宋体"/>
          <w:sz w:val="22"/>
          <w:szCs w:val="22"/>
        </w:rPr>
        <w:t>，需提供国家认证机构出具的、处于有效期内的节能产品证书。</w:t>
      </w:r>
    </w:p>
    <w:p w14:paraId="067C2CCD">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ascii="宋体" w:hAnsi="宋体"/>
          <w:sz w:val="22"/>
          <w:szCs w:val="22"/>
        </w:rPr>
      </w:pPr>
      <w:r>
        <w:rPr>
          <w:rFonts w:hint="eastAsia" w:ascii="宋体" w:hAnsi="宋体"/>
          <w:sz w:val="22"/>
          <w:szCs w:val="22"/>
        </w:rPr>
        <w:t>2.同意购买进口产品的，不限制满足采购需求的国内产品参与投标。</w:t>
      </w:r>
    </w:p>
    <w:p w14:paraId="71CB9665">
      <w:pPr>
        <w:keepLines w:val="0"/>
        <w:pageBreakBefore w:val="0"/>
        <w:kinsoku/>
        <w:wordWrap/>
        <w:overflowPunct/>
        <w:topLinePunct w:val="0"/>
        <w:autoSpaceDE/>
        <w:autoSpaceDN/>
        <w:bidi w:val="0"/>
        <w:adjustRightInd w:val="0"/>
        <w:snapToGrid w:val="0"/>
        <w:spacing w:line="360" w:lineRule="auto"/>
        <w:ind w:firstLine="442" w:firstLineChars="200"/>
        <w:textAlignment w:val="auto"/>
        <w:rPr>
          <w:rFonts w:ascii="宋体" w:hAnsi="宋体"/>
          <w:b/>
          <w:sz w:val="22"/>
          <w:szCs w:val="22"/>
        </w:rPr>
      </w:pPr>
      <w:r>
        <w:rPr>
          <w:rFonts w:hint="eastAsia" w:ascii="宋体" w:hAnsi="宋体"/>
          <w:b/>
          <w:sz w:val="22"/>
          <w:szCs w:val="22"/>
        </w:rPr>
        <w:t>三、采购项目需落实的政府采购政策</w:t>
      </w:r>
      <w:r>
        <w:rPr>
          <w:rFonts w:hint="eastAsia" w:ascii="宋体" w:hAnsi="宋体"/>
          <w:sz w:val="22"/>
          <w:szCs w:val="22"/>
        </w:rPr>
        <w:t>：</w:t>
      </w:r>
    </w:p>
    <w:p w14:paraId="4FAC9EAE">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ascii="宋体" w:hAnsi="宋体"/>
          <w:sz w:val="22"/>
          <w:szCs w:val="22"/>
        </w:rPr>
      </w:pPr>
      <w:r>
        <w:rPr>
          <w:rFonts w:hint="eastAsia" w:ascii="宋体" w:hAnsi="宋体"/>
          <w:sz w:val="22"/>
          <w:szCs w:val="22"/>
        </w:rPr>
        <w:t>1、优先采购：节能产品、环境标志产品享受加分或价格折扣。</w:t>
      </w:r>
    </w:p>
    <w:p w14:paraId="160BFB9A">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sz w:val="22"/>
          <w:szCs w:val="22"/>
        </w:rPr>
      </w:pPr>
      <w:r>
        <w:rPr>
          <w:rFonts w:hint="eastAsia" w:ascii="宋体" w:hAnsi="宋体"/>
          <w:sz w:val="22"/>
          <w:szCs w:val="22"/>
        </w:rPr>
        <w:t>2、支持中小企业：中小企业享受预留采购份额或价格折扣。</w:t>
      </w:r>
    </w:p>
    <w:p w14:paraId="373D7FD2">
      <w:pPr>
        <w:keepLines w:val="0"/>
        <w:pageBreakBefore w:val="0"/>
        <w:kinsoku/>
        <w:wordWrap/>
        <w:overflowPunct/>
        <w:topLinePunct w:val="0"/>
        <w:autoSpaceDE/>
        <w:autoSpaceDN/>
        <w:bidi w:val="0"/>
        <w:adjustRightInd w:val="0"/>
        <w:snapToGrid w:val="0"/>
        <w:spacing w:line="360" w:lineRule="auto"/>
        <w:ind w:firstLine="442" w:firstLineChars="200"/>
        <w:textAlignment w:val="auto"/>
        <w:rPr>
          <w:rFonts w:ascii="宋体" w:hAnsi="宋体"/>
          <w:sz w:val="22"/>
          <w:szCs w:val="22"/>
        </w:rPr>
      </w:pPr>
      <w:r>
        <w:rPr>
          <w:rFonts w:hint="eastAsia" w:ascii="宋体" w:hAnsi="宋体"/>
          <w:b/>
          <w:sz w:val="22"/>
          <w:szCs w:val="22"/>
        </w:rPr>
        <w:t>四、投标人的资格要求</w:t>
      </w:r>
      <w:r>
        <w:rPr>
          <w:rFonts w:hint="eastAsia" w:ascii="宋体" w:hAnsi="宋体"/>
          <w:sz w:val="22"/>
          <w:szCs w:val="22"/>
        </w:rPr>
        <w:t>：</w:t>
      </w:r>
    </w:p>
    <w:p w14:paraId="74278234">
      <w:pPr>
        <w:keepLines w:val="0"/>
        <w:pageBreakBefore w:val="0"/>
        <w:widowControl/>
        <w:kinsoku/>
        <w:wordWrap/>
        <w:overflowPunct/>
        <w:topLinePunct w:val="0"/>
        <w:autoSpaceDE/>
        <w:autoSpaceDN/>
        <w:bidi w:val="0"/>
        <w:spacing w:line="360" w:lineRule="auto"/>
        <w:ind w:firstLine="480"/>
        <w:jc w:val="left"/>
        <w:textAlignment w:val="auto"/>
        <w:rPr>
          <w:rFonts w:hint="eastAsia" w:ascii="宋体" w:hAnsi="宋体" w:eastAsia="宋体" w:cs="宋体"/>
          <w:kern w:val="0"/>
          <w:sz w:val="22"/>
          <w:szCs w:val="22"/>
        </w:rPr>
      </w:pPr>
      <w:r>
        <w:rPr>
          <w:rFonts w:hint="eastAsia" w:ascii="宋体" w:hAnsi="宋体" w:eastAsia="宋体" w:cs="宋体"/>
          <w:kern w:val="0"/>
          <w:sz w:val="22"/>
          <w:szCs w:val="22"/>
        </w:rPr>
        <w:t>1、投标人的基本资格条件：投标人必须是在中华人民共和国境内注册登记的</w:t>
      </w:r>
      <w:r>
        <w:rPr>
          <w:rFonts w:hint="eastAsia" w:ascii="宋体" w:hAnsi="宋体" w:eastAsia="宋体" w:cs="宋体"/>
          <w:kern w:val="0"/>
          <w:sz w:val="22"/>
          <w:szCs w:val="22"/>
          <w:lang w:eastAsia="zh-CN"/>
        </w:rPr>
        <w:t>法人（或负责人）</w:t>
      </w:r>
      <w:r>
        <w:rPr>
          <w:rFonts w:hint="eastAsia" w:ascii="宋体" w:hAnsi="宋体" w:eastAsia="宋体" w:cs="宋体"/>
          <w:kern w:val="0"/>
          <w:sz w:val="22"/>
          <w:szCs w:val="22"/>
        </w:rPr>
        <w:t>、其他组织或者自然人，且应当符合《政府采购法》第二十二条的规定。</w:t>
      </w:r>
    </w:p>
    <w:p w14:paraId="06539E31">
      <w:pPr>
        <w:keepLines w:val="0"/>
        <w:pageBreakBefore w:val="0"/>
        <w:widowControl/>
        <w:kinsoku/>
        <w:wordWrap/>
        <w:overflowPunct/>
        <w:topLinePunct w:val="0"/>
        <w:autoSpaceDE/>
        <w:autoSpaceDN/>
        <w:bidi w:val="0"/>
        <w:spacing w:line="360" w:lineRule="auto"/>
        <w:ind w:firstLine="480"/>
        <w:jc w:val="left"/>
        <w:textAlignment w:val="auto"/>
        <w:rPr>
          <w:rFonts w:ascii="宋体" w:hAnsi="宋体" w:eastAsia="宋体" w:cs="宋体"/>
          <w:kern w:val="0"/>
          <w:sz w:val="22"/>
          <w:szCs w:val="22"/>
        </w:rPr>
      </w:pPr>
      <w:r>
        <w:rPr>
          <w:rFonts w:hint="eastAsia" w:ascii="宋体" w:hAnsi="宋体" w:eastAsia="宋体" w:cs="宋体"/>
          <w:kern w:val="0"/>
          <w:sz w:val="22"/>
          <w:szCs w:val="22"/>
        </w:rPr>
        <w:t>2、落实政府采购政策需满足的资格要求：</w:t>
      </w:r>
    </w:p>
    <w:p w14:paraId="0C85FD97">
      <w:pPr>
        <w:keepLines w:val="0"/>
        <w:pageBreakBefore w:val="0"/>
        <w:widowControl/>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☑非专门面向中小企业。</w:t>
      </w:r>
    </w:p>
    <w:p w14:paraId="3675BC59">
      <w:pPr>
        <w:keepLines w:val="0"/>
        <w:pageBreakBefore w:val="0"/>
        <w:widowControl/>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color w:val="000000"/>
          <w:kern w:val="0"/>
          <w:sz w:val="22"/>
          <w:szCs w:val="22"/>
        </w:rPr>
      </w:pPr>
      <w:bookmarkStart w:id="10" w:name="_1763030352"/>
      <w:bookmarkEnd w:id="10"/>
      <w:r>
        <w:rPr>
          <w:rFonts w:hint="eastAsia" w:ascii="宋体" w:hAnsi="宋体" w:eastAsia="宋体" w:cs="宋体"/>
          <w:color w:val="000000"/>
          <w:sz w:val="22"/>
          <w:szCs w:val="22"/>
        </w:rPr>
        <w:t>□</w:t>
      </w:r>
      <w:r>
        <w:rPr>
          <w:rFonts w:hint="eastAsia" w:ascii="宋体" w:hAnsi="宋体" w:eastAsia="宋体" w:cs="宋体"/>
          <w:color w:val="000000"/>
          <w:kern w:val="0"/>
          <w:sz w:val="22"/>
          <w:szCs w:val="22"/>
        </w:rPr>
        <w:t>专门面向： </w:t>
      </w:r>
      <w:bookmarkStart w:id="11" w:name="_1763030353"/>
      <w:bookmarkEnd w:id="11"/>
      <w:r>
        <w:rPr>
          <w:rFonts w:hint="eastAsia" w:ascii="宋体" w:hAnsi="宋体" w:eastAsia="宋体" w:cs="宋体"/>
          <w:color w:val="000000"/>
          <w:sz w:val="22"/>
          <w:szCs w:val="22"/>
        </w:rPr>
        <w:t>□</w:t>
      </w:r>
      <w:r>
        <w:rPr>
          <w:rFonts w:hint="eastAsia" w:ascii="宋体" w:hAnsi="宋体" w:eastAsia="宋体" w:cs="宋体"/>
          <w:color w:val="000000"/>
          <w:kern w:val="0"/>
          <w:sz w:val="22"/>
          <w:szCs w:val="22"/>
        </w:rPr>
        <w:t>中小企业 </w:t>
      </w:r>
      <w:bookmarkStart w:id="12" w:name="_1763030354"/>
      <w:bookmarkEnd w:id="12"/>
      <w:r>
        <w:rPr>
          <w:rFonts w:hint="eastAsia" w:ascii="宋体" w:hAnsi="宋体" w:eastAsia="宋体" w:cs="宋体"/>
          <w:color w:val="000000"/>
          <w:kern w:val="0"/>
          <w:sz w:val="22"/>
          <w:szCs w:val="22"/>
        </w:rPr>
        <w:t xml:space="preserve">  </w:t>
      </w:r>
      <w:r>
        <w:rPr>
          <w:rFonts w:hint="eastAsia" w:ascii="宋体" w:hAnsi="宋体" w:eastAsia="宋体" w:cs="宋体"/>
          <w:color w:val="000000"/>
          <w:sz w:val="22"/>
          <w:szCs w:val="22"/>
        </w:rPr>
        <w:t>□</w:t>
      </w:r>
      <w:r>
        <w:rPr>
          <w:rFonts w:hint="eastAsia" w:ascii="宋体" w:hAnsi="宋体" w:eastAsia="宋体" w:cs="宋体"/>
          <w:color w:val="000000"/>
          <w:kern w:val="0"/>
          <w:sz w:val="22"/>
          <w:szCs w:val="22"/>
        </w:rPr>
        <w:t>小微企业 </w:t>
      </w:r>
      <w:bookmarkStart w:id="13" w:name="_1763030355"/>
      <w:bookmarkEnd w:id="13"/>
      <w:r>
        <w:rPr>
          <w:rFonts w:hint="eastAsia" w:ascii="宋体" w:hAnsi="宋体" w:eastAsia="宋体" w:cs="宋体"/>
          <w:color w:val="000000"/>
          <w:kern w:val="0"/>
          <w:sz w:val="22"/>
          <w:szCs w:val="22"/>
        </w:rPr>
        <w:t xml:space="preserve">  </w:t>
      </w:r>
      <w:r>
        <w:rPr>
          <w:rFonts w:hint="eastAsia" w:ascii="宋体" w:hAnsi="宋体" w:eastAsia="宋体" w:cs="宋体"/>
          <w:color w:val="000000"/>
          <w:sz w:val="22"/>
          <w:szCs w:val="22"/>
        </w:rPr>
        <w:t>□</w:t>
      </w:r>
      <w:r>
        <w:rPr>
          <w:rFonts w:hint="eastAsia" w:ascii="宋体" w:hAnsi="宋体" w:eastAsia="宋体" w:cs="宋体"/>
          <w:color w:val="000000"/>
          <w:kern w:val="0"/>
          <w:sz w:val="22"/>
          <w:szCs w:val="22"/>
        </w:rPr>
        <w:t>监狱企业 </w:t>
      </w:r>
      <w:bookmarkStart w:id="14" w:name="_1763030356"/>
      <w:bookmarkEnd w:id="14"/>
      <w:r>
        <w:rPr>
          <w:rFonts w:hint="eastAsia" w:ascii="宋体" w:hAnsi="宋体" w:eastAsia="宋体" w:cs="宋体"/>
          <w:color w:val="000000"/>
          <w:kern w:val="0"/>
          <w:sz w:val="22"/>
          <w:szCs w:val="22"/>
        </w:rPr>
        <w:t xml:space="preserve">  </w:t>
      </w:r>
      <w:r>
        <w:rPr>
          <w:rFonts w:hint="eastAsia" w:ascii="宋体" w:hAnsi="宋体" w:eastAsia="宋体" w:cs="宋体"/>
          <w:color w:val="000000"/>
          <w:sz w:val="22"/>
          <w:szCs w:val="22"/>
        </w:rPr>
        <w:t>□</w:t>
      </w:r>
      <w:r>
        <w:rPr>
          <w:rFonts w:hint="eastAsia" w:ascii="宋体" w:hAnsi="宋体" w:eastAsia="宋体" w:cs="宋体"/>
          <w:color w:val="000000"/>
          <w:kern w:val="0"/>
          <w:sz w:val="22"/>
          <w:szCs w:val="22"/>
        </w:rPr>
        <w:t>福利性单位</w:t>
      </w:r>
    </w:p>
    <w:p w14:paraId="16D624CF">
      <w:pPr>
        <w:keepLines w:val="0"/>
        <w:pageBreakBefore w:val="0"/>
        <w:widowControl/>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kern w:val="0"/>
          <w:sz w:val="22"/>
          <w:szCs w:val="22"/>
        </w:rPr>
      </w:pPr>
      <w:bookmarkStart w:id="15" w:name="_1763030357"/>
      <w:bookmarkEnd w:id="15"/>
      <w:r>
        <w:rPr>
          <w:rFonts w:hint="eastAsia" w:ascii="宋体" w:hAnsi="宋体" w:eastAsia="宋体" w:cs="宋体"/>
          <w:sz w:val="22"/>
          <w:szCs w:val="22"/>
        </w:rPr>
        <w:t>□</w:t>
      </w:r>
      <w:r>
        <w:rPr>
          <w:rFonts w:hint="eastAsia" w:ascii="宋体" w:hAnsi="宋体" w:eastAsia="宋体" w:cs="宋体"/>
          <w:kern w:val="0"/>
          <w:sz w:val="22"/>
          <w:szCs w:val="22"/>
        </w:rPr>
        <w:t>强制分包：大型企业应将采购份额的</w:t>
      </w:r>
      <w:r>
        <w:rPr>
          <w:rFonts w:hint="eastAsia" w:ascii="宋体" w:hAnsi="宋体" w:eastAsia="宋体" w:cs="宋体"/>
          <w:kern w:val="0"/>
          <w:sz w:val="22"/>
          <w:szCs w:val="22"/>
          <w:u w:val="single"/>
        </w:rPr>
        <w:t>  /   </w:t>
      </w:r>
      <w:r>
        <w:rPr>
          <w:rFonts w:hint="eastAsia" w:ascii="宋体" w:hAnsi="宋体" w:eastAsia="宋体" w:cs="宋体"/>
          <w:kern w:val="0"/>
          <w:sz w:val="22"/>
          <w:szCs w:val="22"/>
        </w:rPr>
        <w:t>%分包给中小企业。</w:t>
      </w:r>
    </w:p>
    <w:p w14:paraId="5DF8BC11">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kern w:val="0"/>
          <w:sz w:val="22"/>
          <w:szCs w:val="22"/>
        </w:rPr>
        <w:t xml:space="preserve">2.1根据湘财购【2020】46号文件精神，推行“承诺信用”管理，简化中小企业参与政府采购证明材料，符合法定资格条件的供应商可将资格承诺声明作为资格证明材料（格式见附件），无需再提供财务状况、缴纳税收和社会保障资金等资格证明材料（适用于中小企业，其中监狱企业和残疾人福利性单位、符合中小企业划分标准的个体工商户视同小型、微型企业）。 </w:t>
      </w:r>
    </w:p>
    <w:p w14:paraId="45B821FA">
      <w:pPr>
        <w:keepLines w:val="0"/>
        <w:pageBreakBefore w:val="0"/>
        <w:widowControl/>
        <w:kinsoku/>
        <w:wordWrap/>
        <w:overflowPunct/>
        <w:topLinePunct w:val="0"/>
        <w:autoSpaceDE/>
        <w:autoSpaceDN/>
        <w:bidi w:val="0"/>
        <w:spacing w:line="360" w:lineRule="auto"/>
        <w:ind w:firstLine="480"/>
        <w:jc w:val="left"/>
        <w:textAlignment w:val="auto"/>
        <w:rPr>
          <w:rFonts w:hint="eastAsia" w:ascii="宋体" w:hAnsi="宋体" w:eastAsia="宋体" w:cs="宋体"/>
          <w:kern w:val="0"/>
          <w:sz w:val="22"/>
          <w:szCs w:val="22"/>
        </w:rPr>
      </w:pPr>
      <w:r>
        <w:rPr>
          <w:rFonts w:hint="eastAsia" w:ascii="宋体" w:hAnsi="宋体" w:eastAsia="宋体" w:cs="宋体"/>
          <w:kern w:val="0"/>
          <w:sz w:val="22"/>
          <w:szCs w:val="22"/>
        </w:rPr>
        <w:t>2.2如投标人为大型企业或其他组织参与本项目的投标，则需提供依法缴纳税收和社会保险费的证明材料,各提供下列材料之一：</w:t>
      </w:r>
    </w:p>
    <w:p w14:paraId="06ADA629">
      <w:pPr>
        <w:keepLines w:val="0"/>
        <w:pageBreakBefore w:val="0"/>
        <w:widowControl/>
        <w:kinsoku/>
        <w:wordWrap/>
        <w:overflowPunct/>
        <w:topLinePunct w:val="0"/>
        <w:autoSpaceDE/>
        <w:autoSpaceDN/>
        <w:bidi w:val="0"/>
        <w:spacing w:line="360" w:lineRule="auto"/>
        <w:ind w:firstLine="480"/>
        <w:jc w:val="left"/>
        <w:textAlignment w:val="auto"/>
        <w:rPr>
          <w:rFonts w:hint="eastAsia" w:ascii="宋体" w:hAnsi="宋体" w:eastAsia="宋体" w:cs="宋体"/>
          <w:kern w:val="0"/>
          <w:sz w:val="22"/>
          <w:szCs w:val="22"/>
        </w:rPr>
      </w:pPr>
      <w:r>
        <w:rPr>
          <w:rFonts w:hint="eastAsia" w:ascii="宋体" w:hAnsi="宋体" w:eastAsia="宋体" w:cs="宋体"/>
          <w:kern w:val="0"/>
          <w:sz w:val="22"/>
          <w:szCs w:val="22"/>
        </w:rPr>
        <w:t>①缴纳税收证明资料：《税务登记证》复印件，或者近</w:t>
      </w:r>
      <w:r>
        <w:rPr>
          <w:rFonts w:hint="eastAsia" w:ascii="宋体" w:hAnsi="宋体" w:cs="宋体"/>
          <w:kern w:val="0"/>
          <w:sz w:val="22"/>
          <w:szCs w:val="22"/>
          <w:lang w:val="en-US" w:eastAsia="zh-CN"/>
        </w:rPr>
        <w:t>六</w:t>
      </w:r>
      <w:r>
        <w:rPr>
          <w:rFonts w:hint="eastAsia" w:ascii="宋体" w:hAnsi="宋体" w:eastAsia="宋体" w:cs="宋体"/>
          <w:kern w:val="0"/>
          <w:sz w:val="22"/>
          <w:szCs w:val="22"/>
        </w:rPr>
        <w:t>个月（2025年</w:t>
      </w:r>
      <w:r>
        <w:rPr>
          <w:rFonts w:hint="eastAsia" w:ascii="宋体" w:hAnsi="宋体" w:eastAsia="宋体" w:cs="宋体"/>
          <w:kern w:val="0"/>
          <w:sz w:val="22"/>
          <w:szCs w:val="22"/>
          <w:lang w:val="en-US" w:eastAsia="zh-CN"/>
        </w:rPr>
        <w:t>11</w:t>
      </w:r>
      <w:r>
        <w:rPr>
          <w:rFonts w:hint="eastAsia" w:ascii="宋体" w:hAnsi="宋体" w:eastAsia="宋体" w:cs="宋体"/>
          <w:kern w:val="0"/>
          <w:sz w:val="22"/>
          <w:szCs w:val="22"/>
        </w:rPr>
        <w:t>月至2026年</w:t>
      </w:r>
      <w:r>
        <w:rPr>
          <w:rFonts w:hint="eastAsia" w:ascii="宋体" w:hAnsi="宋体" w:eastAsia="宋体" w:cs="宋体"/>
          <w:kern w:val="0"/>
          <w:sz w:val="22"/>
          <w:szCs w:val="22"/>
          <w:lang w:val="en-US" w:eastAsia="zh-CN"/>
        </w:rPr>
        <w:t>4</w:t>
      </w:r>
      <w:r>
        <w:rPr>
          <w:rFonts w:hint="eastAsia" w:ascii="宋体" w:hAnsi="宋体" w:eastAsia="宋体" w:cs="宋体"/>
          <w:kern w:val="0"/>
          <w:sz w:val="22"/>
          <w:szCs w:val="22"/>
        </w:rPr>
        <w:t>月连续</w:t>
      </w:r>
      <w:r>
        <w:rPr>
          <w:rFonts w:hint="eastAsia" w:ascii="宋体" w:hAnsi="宋体" w:eastAsia="宋体" w:cs="宋体"/>
          <w:kern w:val="0"/>
          <w:sz w:val="22"/>
          <w:szCs w:val="22"/>
          <w:lang w:val="en-US" w:eastAsia="zh-CN"/>
        </w:rPr>
        <w:t>6</w:t>
      </w:r>
      <w:r>
        <w:rPr>
          <w:rFonts w:hint="eastAsia" w:ascii="宋体" w:hAnsi="宋体" w:eastAsia="宋体" w:cs="宋体"/>
          <w:kern w:val="0"/>
          <w:sz w:val="22"/>
          <w:szCs w:val="22"/>
        </w:rPr>
        <w:t>个月）依法缴纳税收的证明（纳税凭证复印件），或者委托他人缴纳的委托代办协议和近</w:t>
      </w:r>
      <w:r>
        <w:rPr>
          <w:rFonts w:hint="eastAsia" w:ascii="宋体" w:hAnsi="宋体" w:cs="宋体"/>
          <w:kern w:val="0"/>
          <w:sz w:val="22"/>
          <w:szCs w:val="22"/>
          <w:lang w:val="en-US" w:eastAsia="zh-CN"/>
        </w:rPr>
        <w:t>六</w:t>
      </w:r>
      <w:r>
        <w:rPr>
          <w:rFonts w:hint="eastAsia" w:ascii="宋体" w:hAnsi="宋体" w:eastAsia="宋体" w:cs="宋体"/>
          <w:kern w:val="0"/>
          <w:sz w:val="22"/>
          <w:szCs w:val="22"/>
        </w:rPr>
        <w:t>个月的缴纳证明（收据复印件），或者法定征收机关出具的依法免缴税收的证明复印件。</w:t>
      </w:r>
    </w:p>
    <w:p w14:paraId="5983E8E8">
      <w:pPr>
        <w:keepLines w:val="0"/>
        <w:pageBreakBefore w:val="0"/>
        <w:widowControl/>
        <w:kinsoku/>
        <w:wordWrap/>
        <w:overflowPunct/>
        <w:topLinePunct w:val="0"/>
        <w:autoSpaceDE/>
        <w:autoSpaceDN/>
        <w:bidi w:val="0"/>
        <w:spacing w:line="360" w:lineRule="auto"/>
        <w:ind w:firstLine="480"/>
        <w:jc w:val="left"/>
        <w:textAlignment w:val="auto"/>
        <w:rPr>
          <w:rFonts w:hint="eastAsia" w:ascii="宋体" w:hAnsi="宋体" w:eastAsia="宋体" w:cs="宋体"/>
          <w:kern w:val="0"/>
          <w:sz w:val="22"/>
          <w:szCs w:val="22"/>
        </w:rPr>
      </w:pPr>
      <w:r>
        <w:rPr>
          <w:rFonts w:hint="eastAsia" w:ascii="宋体" w:hAnsi="宋体" w:eastAsia="宋体" w:cs="宋体"/>
          <w:kern w:val="0"/>
          <w:sz w:val="22"/>
          <w:szCs w:val="22"/>
        </w:rPr>
        <w:t>②缴纳社会保险证明资料：《社会保险登记证》复印件，或者近</w:t>
      </w:r>
      <w:r>
        <w:rPr>
          <w:rFonts w:hint="eastAsia" w:ascii="宋体" w:hAnsi="宋体" w:cs="宋体"/>
          <w:kern w:val="0"/>
          <w:sz w:val="22"/>
          <w:szCs w:val="22"/>
          <w:lang w:val="en-US" w:eastAsia="zh-CN"/>
        </w:rPr>
        <w:t>六</w:t>
      </w:r>
      <w:r>
        <w:rPr>
          <w:rFonts w:hint="eastAsia" w:ascii="宋体" w:hAnsi="宋体" w:eastAsia="宋体" w:cs="宋体"/>
          <w:kern w:val="0"/>
          <w:sz w:val="22"/>
          <w:szCs w:val="22"/>
        </w:rPr>
        <w:t>个月（2025年</w:t>
      </w:r>
      <w:r>
        <w:rPr>
          <w:rFonts w:hint="eastAsia" w:ascii="宋体" w:hAnsi="宋体" w:eastAsia="宋体" w:cs="宋体"/>
          <w:kern w:val="0"/>
          <w:sz w:val="22"/>
          <w:szCs w:val="22"/>
          <w:lang w:val="en-US" w:eastAsia="zh-CN"/>
        </w:rPr>
        <w:t>11</w:t>
      </w:r>
      <w:r>
        <w:rPr>
          <w:rFonts w:hint="eastAsia" w:ascii="宋体" w:hAnsi="宋体" w:eastAsia="宋体" w:cs="宋体"/>
          <w:kern w:val="0"/>
          <w:sz w:val="22"/>
          <w:szCs w:val="22"/>
        </w:rPr>
        <w:t>月至2026年</w:t>
      </w:r>
      <w:r>
        <w:rPr>
          <w:rFonts w:hint="eastAsia" w:ascii="宋体" w:hAnsi="宋体" w:eastAsia="宋体" w:cs="宋体"/>
          <w:kern w:val="0"/>
          <w:sz w:val="22"/>
          <w:szCs w:val="22"/>
          <w:lang w:val="en-US" w:eastAsia="zh-CN"/>
        </w:rPr>
        <w:t>4</w:t>
      </w:r>
      <w:r>
        <w:rPr>
          <w:rFonts w:hint="eastAsia" w:ascii="宋体" w:hAnsi="宋体" w:eastAsia="宋体" w:cs="宋体"/>
          <w:kern w:val="0"/>
          <w:sz w:val="22"/>
          <w:szCs w:val="22"/>
        </w:rPr>
        <w:t>月连续</w:t>
      </w:r>
      <w:r>
        <w:rPr>
          <w:rFonts w:hint="eastAsia" w:ascii="宋体" w:hAnsi="宋体" w:eastAsia="宋体" w:cs="宋体"/>
          <w:kern w:val="0"/>
          <w:sz w:val="22"/>
          <w:szCs w:val="22"/>
          <w:lang w:val="en-US" w:eastAsia="zh-CN"/>
        </w:rPr>
        <w:t>6</w:t>
      </w:r>
      <w:r>
        <w:rPr>
          <w:rFonts w:hint="eastAsia" w:ascii="宋体" w:hAnsi="宋体" w:eastAsia="宋体" w:cs="宋体"/>
          <w:kern w:val="0"/>
          <w:sz w:val="22"/>
          <w:szCs w:val="22"/>
        </w:rPr>
        <w:t>个月）依法缴纳社会保险费的证明（缴费凭证复印件），或者委托他人缴纳的委托代办协议和近</w:t>
      </w:r>
      <w:r>
        <w:rPr>
          <w:rFonts w:hint="eastAsia" w:ascii="宋体" w:hAnsi="宋体" w:cs="宋体"/>
          <w:kern w:val="0"/>
          <w:sz w:val="22"/>
          <w:szCs w:val="22"/>
          <w:lang w:val="en-US" w:eastAsia="zh-CN"/>
        </w:rPr>
        <w:t>六</w:t>
      </w:r>
      <w:r>
        <w:rPr>
          <w:rFonts w:hint="eastAsia" w:ascii="宋体" w:hAnsi="宋体" w:eastAsia="宋体" w:cs="宋体"/>
          <w:kern w:val="0"/>
          <w:sz w:val="22"/>
          <w:szCs w:val="22"/>
        </w:rPr>
        <w:t>个月的缴纳证明（收据复印件），或者法定征收机关出具的依法免缴保险费的证明复印。</w:t>
      </w:r>
    </w:p>
    <w:p w14:paraId="348707EC">
      <w:pPr>
        <w:keepLines w:val="0"/>
        <w:pageBreakBefore w:val="0"/>
        <w:widowControl/>
        <w:kinsoku/>
        <w:wordWrap/>
        <w:overflowPunct/>
        <w:topLinePunct w:val="0"/>
        <w:autoSpaceDE/>
        <w:autoSpaceDN/>
        <w:bidi w:val="0"/>
        <w:spacing w:line="360" w:lineRule="auto"/>
        <w:ind w:firstLine="480"/>
        <w:jc w:val="left"/>
        <w:textAlignment w:val="auto"/>
        <w:rPr>
          <w:rFonts w:hint="eastAsia" w:ascii="宋体" w:hAnsi="宋体" w:eastAsia="宋体" w:cs="宋体"/>
          <w:kern w:val="0"/>
          <w:sz w:val="22"/>
          <w:szCs w:val="22"/>
        </w:rPr>
      </w:pPr>
      <w:r>
        <w:rPr>
          <w:rFonts w:ascii="宋体" w:hAnsi="宋体" w:eastAsia="宋体" w:cs="宋体"/>
          <w:kern w:val="0"/>
          <w:sz w:val="22"/>
          <w:szCs w:val="22"/>
        </w:rPr>
        <w:t>③</w:t>
      </w:r>
      <w:r>
        <w:rPr>
          <w:rFonts w:hint="eastAsia" w:ascii="宋体" w:hAnsi="宋体" w:eastAsia="宋体" w:cs="宋体"/>
          <w:kern w:val="0"/>
          <w:sz w:val="22"/>
          <w:szCs w:val="22"/>
          <w:lang w:eastAsia="zh-CN"/>
        </w:rPr>
        <w:t>提供</w:t>
      </w:r>
      <w:r>
        <w:rPr>
          <w:rFonts w:hint="eastAsia" w:ascii="宋体" w:hAnsi="宋体" w:eastAsia="宋体" w:cs="宋体"/>
          <w:kern w:val="0"/>
          <w:sz w:val="22"/>
          <w:szCs w:val="22"/>
          <w:lang w:val="en-US" w:eastAsia="zh-CN"/>
        </w:rPr>
        <w:t>2025年</w:t>
      </w:r>
      <w:r>
        <w:rPr>
          <w:rFonts w:hint="eastAsia" w:ascii="宋体" w:hAnsi="宋体" w:eastAsia="宋体" w:cs="宋体"/>
          <w:kern w:val="0"/>
          <w:sz w:val="22"/>
          <w:szCs w:val="22"/>
          <w:lang w:eastAsia="zh-CN"/>
        </w:rPr>
        <w:t>度的财务报表</w:t>
      </w:r>
      <w:r>
        <w:rPr>
          <w:rFonts w:hint="eastAsia" w:ascii="宋体" w:hAnsi="宋体" w:eastAsia="宋体" w:cs="宋体"/>
          <w:kern w:val="0"/>
          <w:sz w:val="22"/>
          <w:szCs w:val="22"/>
        </w:rPr>
        <w:t>，或银行资信证明(公司成立不足一年的)。</w:t>
      </w:r>
    </w:p>
    <w:p w14:paraId="2717F0FF">
      <w:pPr>
        <w:keepLines w:val="0"/>
        <w:pageBreakBefore w:val="0"/>
        <w:widowControl/>
        <w:numPr>
          <w:ilvl w:val="0"/>
          <w:numId w:val="0"/>
        </w:numP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lang w:val="en-US" w:eastAsia="zh-CN"/>
        </w:rPr>
        <w:t>3.</w:t>
      </w:r>
      <w:r>
        <w:rPr>
          <w:rFonts w:hint="eastAsia" w:ascii="宋体" w:hAnsi="宋体" w:eastAsia="宋体" w:cs="宋体"/>
          <w:kern w:val="0"/>
          <w:sz w:val="22"/>
          <w:szCs w:val="22"/>
          <w:highlight w:val="none"/>
        </w:rPr>
        <w:t>供应商特定资格条件：投标人</w:t>
      </w:r>
      <w:r>
        <w:rPr>
          <w:rFonts w:hint="eastAsia" w:ascii="宋体" w:hAnsi="宋体"/>
          <w:iCs/>
          <w:color w:val="auto"/>
          <w:sz w:val="22"/>
          <w:szCs w:val="22"/>
          <w:highlight w:val="none"/>
          <w:lang w:val="en-US" w:eastAsia="zh-CN"/>
        </w:rPr>
        <w:t>具备</w:t>
      </w:r>
      <w:r>
        <w:rPr>
          <w:rFonts w:hint="eastAsia" w:ascii="宋体" w:hAnsi="宋体"/>
          <w:b/>
          <w:bCs/>
          <w:iCs/>
          <w:color w:val="auto"/>
          <w:sz w:val="22"/>
          <w:szCs w:val="22"/>
          <w:highlight w:val="none"/>
          <w:lang w:val="en-US" w:eastAsia="zh-CN"/>
        </w:rPr>
        <w:t>有效的食品经营许可证</w:t>
      </w:r>
      <w:r>
        <w:rPr>
          <w:rFonts w:hint="eastAsia" w:ascii="宋体" w:hAnsi="宋体" w:eastAsia="宋体" w:cs="宋体"/>
          <w:kern w:val="0"/>
          <w:sz w:val="22"/>
          <w:szCs w:val="22"/>
          <w:highlight w:val="none"/>
        </w:rPr>
        <w:t>。</w:t>
      </w:r>
    </w:p>
    <w:p w14:paraId="51D7118D">
      <w:pPr>
        <w:keepLines w:val="0"/>
        <w:pageBreakBefore w:val="0"/>
        <w:widowControl/>
        <w:numPr>
          <w:ilvl w:val="0"/>
          <w:numId w:val="0"/>
        </w:numPr>
        <w:kinsoku/>
        <w:wordWrap/>
        <w:overflowPunct/>
        <w:topLinePunct w:val="0"/>
        <w:autoSpaceDE/>
        <w:autoSpaceDN/>
        <w:bidi w:val="0"/>
        <w:spacing w:line="360" w:lineRule="auto"/>
        <w:ind w:firstLine="440" w:firstLineChars="200"/>
        <w:jc w:val="left"/>
        <w:textAlignment w:val="auto"/>
        <w:rPr>
          <w:rFonts w:hint="eastAsia" w:ascii="宋体" w:hAnsi="宋体" w:eastAsia="宋体" w:cs="宋体"/>
          <w:kern w:val="0"/>
          <w:sz w:val="22"/>
          <w:szCs w:val="22"/>
        </w:rPr>
      </w:pPr>
      <w:r>
        <w:rPr>
          <w:rFonts w:hint="eastAsia" w:ascii="宋体" w:hAnsi="宋体" w:eastAsia="宋体" w:cs="宋体"/>
          <w:kern w:val="0"/>
          <w:sz w:val="22"/>
          <w:szCs w:val="22"/>
        </w:rPr>
        <w:t>4、单位负责人为同一人或者存在直接控股、管理关系的不同投标人，不得参加同一合同项下的政府采购活动。</w:t>
      </w:r>
    </w:p>
    <w:p w14:paraId="06F43359">
      <w:pPr>
        <w:keepLines w:val="0"/>
        <w:pageBreakBefore w:val="0"/>
        <w:widowControl/>
        <w:kinsoku/>
        <w:wordWrap/>
        <w:overflowPunct/>
        <w:topLinePunct w:val="0"/>
        <w:autoSpaceDE/>
        <w:autoSpaceDN/>
        <w:bidi w:val="0"/>
        <w:spacing w:line="360" w:lineRule="auto"/>
        <w:ind w:firstLine="480"/>
        <w:jc w:val="left"/>
        <w:textAlignment w:val="auto"/>
        <w:rPr>
          <w:rFonts w:hint="eastAsia" w:ascii="宋体" w:hAnsi="宋体" w:eastAsia="宋体" w:cs="宋体"/>
          <w:kern w:val="0"/>
          <w:sz w:val="22"/>
          <w:szCs w:val="22"/>
        </w:rPr>
      </w:pPr>
      <w:r>
        <w:rPr>
          <w:rFonts w:hint="eastAsia" w:ascii="宋体" w:hAnsi="宋体" w:eastAsia="宋体" w:cs="宋体"/>
          <w:kern w:val="0"/>
          <w:sz w:val="22"/>
          <w:szCs w:val="22"/>
        </w:rPr>
        <w:t>5、为本采购项目提供整体设计、规范编制或者项目管理、监理、检测等服务的，不得再参加此项目的其他采购活动。</w:t>
      </w:r>
    </w:p>
    <w:p w14:paraId="6C81ABC9">
      <w:pPr>
        <w:keepLines w:val="0"/>
        <w:pageBreakBefore w:val="0"/>
        <w:widowControl/>
        <w:kinsoku/>
        <w:wordWrap/>
        <w:overflowPunct/>
        <w:topLinePunct w:val="0"/>
        <w:autoSpaceDE/>
        <w:autoSpaceDN/>
        <w:bidi w:val="0"/>
        <w:spacing w:line="360" w:lineRule="auto"/>
        <w:ind w:firstLine="480"/>
        <w:jc w:val="left"/>
        <w:textAlignment w:val="auto"/>
        <w:rPr>
          <w:rFonts w:hint="eastAsia" w:ascii="宋体" w:hAnsi="宋体" w:eastAsia="宋体" w:cs="宋体"/>
          <w:kern w:val="0"/>
          <w:sz w:val="22"/>
          <w:szCs w:val="22"/>
        </w:rPr>
      </w:pPr>
      <w:r>
        <w:rPr>
          <w:rFonts w:hint="eastAsia" w:ascii="宋体" w:hAnsi="宋体" w:eastAsia="宋体" w:cs="宋体"/>
          <w:kern w:val="0"/>
          <w:sz w:val="22"/>
          <w:szCs w:val="22"/>
        </w:rPr>
        <w:t>6、列入失信被执行人、重大税收违法失信主体名单、政府采购严重违法失信行为记录名单的，拒绝其参与政府采购活动。</w:t>
      </w:r>
    </w:p>
    <w:p w14:paraId="2FA1FB11">
      <w:pPr>
        <w:bidi w:val="0"/>
        <w:ind w:firstLine="480" w:firstLineChars="200"/>
        <w:rPr>
          <w:rFonts w:hint="eastAsia"/>
        </w:rPr>
      </w:pPr>
      <w:r>
        <w:rPr>
          <w:rFonts w:hint="eastAsia"/>
        </w:rPr>
        <w:t>7、联合体投标。本次招标</w:t>
      </w:r>
      <w:r>
        <w:rPr>
          <w:rFonts w:hint="eastAsia"/>
          <w:b/>
          <w:bCs/>
          <w:u w:val="single"/>
        </w:rPr>
        <w:t>不接受</w:t>
      </w:r>
      <w:r>
        <w:rPr>
          <w:rFonts w:hint="eastAsia"/>
        </w:rPr>
        <w:t>联合体投标。</w:t>
      </w:r>
    </w:p>
    <w:p w14:paraId="762015C1">
      <w:pPr>
        <w:bidi w:val="0"/>
        <w:ind w:firstLine="480" w:firstLineChars="200"/>
        <w:rPr>
          <w:rFonts w:hint="eastAsia"/>
        </w:rPr>
      </w:pPr>
      <w:r>
        <w:rPr>
          <w:rFonts w:hint="eastAsia"/>
          <w:lang w:val="en-US" w:eastAsia="zh-CN"/>
        </w:rPr>
        <w:t>8</w:t>
      </w:r>
      <w:r>
        <w:rPr>
          <w:rFonts w:hint="eastAsia"/>
        </w:rPr>
        <w:t>、资格审查方式实行</w:t>
      </w:r>
      <w:r>
        <w:rPr>
          <w:rFonts w:hint="eastAsia"/>
          <w:b/>
          <w:bCs/>
          <w:i w:val="0"/>
          <w:iCs w:val="0"/>
          <w:u w:val="single"/>
        </w:rPr>
        <w:t>开标后</w:t>
      </w:r>
      <w:r>
        <w:rPr>
          <w:rFonts w:hint="eastAsia"/>
          <w:b/>
          <w:bCs/>
          <w:u w:val="single"/>
        </w:rPr>
        <w:t>资格审查</w:t>
      </w:r>
      <w:r>
        <w:rPr>
          <w:rFonts w:hint="eastAsia"/>
        </w:rPr>
        <w:t>。</w:t>
      </w:r>
    </w:p>
    <w:p w14:paraId="62490144">
      <w:pPr>
        <w:keepLines w:val="0"/>
        <w:pageBreakBefore w:val="0"/>
        <w:kinsoku/>
        <w:wordWrap/>
        <w:overflowPunct/>
        <w:topLinePunct w:val="0"/>
        <w:autoSpaceDE/>
        <w:autoSpaceDN/>
        <w:bidi w:val="0"/>
        <w:adjustRightInd w:val="0"/>
        <w:snapToGrid w:val="0"/>
        <w:spacing w:line="360" w:lineRule="auto"/>
        <w:ind w:firstLine="442" w:firstLineChars="200"/>
        <w:textAlignment w:val="auto"/>
        <w:rPr>
          <w:rFonts w:ascii="宋体" w:hAnsi="宋体"/>
          <w:b/>
          <w:sz w:val="22"/>
          <w:szCs w:val="22"/>
        </w:rPr>
      </w:pPr>
      <w:r>
        <w:rPr>
          <w:rFonts w:hint="eastAsia" w:ascii="宋体" w:hAnsi="宋体"/>
          <w:b/>
          <w:sz w:val="22"/>
          <w:szCs w:val="22"/>
        </w:rPr>
        <w:t>五、获取招标文件的时间、期限、地点及方式</w:t>
      </w:r>
    </w:p>
    <w:p w14:paraId="026D9361">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sz w:val="22"/>
          <w:szCs w:val="22"/>
        </w:rPr>
      </w:pPr>
      <w:r>
        <w:rPr>
          <w:rFonts w:hint="eastAsia" w:ascii="宋体" w:hAnsi="宋体"/>
          <w:sz w:val="22"/>
          <w:szCs w:val="22"/>
        </w:rPr>
        <w:t>1、时间</w:t>
      </w:r>
      <w:r>
        <w:rPr>
          <w:rFonts w:hint="eastAsia" w:ascii="宋体" w:hAnsi="宋体"/>
          <w:sz w:val="22"/>
          <w:szCs w:val="22"/>
          <w:lang w:eastAsia="zh-CN"/>
        </w:rPr>
        <w:t>、期限</w:t>
      </w:r>
      <w:r>
        <w:rPr>
          <w:rFonts w:hint="eastAsia" w:ascii="宋体" w:hAnsi="宋体"/>
          <w:sz w:val="22"/>
          <w:szCs w:val="22"/>
        </w:rPr>
        <w:t>：自招标公告发布之日起5个工作日</w:t>
      </w:r>
    </w:p>
    <w:p w14:paraId="57E9ACA5">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sz w:val="22"/>
          <w:szCs w:val="22"/>
        </w:rPr>
      </w:pPr>
      <w:r>
        <w:rPr>
          <w:rFonts w:hint="eastAsia" w:ascii="宋体" w:hAnsi="宋体"/>
          <w:sz w:val="22"/>
          <w:szCs w:val="22"/>
        </w:rPr>
        <w:t>2、地点：娄底市公共资源交易网（http://ldggzy.hnloudi.gov.cn/）</w:t>
      </w:r>
    </w:p>
    <w:p w14:paraId="4BBC17E3">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ascii="宋体" w:hAnsi="宋体"/>
          <w:sz w:val="22"/>
          <w:szCs w:val="22"/>
        </w:rPr>
      </w:pPr>
      <w:r>
        <w:rPr>
          <w:rFonts w:hint="eastAsia" w:ascii="宋体" w:hAnsi="宋体"/>
          <w:sz w:val="22"/>
          <w:szCs w:val="22"/>
        </w:rPr>
        <w:t>3、方式：用湖南CA证书登录后下载</w:t>
      </w:r>
    </w:p>
    <w:p w14:paraId="3DA138FC">
      <w:pPr>
        <w:keepLines w:val="0"/>
        <w:pageBreakBefore w:val="0"/>
        <w:kinsoku/>
        <w:wordWrap/>
        <w:overflowPunct/>
        <w:topLinePunct w:val="0"/>
        <w:autoSpaceDE/>
        <w:autoSpaceDN/>
        <w:bidi w:val="0"/>
        <w:adjustRightInd w:val="0"/>
        <w:snapToGrid w:val="0"/>
        <w:spacing w:line="360" w:lineRule="auto"/>
        <w:ind w:firstLine="442" w:firstLineChars="200"/>
        <w:textAlignment w:val="auto"/>
        <w:rPr>
          <w:rFonts w:hint="eastAsia" w:ascii="宋体" w:hAnsi="宋体"/>
          <w:b/>
          <w:sz w:val="22"/>
          <w:szCs w:val="22"/>
        </w:rPr>
      </w:pPr>
      <w:r>
        <w:rPr>
          <w:rFonts w:hint="eastAsia" w:ascii="宋体" w:hAnsi="宋体"/>
          <w:b/>
          <w:sz w:val="22"/>
          <w:szCs w:val="22"/>
          <w:lang w:eastAsia="zh-CN"/>
        </w:rPr>
        <w:t>六</w:t>
      </w:r>
      <w:r>
        <w:rPr>
          <w:rFonts w:hint="eastAsia" w:ascii="宋体" w:hAnsi="宋体"/>
          <w:b/>
          <w:sz w:val="22"/>
          <w:szCs w:val="22"/>
        </w:rPr>
        <w:t>、投标截止时间、开标时间、解密截止时间及地点</w:t>
      </w:r>
    </w:p>
    <w:p w14:paraId="18BA2CBF">
      <w:pPr>
        <w:keepLines w:val="0"/>
        <w:pageBreakBefore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Times New Roman"/>
          <w:sz w:val="22"/>
          <w:szCs w:val="22"/>
          <w:lang w:val="en-US" w:eastAsia="zh-CN"/>
        </w:rPr>
      </w:pPr>
      <w:r>
        <w:rPr>
          <w:rFonts w:hint="eastAsia" w:ascii="宋体" w:hAnsi="宋体" w:eastAsia="宋体" w:cs="Times New Roman"/>
          <w:sz w:val="22"/>
          <w:szCs w:val="22"/>
          <w:lang w:val="en-US" w:eastAsia="zh-CN"/>
        </w:rPr>
        <w:t>1、本招标项目采用电子化招标采购，请投标人使用企业数字证书（key）登录娄底市公共资源交易中心网站点击公告中的申请电子保函/保证金账号或者登陆后选择项目按照页面提示网上投标，下载招标资料（电子招标文件为gef格式）、项目投标的壳文件和加密程序，申请和查询电子保函/保证金账号，网上递交电子投标文件。</w:t>
      </w:r>
    </w:p>
    <w:p w14:paraId="36FC5666">
      <w:pPr>
        <w:pStyle w:val="39"/>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2、电子响应文件提交的截止时间（即：投标截止时间，下同）及开标时间为</w:t>
      </w:r>
      <w:r>
        <w:rPr>
          <w:rFonts w:hint="eastAsia" w:cs="宋体"/>
          <w:i w:val="0"/>
          <w:iCs w:val="0"/>
          <w:caps w:val="0"/>
          <w:color w:val="222222"/>
          <w:spacing w:val="0"/>
          <w:sz w:val="22"/>
          <w:szCs w:val="22"/>
          <w:shd w:val="clear" w:color="auto" w:fill="FFFFFF"/>
          <w:lang w:val="en-US" w:eastAsia="zh-CN"/>
        </w:rPr>
        <w:t>详见外网</w:t>
      </w:r>
      <w:r>
        <w:rPr>
          <w:rFonts w:hint="eastAsia" w:ascii="宋体" w:hAnsi="宋体" w:eastAsia="宋体" w:cs="宋体"/>
          <w:color w:val="000000"/>
          <w:kern w:val="0"/>
          <w:sz w:val="22"/>
          <w:szCs w:val="22"/>
          <w:lang w:val="en-US" w:eastAsia="zh-CN" w:bidi="ar-SA"/>
        </w:rPr>
        <w:t>。</w:t>
      </w:r>
    </w:p>
    <w:p w14:paraId="5A5314D9">
      <w:pPr>
        <w:pStyle w:val="39"/>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3、解密截止时间：</w:t>
      </w:r>
      <w:r>
        <w:rPr>
          <w:rFonts w:hint="eastAsia" w:cs="宋体"/>
          <w:i w:val="0"/>
          <w:iCs w:val="0"/>
          <w:caps w:val="0"/>
          <w:color w:val="222222"/>
          <w:spacing w:val="0"/>
          <w:sz w:val="22"/>
          <w:szCs w:val="22"/>
          <w:shd w:val="clear" w:color="auto" w:fill="FFFFFF"/>
          <w:lang w:val="en-US" w:eastAsia="zh-CN"/>
        </w:rPr>
        <w:t>详见外网</w:t>
      </w:r>
      <w:r>
        <w:rPr>
          <w:rFonts w:hint="eastAsia" w:ascii="宋体" w:hAnsi="宋体" w:eastAsia="宋体" w:cs="宋体"/>
          <w:color w:val="000000"/>
          <w:kern w:val="0"/>
          <w:sz w:val="22"/>
          <w:szCs w:val="22"/>
          <w:lang w:val="en-US" w:eastAsia="zh-CN" w:bidi="ar-SA"/>
        </w:rPr>
        <w:t>（投标截止时间后30分钟），请投标人确保投标文件如期解密。</w:t>
      </w:r>
    </w:p>
    <w:p w14:paraId="646CFF22">
      <w:pPr>
        <w:pStyle w:val="39"/>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4、电子投标文件制作工具（金润投标人工具箱6.7.0版本）和操作说明书请在该项目资料中下载。</w:t>
      </w:r>
    </w:p>
    <w:p w14:paraId="084E9DC6">
      <w:pPr>
        <w:pStyle w:val="39"/>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1）请各投标人一定要提前熟悉系统操作和软件操作，电子投标文件为gef格式。投标过程中如遇问题可联系金润技术客服：客服电话：4008199995，客服QQ：2159511823，如因不会操作所造成的投标失败或损失由投标人自行负责。</w:t>
      </w:r>
    </w:p>
    <w:p w14:paraId="63D7AB6A">
      <w:pPr>
        <w:pStyle w:val="39"/>
        <w:keepNext w:val="0"/>
        <w:keepLines w:val="0"/>
        <w:pageBreakBefore w:val="0"/>
        <w:widowControl/>
        <w:suppressLineNumbers w:val="0"/>
        <w:shd w:val="clear" w:color="auto" w:fill="FFFFFF"/>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2）由于对网上招投标操作不熟悉或自身电脑、个人网络等原因导致不能在投标截止时间之前完成投标文件上传的，视为无效投标，相应责任由投标人自行承担。在使用系统过程中有疑问或困难请及时进行咨询。</w:t>
      </w:r>
    </w:p>
    <w:p w14:paraId="67C12882">
      <w:pPr>
        <w:pStyle w:val="3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auto"/>
        <w:ind w:left="0" w:leftChars="0" w:right="0" w:rightChars="0" w:firstLine="440" w:firstLineChars="200"/>
        <w:jc w:val="both"/>
        <w:textAlignment w:val="auto"/>
        <w:rPr>
          <w:rFonts w:hint="eastAsia" w:ascii="宋体" w:hAnsi="宋体" w:eastAsia="宋体" w:cs="宋体"/>
          <w:color w:val="000000"/>
          <w:kern w:val="0"/>
          <w:sz w:val="22"/>
          <w:szCs w:val="22"/>
          <w:lang w:val="en-US" w:eastAsia="zh-CN" w:bidi="ar-SA"/>
        </w:rPr>
      </w:pPr>
      <w:r>
        <w:rPr>
          <w:rFonts w:hint="eastAsia" w:ascii="宋体" w:hAnsi="宋体" w:eastAsia="宋体" w:cs="宋体"/>
          <w:color w:val="000000"/>
          <w:kern w:val="0"/>
          <w:sz w:val="22"/>
          <w:szCs w:val="22"/>
          <w:lang w:val="en-US" w:eastAsia="zh-CN" w:bidi="ar-SA"/>
        </w:rPr>
        <w:t>（3）投标人自行完成投标文件解密，因投标人自身原因未在规定时间内完成解密或无法解密的投标文件视为撤销其投标文件，相应责任由投标人自行承担。</w:t>
      </w:r>
    </w:p>
    <w:p w14:paraId="6CB3A9A9">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宋体" w:hAnsi="宋体" w:eastAsia="宋体" w:cs="宋体"/>
          <w:sz w:val="22"/>
          <w:szCs w:val="22"/>
        </w:rPr>
      </w:pPr>
      <w:r>
        <w:rPr>
          <w:rFonts w:hint="eastAsia" w:ascii="宋体" w:hAnsi="宋体" w:eastAsia="宋体" w:cs="宋体"/>
          <w:b/>
          <w:sz w:val="22"/>
          <w:szCs w:val="22"/>
          <w:lang w:eastAsia="zh-CN"/>
        </w:rPr>
        <w:t>七</w:t>
      </w:r>
      <w:r>
        <w:rPr>
          <w:rFonts w:hint="eastAsia" w:ascii="宋体" w:hAnsi="宋体" w:eastAsia="宋体" w:cs="宋体"/>
          <w:b/>
          <w:sz w:val="22"/>
          <w:szCs w:val="22"/>
        </w:rPr>
        <w:t>、公告期限</w:t>
      </w:r>
      <w:r>
        <w:rPr>
          <w:rFonts w:hint="eastAsia" w:ascii="宋体" w:hAnsi="宋体" w:eastAsia="宋体" w:cs="宋体"/>
          <w:sz w:val="22"/>
          <w:szCs w:val="22"/>
        </w:rPr>
        <w:t>：</w:t>
      </w:r>
    </w:p>
    <w:p w14:paraId="79682D29">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1、本招标公告在中国湖南政府采购网（www.ccgp-hunan.gov.cn）、娄底市公共资源交易网（http://ldggzy.hnloudi.gov.cn/）发布。公告期限从本招标公告发布之日起5个工作日。</w:t>
      </w:r>
    </w:p>
    <w:p w14:paraId="18774CD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2、在其他媒体发布的招标公告，公告内容以本招标公告指定媒体发布的公告为准；公告期限自本招标公告指定媒体最先发布公告之日起算。</w:t>
      </w:r>
    </w:p>
    <w:p w14:paraId="4E0D3743">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宋体" w:hAnsi="宋体" w:eastAsia="宋体" w:cs="宋体"/>
          <w:sz w:val="22"/>
          <w:szCs w:val="22"/>
        </w:rPr>
      </w:pPr>
      <w:r>
        <w:rPr>
          <w:rFonts w:hint="eastAsia" w:ascii="宋体" w:hAnsi="宋体" w:eastAsia="宋体" w:cs="宋体"/>
          <w:b/>
          <w:sz w:val="22"/>
          <w:szCs w:val="22"/>
          <w:lang w:eastAsia="zh-CN"/>
        </w:rPr>
        <w:t>八</w:t>
      </w:r>
      <w:r>
        <w:rPr>
          <w:rFonts w:hint="eastAsia" w:ascii="宋体" w:hAnsi="宋体" w:eastAsia="宋体" w:cs="宋体"/>
          <w:b/>
          <w:sz w:val="22"/>
          <w:szCs w:val="22"/>
        </w:rPr>
        <w:t>、询问及质疑</w:t>
      </w:r>
      <w:r>
        <w:rPr>
          <w:rFonts w:hint="eastAsia" w:ascii="宋体" w:hAnsi="宋体" w:eastAsia="宋体" w:cs="宋体"/>
          <w:sz w:val="22"/>
          <w:szCs w:val="22"/>
        </w:rPr>
        <w:t>：</w:t>
      </w:r>
    </w:p>
    <w:p w14:paraId="40B76C0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1、投标人对政府采购活动事项如有疑问的，可以向采购人、采购代理机构提出询问。采购人、采购代理机构将在3个工作日内作出答复。</w:t>
      </w:r>
    </w:p>
    <w:p w14:paraId="698F1EF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2、投标人对电子交易平台办理CA证书、操作等如有疑问，请咨询电子交易平台服务机构。</w:t>
      </w:r>
    </w:p>
    <w:p w14:paraId="5A7CFA8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sz w:val="22"/>
          <w:szCs w:val="22"/>
        </w:rPr>
      </w:pPr>
      <w:r>
        <w:rPr>
          <w:rFonts w:hint="eastAsia" w:ascii="宋体" w:hAnsi="宋体" w:eastAsia="宋体" w:cs="宋体"/>
          <w:sz w:val="22"/>
          <w:szCs w:val="22"/>
        </w:rPr>
        <w:t>3、潜在投标人认为招标文件或招标公告使自己的合法权益受到损害的，可以在收到招标文件之日或招标公告期限届满之日起7个工作日内，按《湖南省财政厅关于印发＜政府采购质疑答复和投诉处理操作规程＞的通知》〔20</w:t>
      </w:r>
      <w:r>
        <w:rPr>
          <w:rFonts w:hint="eastAsia" w:ascii="宋体" w:hAnsi="宋体" w:eastAsia="宋体" w:cs="宋体"/>
          <w:sz w:val="22"/>
          <w:szCs w:val="22"/>
          <w:lang w:val="en-US" w:eastAsia="zh-CN"/>
        </w:rPr>
        <w:t>24</w:t>
      </w:r>
      <w:r>
        <w:rPr>
          <w:rFonts w:hint="eastAsia" w:ascii="宋体" w:hAnsi="宋体" w:eastAsia="宋体" w:cs="宋体"/>
          <w:sz w:val="22"/>
          <w:szCs w:val="22"/>
        </w:rPr>
        <w:t>〕</w:t>
      </w:r>
      <w:r>
        <w:rPr>
          <w:rFonts w:hint="eastAsia" w:ascii="宋体" w:hAnsi="宋体" w:eastAsia="宋体" w:cs="宋体"/>
          <w:sz w:val="22"/>
          <w:szCs w:val="22"/>
          <w:lang w:val="en-US" w:eastAsia="zh-CN"/>
        </w:rPr>
        <w:t>67</w:t>
      </w:r>
      <w:r>
        <w:rPr>
          <w:rFonts w:hint="eastAsia" w:ascii="宋体" w:hAnsi="宋体" w:eastAsia="宋体" w:cs="宋体"/>
          <w:sz w:val="22"/>
          <w:szCs w:val="22"/>
        </w:rPr>
        <w:t>号))规定，以纸质书面形式向采购人、采购代理机构提出质疑。</w:t>
      </w:r>
    </w:p>
    <w:p w14:paraId="78C1F301">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宋体" w:hAnsi="宋体" w:eastAsia="宋体" w:cs="宋体"/>
          <w:b/>
          <w:sz w:val="22"/>
          <w:szCs w:val="22"/>
        </w:rPr>
      </w:pPr>
      <w:r>
        <w:rPr>
          <w:rFonts w:hint="eastAsia" w:ascii="宋体" w:hAnsi="宋体" w:eastAsia="宋体" w:cs="宋体"/>
          <w:b/>
          <w:sz w:val="22"/>
          <w:szCs w:val="22"/>
          <w:lang w:eastAsia="zh-CN"/>
        </w:rPr>
        <w:t>九</w:t>
      </w:r>
      <w:r>
        <w:rPr>
          <w:rFonts w:hint="eastAsia" w:ascii="宋体" w:hAnsi="宋体" w:eastAsia="宋体" w:cs="宋体"/>
          <w:b/>
          <w:sz w:val="22"/>
          <w:szCs w:val="22"/>
        </w:rPr>
        <w:t>、投标说明</w:t>
      </w:r>
    </w:p>
    <w:p w14:paraId="1B26759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val="0"/>
          <w:bCs/>
          <w:color w:val="auto"/>
          <w:sz w:val="22"/>
          <w:szCs w:val="22"/>
          <w:lang w:val="en-US" w:eastAsia="zh-CN"/>
        </w:rPr>
      </w:pPr>
      <w:r>
        <w:rPr>
          <w:rFonts w:hint="eastAsia" w:ascii="宋体" w:hAnsi="宋体" w:eastAsia="宋体" w:cs="宋体"/>
          <w:b w:val="0"/>
          <w:bCs/>
          <w:color w:val="auto"/>
          <w:sz w:val="22"/>
          <w:szCs w:val="22"/>
          <w:lang w:val="en-US" w:eastAsia="zh-CN"/>
        </w:rPr>
        <w:t>1、本公告选项：</w:t>
      </w:r>
      <w:r>
        <w:rPr>
          <w:rFonts w:hint="eastAsia" w:ascii="宋体" w:hAnsi="宋体" w:cs="宋体"/>
          <w:b w:val="0"/>
          <w:bCs/>
          <w:color w:val="auto"/>
          <w:sz w:val="22"/>
          <w:szCs w:val="22"/>
          <w:lang w:val="en-US" w:eastAsia="zh-CN"/>
        </w:rPr>
        <w:t>（</w:t>
      </w:r>
      <w:r>
        <w:rPr>
          <w:rFonts w:hint="eastAsia" w:ascii="宋体" w:hAnsi="宋体" w:eastAsia="宋体" w:cs="宋体"/>
          <w:b w:val="0"/>
          <w:bCs/>
          <w:color w:val="auto"/>
          <w:sz w:val="22"/>
          <w:szCs w:val="22"/>
          <w:lang w:val="en-US" w:eastAsia="zh-CN"/>
        </w:rPr>
        <w:t>√</w:t>
      </w:r>
      <w:r>
        <w:rPr>
          <w:rFonts w:hint="eastAsia" w:ascii="宋体" w:hAnsi="宋体" w:cs="宋体"/>
          <w:b w:val="0"/>
          <w:bCs/>
          <w:color w:val="auto"/>
          <w:sz w:val="22"/>
          <w:szCs w:val="22"/>
          <w:lang w:val="en-US" w:eastAsia="zh-CN"/>
        </w:rPr>
        <w:t>）</w:t>
      </w:r>
      <w:r>
        <w:rPr>
          <w:rFonts w:hint="eastAsia" w:ascii="宋体" w:hAnsi="宋体" w:eastAsia="宋体" w:cs="宋体"/>
          <w:b w:val="0"/>
          <w:bCs/>
          <w:color w:val="auto"/>
          <w:sz w:val="22"/>
          <w:szCs w:val="22"/>
          <w:lang w:val="en-US" w:eastAsia="zh-CN"/>
        </w:rPr>
        <w:t>表示选择，</w:t>
      </w:r>
      <w:r>
        <w:rPr>
          <w:rFonts w:hint="eastAsia" w:ascii="宋体" w:hAnsi="宋体" w:cs="宋体"/>
          <w:b w:val="0"/>
          <w:bCs/>
          <w:color w:val="auto"/>
          <w:sz w:val="22"/>
          <w:szCs w:val="22"/>
          <w:lang w:val="en-US" w:eastAsia="zh-CN"/>
        </w:rPr>
        <w:t>（ ）</w:t>
      </w:r>
      <w:r>
        <w:rPr>
          <w:rFonts w:hint="eastAsia" w:ascii="宋体" w:hAnsi="宋体" w:eastAsia="宋体" w:cs="宋体"/>
          <w:b w:val="0"/>
          <w:bCs/>
          <w:color w:val="auto"/>
          <w:sz w:val="22"/>
          <w:szCs w:val="22"/>
          <w:lang w:val="en-US" w:eastAsia="zh-CN"/>
        </w:rPr>
        <w:t>表示未选择。</w:t>
      </w:r>
    </w:p>
    <w:p w14:paraId="76191595">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val="0"/>
          <w:bCs/>
          <w:color w:val="auto"/>
          <w:sz w:val="22"/>
          <w:szCs w:val="22"/>
          <w:lang w:val="en-US" w:eastAsia="zh-CN"/>
        </w:rPr>
      </w:pPr>
      <w:r>
        <w:rPr>
          <w:rFonts w:hint="eastAsia" w:ascii="宋体" w:hAnsi="宋体" w:eastAsia="宋体" w:cs="宋体"/>
          <w:b w:val="0"/>
          <w:bCs/>
          <w:color w:val="auto"/>
          <w:sz w:val="22"/>
          <w:szCs w:val="22"/>
          <w:lang w:val="en-US" w:eastAsia="zh-CN"/>
        </w:rPr>
        <w:t>2、投标人参与政府采购活动，无需向采购人、代理机构、交易平台缴纳任何费用。</w:t>
      </w:r>
    </w:p>
    <w:p w14:paraId="75018ED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val="0"/>
          <w:bCs/>
          <w:color w:val="auto"/>
          <w:sz w:val="22"/>
          <w:szCs w:val="22"/>
          <w:lang w:val="en-US" w:eastAsia="zh-CN"/>
        </w:rPr>
      </w:pPr>
      <w:r>
        <w:rPr>
          <w:rFonts w:hint="eastAsia" w:ascii="宋体" w:hAnsi="宋体" w:eastAsia="宋体" w:cs="宋体"/>
          <w:b w:val="0"/>
          <w:bCs/>
          <w:color w:val="auto"/>
          <w:sz w:val="22"/>
          <w:szCs w:val="22"/>
          <w:lang w:val="en-US" w:eastAsia="zh-CN"/>
        </w:rPr>
        <w:t>3、本项目为线上不见面开标模式。</w:t>
      </w:r>
    </w:p>
    <w:p w14:paraId="0397F0CE">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val="0"/>
          <w:bCs/>
          <w:color w:val="auto"/>
          <w:sz w:val="22"/>
          <w:szCs w:val="22"/>
          <w:lang w:val="en-US" w:eastAsia="zh-CN"/>
        </w:rPr>
      </w:pPr>
      <w:r>
        <w:rPr>
          <w:rFonts w:hint="eastAsia" w:ascii="宋体" w:hAnsi="宋体" w:eastAsia="宋体" w:cs="宋体"/>
          <w:b w:val="0"/>
          <w:bCs/>
          <w:color w:val="auto"/>
          <w:sz w:val="22"/>
          <w:szCs w:val="22"/>
          <w:lang w:val="en-US" w:eastAsia="zh-CN"/>
        </w:rPr>
        <w:t>4、软件及系统指导：金润投标人工具箱v6.7.0、IE浏览器。</w:t>
      </w:r>
    </w:p>
    <w:p w14:paraId="60EFFC82">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val="0"/>
          <w:bCs/>
          <w:color w:val="auto"/>
          <w:sz w:val="22"/>
          <w:szCs w:val="22"/>
          <w:lang w:val="en-US" w:eastAsia="zh-CN"/>
        </w:rPr>
      </w:pPr>
      <w:r>
        <w:rPr>
          <w:rFonts w:hint="eastAsia" w:ascii="宋体" w:hAnsi="宋体" w:eastAsia="宋体" w:cs="宋体"/>
          <w:b w:val="0"/>
          <w:bCs/>
          <w:color w:val="auto"/>
          <w:sz w:val="22"/>
          <w:szCs w:val="22"/>
          <w:lang w:val="en-US" w:eastAsia="zh-CN"/>
        </w:rPr>
        <w:t>5、评标细则中对原件的说明：评标委员会仅按照供应商提交的电子投标文件进行评审，资料的真实性、合法性由供应商负责，如有虚假，已中标的将取消中标资格，并依法承担相应的法律责任。</w:t>
      </w:r>
    </w:p>
    <w:p w14:paraId="639129D8">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val="0"/>
          <w:bCs/>
          <w:color w:val="auto"/>
          <w:sz w:val="22"/>
          <w:szCs w:val="22"/>
          <w:lang w:val="en-US" w:eastAsia="zh-CN"/>
        </w:rPr>
      </w:pPr>
      <w:r>
        <w:rPr>
          <w:rFonts w:hint="eastAsia" w:ascii="宋体" w:hAnsi="宋体" w:eastAsia="宋体" w:cs="宋体"/>
          <w:b w:val="0"/>
          <w:bCs/>
          <w:color w:val="auto"/>
          <w:sz w:val="22"/>
          <w:szCs w:val="22"/>
          <w:lang w:val="en-US" w:eastAsia="zh-CN"/>
        </w:rPr>
        <w:t>6、澄清说明：专家在评标室对需要进行澄清说明的单位进行提问，投标单位收到短信后在规定时间内在交易平台进行澄清说明（快捷导航-澄清说明-选择进行澄清说明的项目），查看问题并上传附件（澄清说明附件以PDF格式上传至交易系统）。</w:t>
      </w:r>
    </w:p>
    <w:p w14:paraId="3D176F58">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宋体" w:hAnsi="宋体" w:eastAsia="宋体" w:cs="宋体"/>
          <w:b/>
          <w:bCs/>
          <w:color w:val="auto"/>
          <w:sz w:val="22"/>
          <w:szCs w:val="22"/>
          <w:u w:val="none"/>
        </w:rPr>
      </w:pPr>
      <w:r>
        <w:rPr>
          <w:rFonts w:hint="eastAsia" w:ascii="宋体" w:hAnsi="宋体" w:eastAsia="宋体" w:cs="宋体"/>
          <w:b/>
          <w:bCs/>
          <w:color w:val="auto"/>
          <w:sz w:val="22"/>
          <w:szCs w:val="22"/>
          <w:u w:val="none"/>
        </w:rPr>
        <w:t>十、采购人、采购代理机构的名称、地址和联系方法</w:t>
      </w:r>
    </w:p>
    <w:p w14:paraId="32243517">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宋体" w:hAnsi="宋体" w:eastAsia="宋体" w:cs="宋体"/>
          <w:b/>
          <w:bCs/>
          <w:color w:val="auto"/>
          <w:sz w:val="22"/>
          <w:szCs w:val="22"/>
          <w:u w:val="none"/>
        </w:rPr>
      </w:pPr>
      <w:r>
        <w:rPr>
          <w:rFonts w:hint="eastAsia" w:ascii="宋体" w:hAnsi="宋体" w:eastAsia="宋体" w:cs="宋体"/>
          <w:b/>
          <w:bCs/>
          <w:color w:val="auto"/>
          <w:sz w:val="22"/>
          <w:szCs w:val="22"/>
          <w:u w:val="none"/>
        </w:rPr>
        <w:t>1</w:t>
      </w:r>
      <w:r>
        <w:rPr>
          <w:rFonts w:hint="eastAsia" w:ascii="宋体" w:hAnsi="宋体" w:eastAsia="宋体" w:cs="宋体"/>
          <w:color w:val="auto"/>
          <w:sz w:val="22"/>
          <w:szCs w:val="22"/>
          <w:u w:val="none"/>
        </w:rPr>
        <w:t>、</w:t>
      </w:r>
      <w:r>
        <w:rPr>
          <w:rFonts w:hint="eastAsia" w:ascii="宋体" w:hAnsi="宋体" w:eastAsia="宋体" w:cs="宋体"/>
          <w:b/>
          <w:bCs/>
          <w:color w:val="auto"/>
          <w:sz w:val="22"/>
          <w:szCs w:val="22"/>
          <w:u w:val="none"/>
        </w:rPr>
        <w:t>采购人信息</w:t>
      </w:r>
    </w:p>
    <w:p w14:paraId="0268D63F">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2"/>
          <w:szCs w:val="22"/>
        </w:rPr>
      </w:pPr>
      <w:r>
        <w:rPr>
          <w:rFonts w:hint="eastAsia" w:ascii="宋体" w:hAnsi="宋体" w:eastAsia="宋体" w:cs="宋体"/>
          <w:color w:val="000000"/>
          <w:kern w:val="0"/>
          <w:sz w:val="22"/>
          <w:szCs w:val="22"/>
        </w:rPr>
        <w:t>（1）名 称：</w:t>
      </w:r>
      <w:r>
        <w:rPr>
          <w:rFonts w:hint="eastAsia" w:ascii="宋体" w:hAnsi="宋体" w:cs="宋体"/>
          <w:color w:val="000000"/>
          <w:sz w:val="22"/>
          <w:szCs w:val="22"/>
          <w:u w:val="single"/>
          <w:lang w:eastAsia="zh-CN"/>
        </w:rPr>
        <w:t>双峰县机关事务服务中心</w:t>
      </w:r>
      <w:r>
        <w:rPr>
          <w:rFonts w:hint="eastAsia" w:ascii="宋体" w:hAnsi="宋体" w:eastAsia="宋体" w:cs="宋体"/>
          <w:color w:val="000000"/>
          <w:kern w:val="0"/>
          <w:sz w:val="22"/>
          <w:szCs w:val="22"/>
        </w:rPr>
        <w:t xml:space="preserve"> </w:t>
      </w:r>
    </w:p>
    <w:p w14:paraId="0651607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2"/>
          <w:szCs w:val="22"/>
          <w:u w:val="single"/>
          <w:lang w:eastAsia="zh-CN"/>
        </w:rPr>
      </w:pPr>
      <w:r>
        <w:rPr>
          <w:rFonts w:hint="eastAsia" w:ascii="宋体" w:hAnsi="宋体" w:eastAsia="宋体" w:cs="宋体"/>
          <w:color w:val="000000"/>
          <w:kern w:val="0"/>
          <w:sz w:val="22"/>
          <w:szCs w:val="22"/>
        </w:rPr>
        <w:t>（2）地 址：</w:t>
      </w:r>
      <w:r>
        <w:rPr>
          <w:rFonts w:hint="eastAsia" w:ascii="宋体" w:hAnsi="宋体" w:cs="宋体"/>
          <w:sz w:val="22"/>
          <w:szCs w:val="22"/>
          <w:u w:val="single"/>
          <w:lang w:val="en-US" w:eastAsia="zh-CN"/>
        </w:rPr>
        <w:t>湖南省娄底市双峰县人民政府院内</w:t>
      </w:r>
    </w:p>
    <w:p w14:paraId="4D44D422">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ascii="宋体" w:hAnsi="宋体" w:eastAsia="宋体" w:cs="宋体"/>
          <w:color w:val="000000"/>
          <w:kern w:val="0"/>
          <w:sz w:val="22"/>
          <w:szCs w:val="22"/>
          <w:u w:val="single"/>
        </w:rPr>
      </w:pPr>
      <w:r>
        <w:rPr>
          <w:rFonts w:hint="eastAsia" w:ascii="宋体" w:hAnsi="宋体" w:eastAsia="宋体" w:cs="宋体"/>
          <w:color w:val="000000"/>
          <w:kern w:val="0"/>
          <w:sz w:val="22"/>
          <w:szCs w:val="22"/>
        </w:rPr>
        <w:t>（3）联系人：</w:t>
      </w:r>
      <w:r>
        <w:rPr>
          <w:rFonts w:hint="eastAsia" w:ascii="宋体" w:hAnsi="宋体" w:cs="宋体"/>
          <w:color w:val="000000"/>
          <w:kern w:val="0"/>
          <w:sz w:val="22"/>
          <w:szCs w:val="22"/>
          <w:u w:val="single"/>
          <w:lang w:val="en-US" w:eastAsia="zh-CN"/>
        </w:rPr>
        <w:t>罗先生</w:t>
      </w:r>
    </w:p>
    <w:p w14:paraId="38749D2C">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2"/>
          <w:szCs w:val="22"/>
          <w:u w:val="single"/>
        </w:rPr>
      </w:pPr>
      <w:r>
        <w:rPr>
          <w:rFonts w:hint="eastAsia" w:ascii="宋体" w:hAnsi="宋体" w:eastAsia="宋体" w:cs="宋体"/>
          <w:color w:val="000000"/>
          <w:kern w:val="0"/>
          <w:sz w:val="22"/>
          <w:szCs w:val="22"/>
        </w:rPr>
        <w:t>（4）邮 编：</w:t>
      </w:r>
      <w:r>
        <w:rPr>
          <w:rFonts w:hint="eastAsia" w:ascii="宋体" w:hAnsi="宋体" w:eastAsia="宋体" w:cs="宋体"/>
          <w:color w:val="000000"/>
          <w:kern w:val="0"/>
          <w:sz w:val="22"/>
          <w:szCs w:val="22"/>
          <w:u w:val="single"/>
        </w:rPr>
        <w:t>417700</w:t>
      </w:r>
    </w:p>
    <w:p w14:paraId="4A627219">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default" w:ascii="宋体" w:hAnsi="宋体" w:eastAsia="宋体" w:cs="宋体"/>
          <w:color w:val="000000"/>
          <w:kern w:val="0"/>
          <w:sz w:val="22"/>
          <w:szCs w:val="22"/>
          <w:u w:val="single"/>
          <w:lang w:val="en-US" w:eastAsia="zh-CN"/>
        </w:rPr>
      </w:pPr>
      <w:r>
        <w:rPr>
          <w:rFonts w:hint="eastAsia" w:ascii="宋体" w:hAnsi="宋体" w:eastAsia="宋体" w:cs="宋体"/>
          <w:color w:val="000000"/>
          <w:kern w:val="0"/>
          <w:sz w:val="22"/>
          <w:szCs w:val="22"/>
        </w:rPr>
        <w:t>（5）电 话：</w:t>
      </w:r>
      <w:r>
        <w:rPr>
          <w:rFonts w:hint="eastAsia" w:ascii="宋体" w:hAnsi="宋体" w:cs="宋体"/>
          <w:color w:val="000000"/>
          <w:kern w:val="0"/>
          <w:sz w:val="22"/>
          <w:szCs w:val="22"/>
          <w:u w:val="single"/>
          <w:lang w:val="en-US" w:eastAsia="zh-CN"/>
        </w:rPr>
        <w:t>19173889877</w:t>
      </w:r>
    </w:p>
    <w:p w14:paraId="6261BA17">
      <w:pPr>
        <w:keepNext w:val="0"/>
        <w:keepLines w:val="0"/>
        <w:pageBreakBefore w:val="0"/>
        <w:widowControl/>
        <w:kinsoku/>
        <w:wordWrap/>
        <w:overflowPunct/>
        <w:topLinePunct w:val="0"/>
        <w:autoSpaceDE/>
        <w:autoSpaceDN/>
        <w:bidi w:val="0"/>
        <w:adjustRightInd/>
        <w:snapToGrid/>
        <w:spacing w:line="360" w:lineRule="auto"/>
        <w:ind w:firstLine="480"/>
        <w:jc w:val="left"/>
        <w:textAlignment w:val="auto"/>
        <w:rPr>
          <w:rFonts w:hint="eastAsia" w:ascii="宋体" w:hAnsi="宋体" w:eastAsia="宋体" w:cs="宋体"/>
          <w:color w:val="000000"/>
          <w:kern w:val="0"/>
          <w:sz w:val="22"/>
          <w:szCs w:val="22"/>
          <w:u w:val="single"/>
        </w:rPr>
      </w:pPr>
      <w:r>
        <w:rPr>
          <w:rFonts w:hint="eastAsia" w:ascii="宋体" w:hAnsi="宋体" w:eastAsia="宋体" w:cs="宋体"/>
          <w:color w:val="000000"/>
          <w:kern w:val="0"/>
          <w:sz w:val="22"/>
          <w:szCs w:val="22"/>
        </w:rPr>
        <w:t>（6）电子邮箱：</w:t>
      </w:r>
      <w:r>
        <w:rPr>
          <w:rFonts w:hint="eastAsia" w:ascii="宋体" w:hAnsi="宋体" w:eastAsia="宋体" w:cs="宋体"/>
          <w:color w:val="000000"/>
          <w:kern w:val="0"/>
          <w:sz w:val="22"/>
          <w:szCs w:val="22"/>
          <w:u w:val="single"/>
        </w:rPr>
        <w:t>/</w:t>
      </w:r>
    </w:p>
    <w:p w14:paraId="5AC8AB6E">
      <w:pPr>
        <w:keepNext w:val="0"/>
        <w:keepLines w:val="0"/>
        <w:pageBreakBefore w:val="0"/>
        <w:widowControl w:val="0"/>
        <w:kinsoku/>
        <w:wordWrap/>
        <w:overflowPunct/>
        <w:topLinePunct w:val="0"/>
        <w:autoSpaceDE/>
        <w:autoSpaceDN/>
        <w:bidi w:val="0"/>
        <w:adjustRightInd w:val="0"/>
        <w:snapToGrid w:val="0"/>
        <w:spacing w:line="360" w:lineRule="auto"/>
        <w:ind w:firstLine="442" w:firstLineChars="200"/>
        <w:textAlignment w:val="auto"/>
        <w:rPr>
          <w:rFonts w:hint="eastAsia" w:ascii="宋体" w:hAnsi="宋体" w:eastAsia="宋体" w:cs="宋体"/>
          <w:b/>
          <w:bCs/>
          <w:color w:val="auto"/>
          <w:sz w:val="22"/>
          <w:szCs w:val="22"/>
          <w:u w:val="none"/>
        </w:rPr>
      </w:pPr>
      <w:r>
        <w:rPr>
          <w:rFonts w:hint="eastAsia" w:ascii="宋体" w:hAnsi="宋体" w:eastAsia="宋体" w:cs="宋体"/>
          <w:b/>
          <w:bCs/>
          <w:color w:val="auto"/>
          <w:sz w:val="22"/>
          <w:szCs w:val="22"/>
          <w:u w:val="none"/>
        </w:rPr>
        <w:t>2、采购代理机构信息</w:t>
      </w:r>
    </w:p>
    <w:p w14:paraId="66BFCBF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val="0"/>
          <w:bCs w:val="0"/>
          <w:color w:val="auto"/>
          <w:sz w:val="22"/>
          <w:szCs w:val="22"/>
          <w:u w:val="none"/>
          <w:lang w:val="en-US" w:eastAsia="zh-CN"/>
        </w:rPr>
      </w:pPr>
      <w:r>
        <w:rPr>
          <w:rFonts w:hint="eastAsia" w:ascii="宋体" w:hAnsi="宋体" w:eastAsia="宋体" w:cs="宋体"/>
          <w:b w:val="0"/>
          <w:bCs w:val="0"/>
          <w:color w:val="auto"/>
          <w:sz w:val="22"/>
          <w:szCs w:val="22"/>
          <w:u w:val="none"/>
          <w:lang w:val="en-US" w:eastAsia="zh-CN"/>
        </w:rPr>
        <w:t>（1）采购代理机构名称：</w:t>
      </w:r>
      <w:r>
        <w:rPr>
          <w:rFonts w:hint="eastAsia" w:ascii="宋体" w:hAnsi="宋体" w:eastAsia="宋体" w:cs="宋体"/>
          <w:b w:val="0"/>
          <w:bCs w:val="0"/>
          <w:color w:val="auto"/>
          <w:sz w:val="22"/>
          <w:szCs w:val="22"/>
          <w:u w:val="single"/>
          <w:lang w:val="en-US" w:eastAsia="zh-CN"/>
        </w:rPr>
        <w:t>湖南华中源工程项目管理有限公司</w:t>
      </w:r>
      <w:r>
        <w:rPr>
          <w:rFonts w:hint="eastAsia" w:ascii="宋体" w:hAnsi="宋体" w:eastAsia="宋体" w:cs="宋体"/>
          <w:b w:val="0"/>
          <w:bCs w:val="0"/>
          <w:color w:val="auto"/>
          <w:sz w:val="22"/>
          <w:szCs w:val="22"/>
          <w:u w:val="none"/>
          <w:lang w:val="en-US" w:eastAsia="zh-CN"/>
        </w:rPr>
        <w:t xml:space="preserve">         </w:t>
      </w:r>
    </w:p>
    <w:p w14:paraId="066729EA">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val="0"/>
          <w:bCs w:val="0"/>
          <w:color w:val="auto"/>
          <w:sz w:val="22"/>
          <w:szCs w:val="22"/>
          <w:u w:val="none"/>
          <w:lang w:val="en-US" w:eastAsia="zh-CN"/>
        </w:rPr>
      </w:pPr>
      <w:r>
        <w:rPr>
          <w:rFonts w:hint="eastAsia" w:ascii="宋体" w:hAnsi="宋体" w:eastAsia="宋体" w:cs="宋体"/>
          <w:b w:val="0"/>
          <w:bCs w:val="0"/>
          <w:color w:val="auto"/>
          <w:sz w:val="22"/>
          <w:szCs w:val="22"/>
          <w:u w:val="none"/>
          <w:lang w:val="en-US" w:eastAsia="zh-CN"/>
        </w:rPr>
        <w:t>（2）地址：</w:t>
      </w:r>
      <w:r>
        <w:rPr>
          <w:rFonts w:hint="eastAsia" w:ascii="宋体" w:hAnsi="宋体" w:eastAsia="宋体" w:cs="宋体"/>
          <w:b w:val="0"/>
          <w:bCs w:val="0"/>
          <w:color w:val="auto"/>
          <w:sz w:val="22"/>
          <w:szCs w:val="22"/>
          <w:u w:val="single"/>
          <w:lang w:val="en-US" w:eastAsia="zh-CN"/>
        </w:rPr>
        <w:t>双峰县永丰街道湘中逸品东</w:t>
      </w:r>
      <w:r>
        <w:rPr>
          <w:rFonts w:hint="default" w:ascii="宋体" w:hAnsi="宋体" w:eastAsia="宋体" w:cs="宋体"/>
          <w:b w:val="0"/>
          <w:bCs w:val="0"/>
          <w:color w:val="auto"/>
          <w:sz w:val="22"/>
          <w:szCs w:val="22"/>
          <w:u w:val="single"/>
          <w:lang w:val="en-US" w:eastAsia="zh-CN"/>
        </w:rPr>
        <w:t>28</w:t>
      </w:r>
      <w:r>
        <w:rPr>
          <w:rFonts w:hint="eastAsia" w:ascii="宋体" w:hAnsi="宋体" w:eastAsia="宋体" w:cs="宋体"/>
          <w:b w:val="0"/>
          <w:bCs w:val="0"/>
          <w:color w:val="auto"/>
          <w:sz w:val="22"/>
          <w:szCs w:val="22"/>
          <w:u w:val="single"/>
          <w:lang w:val="en-US" w:eastAsia="zh-CN"/>
        </w:rPr>
        <w:t>米</w:t>
      </w:r>
    </w:p>
    <w:p w14:paraId="1CFF58FC">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val="0"/>
          <w:bCs w:val="0"/>
          <w:color w:val="auto"/>
          <w:sz w:val="22"/>
          <w:szCs w:val="22"/>
          <w:u w:val="none"/>
          <w:lang w:val="en-US" w:eastAsia="zh-CN"/>
        </w:rPr>
      </w:pPr>
      <w:r>
        <w:rPr>
          <w:rFonts w:hint="eastAsia" w:ascii="宋体" w:hAnsi="宋体" w:eastAsia="宋体" w:cs="宋体"/>
          <w:b w:val="0"/>
          <w:bCs w:val="0"/>
          <w:color w:val="auto"/>
          <w:sz w:val="22"/>
          <w:szCs w:val="22"/>
          <w:u w:val="none"/>
        </w:rPr>
        <w:t>（3）</w:t>
      </w:r>
      <w:r>
        <w:rPr>
          <w:rFonts w:hint="eastAsia" w:ascii="宋体" w:hAnsi="宋体" w:eastAsia="宋体" w:cs="宋体"/>
          <w:b w:val="0"/>
          <w:bCs w:val="0"/>
          <w:color w:val="auto"/>
          <w:sz w:val="22"/>
          <w:szCs w:val="22"/>
          <w:u w:val="none"/>
          <w:lang w:val="en-US" w:eastAsia="zh-CN"/>
        </w:rPr>
        <w:t>联系人：</w:t>
      </w:r>
      <w:r>
        <w:rPr>
          <w:rFonts w:hint="eastAsia" w:ascii="宋体" w:hAnsi="宋体" w:eastAsia="宋体" w:cs="宋体"/>
          <w:b w:val="0"/>
          <w:bCs w:val="0"/>
          <w:color w:val="auto"/>
          <w:sz w:val="22"/>
          <w:szCs w:val="22"/>
          <w:u w:val="single"/>
          <w:lang w:val="en-US" w:eastAsia="zh-CN"/>
        </w:rPr>
        <w:t>宋女士</w:t>
      </w:r>
    </w:p>
    <w:p w14:paraId="3D00FCD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val="0"/>
          <w:bCs w:val="0"/>
          <w:color w:val="auto"/>
          <w:sz w:val="22"/>
          <w:szCs w:val="22"/>
          <w:u w:val="none"/>
          <w:lang w:val="en-US" w:eastAsia="zh-CN"/>
        </w:rPr>
      </w:pPr>
      <w:r>
        <w:rPr>
          <w:rFonts w:hint="eastAsia" w:ascii="宋体" w:hAnsi="宋体" w:eastAsia="宋体" w:cs="宋体"/>
          <w:b w:val="0"/>
          <w:bCs w:val="0"/>
          <w:color w:val="auto"/>
          <w:sz w:val="22"/>
          <w:szCs w:val="22"/>
          <w:u w:val="none"/>
          <w:lang w:eastAsia="zh-CN"/>
        </w:rPr>
        <w:t>（</w:t>
      </w:r>
      <w:r>
        <w:rPr>
          <w:rFonts w:hint="eastAsia" w:ascii="宋体" w:hAnsi="宋体" w:eastAsia="宋体" w:cs="宋体"/>
          <w:b w:val="0"/>
          <w:bCs w:val="0"/>
          <w:color w:val="auto"/>
          <w:sz w:val="22"/>
          <w:szCs w:val="22"/>
          <w:u w:val="none"/>
          <w:lang w:val="en-US" w:eastAsia="zh-CN"/>
        </w:rPr>
        <w:t>4）电话：</w:t>
      </w:r>
      <w:r>
        <w:rPr>
          <w:rFonts w:hint="eastAsia" w:ascii="宋体" w:hAnsi="宋体" w:eastAsia="宋体" w:cs="宋体"/>
          <w:b w:val="0"/>
          <w:bCs w:val="0"/>
          <w:color w:val="auto"/>
          <w:sz w:val="22"/>
          <w:szCs w:val="22"/>
          <w:u w:val="single"/>
          <w:lang w:val="en-US" w:eastAsia="zh-CN"/>
        </w:rPr>
        <w:t>15173811555</w:t>
      </w:r>
    </w:p>
    <w:p w14:paraId="138FC437">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 w:val="0"/>
          <w:bCs w:val="0"/>
          <w:color w:val="auto"/>
          <w:sz w:val="22"/>
          <w:szCs w:val="22"/>
          <w:u w:val="single"/>
          <w:lang w:val="en-US" w:eastAsia="zh-CN"/>
        </w:rPr>
      </w:pPr>
      <w:r>
        <w:rPr>
          <w:rFonts w:hint="eastAsia" w:ascii="宋体" w:hAnsi="宋体" w:eastAsia="宋体" w:cs="宋体"/>
          <w:b w:val="0"/>
          <w:bCs w:val="0"/>
          <w:color w:val="auto"/>
          <w:sz w:val="22"/>
          <w:szCs w:val="22"/>
          <w:u w:val="none"/>
        </w:rPr>
        <w:t>（</w:t>
      </w:r>
      <w:r>
        <w:rPr>
          <w:rFonts w:hint="eastAsia" w:ascii="宋体" w:hAnsi="宋体" w:eastAsia="宋体" w:cs="宋体"/>
          <w:b w:val="0"/>
          <w:bCs w:val="0"/>
          <w:color w:val="auto"/>
          <w:sz w:val="22"/>
          <w:szCs w:val="22"/>
          <w:u w:val="none"/>
          <w:lang w:val="en-US" w:eastAsia="zh-CN"/>
        </w:rPr>
        <w:t>5</w:t>
      </w:r>
      <w:r>
        <w:rPr>
          <w:rFonts w:hint="eastAsia" w:ascii="宋体" w:hAnsi="宋体" w:eastAsia="宋体" w:cs="宋体"/>
          <w:b w:val="0"/>
          <w:bCs w:val="0"/>
          <w:color w:val="auto"/>
          <w:sz w:val="22"/>
          <w:szCs w:val="22"/>
          <w:u w:val="none"/>
        </w:rPr>
        <w:t>）电子邮箱：</w:t>
      </w:r>
      <w:r>
        <w:rPr>
          <w:rFonts w:hint="eastAsia" w:ascii="宋体" w:hAnsi="宋体" w:eastAsia="宋体" w:cs="宋体"/>
          <w:b w:val="0"/>
          <w:bCs w:val="0"/>
          <w:color w:val="auto"/>
          <w:sz w:val="22"/>
          <w:szCs w:val="22"/>
          <w:u w:val="single"/>
        </w:rPr>
        <w:t>/</w:t>
      </w:r>
    </w:p>
    <w:p w14:paraId="326FB4FA">
      <w:pPr>
        <w:keepNext w:val="0"/>
        <w:keepLines w:val="0"/>
        <w:pageBreakBefore w:val="0"/>
        <w:widowControl/>
        <w:kinsoku/>
        <w:wordWrap/>
        <w:overflowPunct/>
        <w:topLinePunct w:val="0"/>
        <w:autoSpaceDE/>
        <w:autoSpaceDN/>
        <w:bidi w:val="0"/>
        <w:adjustRightInd/>
        <w:snapToGrid/>
        <w:spacing w:line="360" w:lineRule="auto"/>
        <w:ind w:left="0" w:firstLine="442" w:firstLineChars="200"/>
        <w:jc w:val="both"/>
        <w:textAlignment w:val="auto"/>
        <w:rPr>
          <w:rFonts w:hint="eastAsia" w:ascii="宋体" w:hAnsi="宋体" w:eastAsia="宋体" w:cs="宋体"/>
          <w:b/>
          <w:bCs/>
          <w:color w:val="000000"/>
          <w:kern w:val="0"/>
          <w:sz w:val="22"/>
          <w:szCs w:val="22"/>
          <w:lang w:eastAsia="zh-CN"/>
        </w:rPr>
      </w:pPr>
      <w:r>
        <w:rPr>
          <w:rFonts w:hint="eastAsia" w:ascii="宋体" w:hAnsi="宋体" w:cs="宋体"/>
          <w:b/>
          <w:bCs/>
          <w:color w:val="000000"/>
          <w:kern w:val="0"/>
          <w:sz w:val="22"/>
          <w:szCs w:val="22"/>
          <w:lang w:val="en-US" w:eastAsia="zh-CN"/>
        </w:rPr>
        <w:t>十一、</w:t>
      </w:r>
      <w:r>
        <w:rPr>
          <w:rFonts w:hint="eastAsia" w:ascii="宋体" w:hAnsi="宋体" w:eastAsia="宋体" w:cs="宋体"/>
          <w:b/>
          <w:bCs/>
          <w:color w:val="000000"/>
          <w:kern w:val="0"/>
          <w:sz w:val="22"/>
          <w:szCs w:val="22"/>
          <w:lang w:eastAsia="zh-CN"/>
        </w:rPr>
        <w:t>监督部门信息</w:t>
      </w:r>
    </w:p>
    <w:p w14:paraId="66D112E9">
      <w:pPr>
        <w:keepNext w:val="0"/>
        <w:keepLines w:val="0"/>
        <w:pageBreakBefore w:val="0"/>
        <w:widowControl/>
        <w:kinsoku/>
        <w:wordWrap/>
        <w:overflowPunct/>
        <w:topLinePunct w:val="0"/>
        <w:autoSpaceDE/>
        <w:autoSpaceDN/>
        <w:bidi w:val="0"/>
        <w:adjustRightInd/>
        <w:snapToGrid/>
        <w:spacing w:line="360" w:lineRule="auto"/>
        <w:ind w:left="0" w:firstLine="440" w:firstLineChars="200"/>
        <w:jc w:val="both"/>
        <w:textAlignment w:val="auto"/>
        <w:rPr>
          <w:rFonts w:hint="eastAsia" w:ascii="宋体" w:hAnsi="宋体" w:eastAsia="宋体" w:cs="宋体"/>
          <w:color w:val="000000"/>
          <w:kern w:val="0"/>
          <w:sz w:val="22"/>
          <w:szCs w:val="22"/>
          <w:u w:val="single"/>
          <w:lang w:eastAsia="zh-CN"/>
        </w:rPr>
      </w:pPr>
      <w:r>
        <w:rPr>
          <w:rFonts w:hint="eastAsia" w:ascii="宋体" w:hAnsi="宋体" w:eastAsia="宋体" w:cs="宋体"/>
          <w:color w:val="000000"/>
          <w:kern w:val="0"/>
          <w:sz w:val="22"/>
          <w:szCs w:val="22"/>
          <w:lang w:eastAsia="zh-CN"/>
        </w:rPr>
        <w:t>监督部门：</w:t>
      </w:r>
      <w:r>
        <w:rPr>
          <w:rFonts w:hint="eastAsia" w:ascii="宋体" w:hAnsi="宋体" w:eastAsia="宋体" w:cs="宋体"/>
          <w:color w:val="000000"/>
          <w:kern w:val="0"/>
          <w:sz w:val="22"/>
          <w:szCs w:val="22"/>
          <w:u w:val="single"/>
          <w:lang w:eastAsia="zh-CN"/>
        </w:rPr>
        <w:t>双峰县</w:t>
      </w:r>
      <w:r>
        <w:rPr>
          <w:rFonts w:hint="eastAsia" w:ascii="宋体" w:hAnsi="宋体" w:cs="宋体"/>
          <w:color w:val="000000"/>
          <w:kern w:val="0"/>
          <w:sz w:val="22"/>
          <w:szCs w:val="22"/>
          <w:u w:val="single"/>
          <w:lang w:val="en-US" w:eastAsia="zh-CN"/>
        </w:rPr>
        <w:t>财政局</w:t>
      </w:r>
      <w:r>
        <w:rPr>
          <w:rFonts w:hint="eastAsia" w:ascii="宋体" w:hAnsi="宋体" w:eastAsia="宋体" w:cs="宋体"/>
          <w:color w:val="000000"/>
          <w:kern w:val="0"/>
          <w:sz w:val="22"/>
          <w:szCs w:val="22"/>
          <w:u w:val="single"/>
          <w:lang w:eastAsia="zh-CN"/>
        </w:rPr>
        <w:t>政府采购管理股</w:t>
      </w:r>
    </w:p>
    <w:p w14:paraId="18242B10">
      <w:pPr>
        <w:keepNext w:val="0"/>
        <w:keepLines w:val="0"/>
        <w:pageBreakBefore w:val="0"/>
        <w:widowControl/>
        <w:kinsoku/>
        <w:wordWrap/>
        <w:overflowPunct/>
        <w:topLinePunct w:val="0"/>
        <w:autoSpaceDE/>
        <w:autoSpaceDN/>
        <w:bidi w:val="0"/>
        <w:adjustRightInd/>
        <w:snapToGrid/>
        <w:spacing w:line="360" w:lineRule="auto"/>
        <w:ind w:left="0" w:firstLine="440" w:firstLineChars="200"/>
        <w:jc w:val="both"/>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lang w:eastAsia="zh-CN"/>
        </w:rPr>
        <w:t>联 系 人：</w:t>
      </w:r>
      <w:r>
        <w:rPr>
          <w:rFonts w:hint="eastAsia" w:ascii="宋体" w:hAnsi="宋体" w:eastAsia="宋体" w:cs="宋体"/>
          <w:color w:val="000000"/>
          <w:kern w:val="0"/>
          <w:sz w:val="22"/>
          <w:szCs w:val="22"/>
          <w:u w:val="single"/>
          <w:lang w:eastAsia="zh-CN"/>
        </w:rPr>
        <w:t>彭先生</w:t>
      </w:r>
    </w:p>
    <w:p w14:paraId="362CCCC8">
      <w:pPr>
        <w:keepNext w:val="0"/>
        <w:keepLines w:val="0"/>
        <w:pageBreakBefore w:val="0"/>
        <w:widowControl/>
        <w:kinsoku/>
        <w:wordWrap/>
        <w:overflowPunct/>
        <w:topLinePunct w:val="0"/>
        <w:autoSpaceDE/>
        <w:autoSpaceDN/>
        <w:bidi w:val="0"/>
        <w:adjustRightInd/>
        <w:snapToGrid/>
        <w:spacing w:line="360" w:lineRule="auto"/>
        <w:ind w:left="0" w:firstLine="440" w:firstLineChars="200"/>
        <w:jc w:val="both"/>
        <w:textAlignment w:val="auto"/>
        <w:rPr>
          <w:rFonts w:hint="eastAsia" w:ascii="宋体" w:hAnsi="宋体" w:eastAsia="宋体" w:cs="宋体"/>
          <w:color w:val="000000"/>
          <w:kern w:val="0"/>
          <w:sz w:val="22"/>
          <w:szCs w:val="22"/>
          <w:lang w:eastAsia="zh-CN"/>
        </w:rPr>
      </w:pPr>
      <w:r>
        <w:rPr>
          <w:rFonts w:hint="eastAsia" w:ascii="宋体" w:hAnsi="宋体" w:eastAsia="宋体" w:cs="宋体"/>
          <w:color w:val="000000"/>
          <w:kern w:val="0"/>
          <w:sz w:val="22"/>
          <w:szCs w:val="22"/>
          <w:lang w:eastAsia="zh-CN"/>
        </w:rPr>
        <w:t>电    话：</w:t>
      </w:r>
      <w:r>
        <w:rPr>
          <w:rFonts w:hint="eastAsia" w:ascii="宋体" w:hAnsi="宋体" w:eastAsia="宋体" w:cs="宋体"/>
          <w:color w:val="000000"/>
          <w:kern w:val="0"/>
          <w:sz w:val="22"/>
          <w:szCs w:val="22"/>
          <w:u w:val="single"/>
          <w:lang w:eastAsia="zh-CN"/>
        </w:rPr>
        <w:t>0738-6827388</w:t>
      </w:r>
      <w:r>
        <w:rPr>
          <w:rFonts w:hint="eastAsia" w:ascii="宋体" w:hAnsi="宋体" w:eastAsia="宋体" w:cs="宋体"/>
          <w:color w:val="000000"/>
          <w:kern w:val="0"/>
          <w:sz w:val="22"/>
          <w:szCs w:val="22"/>
          <w:lang w:eastAsia="zh-CN"/>
        </w:rPr>
        <w:fldChar w:fldCharType="begin"/>
      </w:r>
      <w:r>
        <w:rPr>
          <w:rFonts w:hint="eastAsia" w:ascii="宋体" w:hAnsi="宋体" w:eastAsia="宋体" w:cs="宋体"/>
          <w:color w:val="000000"/>
          <w:kern w:val="0"/>
          <w:sz w:val="22"/>
          <w:szCs w:val="22"/>
          <w:lang w:eastAsia="zh-CN"/>
        </w:rPr>
        <w:instrText xml:space="preserve"> HYPERLINK "https://mail.qq.com/cgi-bin/javascript:;" </w:instrText>
      </w:r>
      <w:r>
        <w:rPr>
          <w:rFonts w:hint="eastAsia" w:ascii="宋体" w:hAnsi="宋体" w:eastAsia="宋体" w:cs="宋体"/>
          <w:color w:val="000000"/>
          <w:kern w:val="0"/>
          <w:sz w:val="22"/>
          <w:szCs w:val="22"/>
          <w:lang w:eastAsia="zh-CN"/>
        </w:rPr>
        <w:fldChar w:fldCharType="separate"/>
      </w:r>
    </w:p>
    <w:p w14:paraId="07D8883E">
      <w:pPr>
        <w:pStyle w:val="63"/>
        <w:keepNext w:val="0"/>
        <w:keepLines w:val="0"/>
        <w:pageBreakBefore w:val="0"/>
        <w:widowControl w:val="0"/>
        <w:kinsoku/>
        <w:wordWrap/>
        <w:overflowPunct/>
        <w:topLinePunct w:val="0"/>
        <w:autoSpaceDE/>
        <w:autoSpaceDN/>
        <w:bidi w:val="0"/>
        <w:spacing w:line="360" w:lineRule="auto"/>
        <w:ind w:firstLine="440" w:firstLineChars="200"/>
        <w:textAlignment w:val="auto"/>
        <w:rPr>
          <w:rFonts w:hint="eastAsia" w:ascii="宋体" w:hAnsi="宋体" w:eastAsia="宋体" w:cs="宋体"/>
          <w:b/>
          <w:bCs/>
          <w:color w:val="auto"/>
          <w:kern w:val="0"/>
          <w:position w:val="-1"/>
          <w:sz w:val="22"/>
          <w:szCs w:val="22"/>
          <w:u w:val="none"/>
        </w:rPr>
      </w:pPr>
      <w:r>
        <w:rPr>
          <w:rFonts w:hint="eastAsia" w:ascii="宋体" w:hAnsi="宋体" w:eastAsia="宋体" w:cs="宋体"/>
          <w:color w:val="000000"/>
          <w:kern w:val="0"/>
          <w:sz w:val="22"/>
          <w:szCs w:val="22"/>
          <w:lang w:eastAsia="zh-CN"/>
        </w:rPr>
        <w:fldChar w:fldCharType="end"/>
      </w:r>
      <w:r>
        <w:rPr>
          <w:rFonts w:hint="eastAsia" w:ascii="宋体" w:hAnsi="宋体" w:cs="宋体"/>
          <w:b/>
          <w:bCs/>
          <w:color w:val="auto"/>
          <w:kern w:val="0"/>
          <w:position w:val="-1"/>
          <w:sz w:val="22"/>
          <w:szCs w:val="22"/>
          <w:u w:val="none"/>
          <w:lang w:val="en-US" w:eastAsia="zh-CN"/>
        </w:rPr>
        <w:t>十二、</w:t>
      </w:r>
      <w:r>
        <w:rPr>
          <w:rFonts w:hint="eastAsia" w:ascii="宋体" w:hAnsi="宋体" w:eastAsia="宋体" w:cs="宋体"/>
          <w:b/>
          <w:bCs/>
          <w:color w:val="auto"/>
          <w:kern w:val="0"/>
          <w:position w:val="-1"/>
          <w:sz w:val="22"/>
          <w:szCs w:val="22"/>
          <w:u w:val="none"/>
        </w:rPr>
        <w:t>电子交易平台服务机构信息</w:t>
      </w:r>
    </w:p>
    <w:p w14:paraId="57E936A6">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Cs/>
          <w:color w:val="auto"/>
          <w:sz w:val="22"/>
          <w:szCs w:val="22"/>
          <w:u w:val="none"/>
        </w:rPr>
      </w:pPr>
      <w:r>
        <w:rPr>
          <w:rFonts w:hint="eastAsia" w:ascii="宋体" w:hAnsi="宋体" w:eastAsia="宋体" w:cs="宋体"/>
          <w:color w:val="auto"/>
          <w:sz w:val="22"/>
          <w:szCs w:val="22"/>
          <w:u w:val="none"/>
        </w:rPr>
        <w:t>（1）</w:t>
      </w:r>
      <w:r>
        <w:rPr>
          <w:rFonts w:hint="eastAsia" w:ascii="宋体" w:hAnsi="宋体" w:eastAsia="宋体" w:cs="宋体"/>
          <w:bCs/>
          <w:color w:val="auto"/>
          <w:sz w:val="22"/>
          <w:szCs w:val="22"/>
          <w:u w:val="none"/>
        </w:rPr>
        <w:t>名  称：</w:t>
      </w:r>
      <w:r>
        <w:rPr>
          <w:rFonts w:hint="eastAsia" w:ascii="宋体" w:hAnsi="宋体" w:eastAsia="宋体" w:cs="宋体"/>
          <w:bCs/>
          <w:color w:val="auto"/>
          <w:sz w:val="22"/>
          <w:szCs w:val="22"/>
          <w:u w:val="single"/>
          <w:lang w:val="en-US" w:eastAsia="zh-CN"/>
        </w:rPr>
        <w:t>娄底市公共资源交易平台</w:t>
      </w:r>
    </w:p>
    <w:p w14:paraId="7B60FF3F">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eastAsia" w:ascii="宋体" w:hAnsi="宋体" w:eastAsia="宋体" w:cs="宋体"/>
          <w:bCs/>
          <w:color w:val="auto"/>
          <w:sz w:val="22"/>
          <w:szCs w:val="22"/>
          <w:u w:val="none"/>
        </w:rPr>
      </w:pPr>
      <w:r>
        <w:rPr>
          <w:rFonts w:hint="eastAsia" w:ascii="宋体" w:hAnsi="宋体" w:eastAsia="宋体" w:cs="宋体"/>
          <w:bCs/>
          <w:color w:val="auto"/>
          <w:sz w:val="22"/>
          <w:szCs w:val="22"/>
          <w:u w:val="none"/>
          <w:lang w:eastAsia="zh-CN"/>
        </w:rPr>
        <w:t>（</w:t>
      </w:r>
      <w:r>
        <w:rPr>
          <w:rFonts w:hint="eastAsia" w:ascii="宋体" w:hAnsi="宋体" w:eastAsia="宋体" w:cs="宋体"/>
          <w:bCs/>
          <w:color w:val="auto"/>
          <w:sz w:val="22"/>
          <w:szCs w:val="22"/>
          <w:u w:val="none"/>
          <w:lang w:val="en-US" w:eastAsia="zh-CN"/>
        </w:rPr>
        <w:t>2）</w:t>
      </w:r>
      <w:r>
        <w:rPr>
          <w:rFonts w:hint="eastAsia" w:ascii="宋体" w:hAnsi="宋体" w:eastAsia="宋体" w:cs="宋体"/>
          <w:bCs/>
          <w:color w:val="auto"/>
          <w:sz w:val="22"/>
          <w:szCs w:val="22"/>
          <w:u w:val="none"/>
        </w:rPr>
        <w:t>联系人：</w:t>
      </w:r>
      <w:r>
        <w:rPr>
          <w:rFonts w:hint="eastAsia" w:ascii="宋体" w:hAnsi="宋体" w:eastAsia="宋体" w:cs="宋体"/>
          <w:bCs/>
          <w:color w:val="auto"/>
          <w:sz w:val="22"/>
          <w:szCs w:val="22"/>
          <w:u w:val="single"/>
          <w:lang w:val="en-US" w:eastAsia="zh-CN"/>
        </w:rPr>
        <w:t>金润软件</w:t>
      </w:r>
      <w:bookmarkStart w:id="184" w:name="_GoBack"/>
      <w:bookmarkEnd w:id="184"/>
    </w:p>
    <w:p w14:paraId="72030BCD">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hint="default" w:ascii="宋体" w:hAnsi="宋体" w:eastAsia="宋体" w:cs="宋体"/>
          <w:bCs/>
          <w:color w:val="auto"/>
          <w:sz w:val="22"/>
          <w:szCs w:val="22"/>
          <w:u w:val="none"/>
          <w:lang w:val="en-US"/>
        </w:rPr>
      </w:pPr>
      <w:r>
        <w:rPr>
          <w:rFonts w:hint="eastAsia" w:ascii="宋体" w:hAnsi="宋体" w:eastAsia="宋体" w:cs="宋体"/>
          <w:bCs/>
          <w:color w:val="auto"/>
          <w:sz w:val="22"/>
          <w:szCs w:val="22"/>
          <w:u w:val="none"/>
          <w:lang w:eastAsia="zh-CN"/>
        </w:rPr>
        <w:t>（</w:t>
      </w:r>
      <w:r>
        <w:rPr>
          <w:rFonts w:hint="eastAsia" w:ascii="宋体" w:hAnsi="宋体" w:eastAsia="宋体" w:cs="宋体"/>
          <w:bCs/>
          <w:color w:val="auto"/>
          <w:sz w:val="22"/>
          <w:szCs w:val="22"/>
          <w:u w:val="none"/>
          <w:lang w:val="en-US" w:eastAsia="zh-CN"/>
        </w:rPr>
        <w:t>3）</w:t>
      </w:r>
      <w:r>
        <w:rPr>
          <w:rFonts w:hint="eastAsia" w:ascii="宋体" w:hAnsi="宋体" w:eastAsia="宋体" w:cs="宋体"/>
          <w:bCs/>
          <w:color w:val="auto"/>
          <w:sz w:val="22"/>
          <w:szCs w:val="22"/>
          <w:u w:val="none"/>
        </w:rPr>
        <w:t>电</w:t>
      </w:r>
      <w:r>
        <w:rPr>
          <w:rFonts w:hint="eastAsia" w:ascii="宋体" w:hAnsi="宋体" w:eastAsia="宋体" w:cs="宋体"/>
          <w:bCs/>
          <w:color w:val="auto"/>
          <w:sz w:val="22"/>
          <w:szCs w:val="22"/>
          <w:u w:val="none"/>
          <w:lang w:val="en-US" w:eastAsia="zh-CN"/>
        </w:rPr>
        <w:t xml:space="preserve">  </w:t>
      </w:r>
      <w:r>
        <w:rPr>
          <w:rFonts w:hint="eastAsia" w:ascii="宋体" w:hAnsi="宋体" w:eastAsia="宋体" w:cs="宋体"/>
          <w:bCs/>
          <w:color w:val="auto"/>
          <w:sz w:val="22"/>
          <w:szCs w:val="22"/>
          <w:u w:val="none"/>
        </w:rPr>
        <w:t>话：</w:t>
      </w:r>
      <w:r>
        <w:rPr>
          <w:rFonts w:hint="eastAsia" w:ascii="宋体" w:hAnsi="宋体" w:eastAsia="宋体" w:cs="宋体"/>
          <w:bCs/>
          <w:color w:val="auto"/>
          <w:sz w:val="22"/>
          <w:szCs w:val="22"/>
          <w:u w:val="single"/>
          <w:lang w:val="en-US" w:eastAsia="zh-CN"/>
        </w:rPr>
        <w:t>0738-6371187  4008199995</w:t>
      </w:r>
    </w:p>
    <w:p w14:paraId="4F2AA281">
      <w:pPr>
        <w:keepNext w:val="0"/>
        <w:keepLines w:val="0"/>
        <w:pageBreakBefore w:val="0"/>
        <w:widowControl w:val="0"/>
        <w:kinsoku/>
        <w:wordWrap/>
        <w:overflowPunct/>
        <w:topLinePunct w:val="0"/>
        <w:autoSpaceDE/>
        <w:autoSpaceDN/>
        <w:bidi w:val="0"/>
        <w:adjustRightInd w:val="0"/>
        <w:snapToGrid w:val="0"/>
        <w:spacing w:line="360" w:lineRule="auto"/>
        <w:ind w:firstLine="440" w:firstLineChars="200"/>
        <w:textAlignment w:val="auto"/>
        <w:rPr>
          <w:rFonts w:ascii="黑体" w:hAnsi="华文中宋" w:eastAsia="黑体"/>
          <w:b/>
          <w:color w:val="000000"/>
          <w:sz w:val="22"/>
          <w:szCs w:val="22"/>
        </w:rPr>
      </w:pPr>
      <w:r>
        <w:rPr>
          <w:rFonts w:hint="eastAsia" w:ascii="宋体" w:hAnsi="宋体" w:eastAsia="宋体" w:cs="宋体"/>
          <w:bCs/>
          <w:color w:val="auto"/>
          <w:sz w:val="22"/>
          <w:szCs w:val="22"/>
          <w:u w:val="none"/>
          <w:lang w:eastAsia="zh-CN"/>
        </w:rPr>
        <w:t>（</w:t>
      </w:r>
      <w:r>
        <w:rPr>
          <w:rFonts w:hint="eastAsia" w:ascii="宋体" w:hAnsi="宋体" w:eastAsia="宋体" w:cs="宋体"/>
          <w:bCs/>
          <w:color w:val="auto"/>
          <w:sz w:val="22"/>
          <w:szCs w:val="22"/>
          <w:u w:val="none"/>
          <w:lang w:val="en-US" w:eastAsia="zh-CN"/>
        </w:rPr>
        <w:t>4）电子邮箱：2159511823@qq.com</w:t>
      </w:r>
    </w:p>
    <w:p w14:paraId="07A0E6E2">
      <w:pPr>
        <w:rPr>
          <w:rFonts w:hint="eastAsia"/>
        </w:rPr>
      </w:pPr>
    </w:p>
    <w:p w14:paraId="0A08CE95">
      <w:pPr>
        <w:pStyle w:val="3"/>
        <w:jc w:val="center"/>
        <w:rPr>
          <w:rFonts w:hint="eastAsia" w:ascii="黑体" w:hAnsi="华文中宋" w:eastAsia="黑体"/>
          <w:color w:val="000000"/>
          <w:sz w:val="32"/>
          <w:szCs w:val="32"/>
        </w:rPr>
      </w:pPr>
      <w:bookmarkStart w:id="16" w:name="_Toc25601"/>
      <w:r>
        <w:rPr>
          <w:rFonts w:hint="eastAsia" w:ascii="黑体" w:hAnsi="华文中宋" w:eastAsia="黑体"/>
          <w:color w:val="000000"/>
          <w:sz w:val="32"/>
          <w:szCs w:val="32"/>
        </w:rPr>
        <w:t>第二章 投标须知</w:t>
      </w:r>
      <w:bookmarkEnd w:id="0"/>
      <w:bookmarkEnd w:id="1"/>
      <w:bookmarkEnd w:id="2"/>
      <w:bookmarkEnd w:id="3"/>
      <w:bookmarkEnd w:id="4"/>
      <w:bookmarkEnd w:id="5"/>
      <w:bookmarkEnd w:id="6"/>
      <w:bookmarkEnd w:id="7"/>
      <w:bookmarkEnd w:id="16"/>
    </w:p>
    <w:p w14:paraId="65651E8D">
      <w:pPr>
        <w:keepNext/>
        <w:keepLines/>
        <w:adjustRightInd w:val="0"/>
        <w:snapToGrid w:val="0"/>
        <w:spacing w:line="360" w:lineRule="auto"/>
        <w:jc w:val="center"/>
        <w:outlineLvl w:val="1"/>
        <w:rPr>
          <w:rFonts w:ascii="黑体" w:hAnsi="华文中宋" w:eastAsia="黑体"/>
          <w:b/>
          <w:bCs/>
          <w:spacing w:val="100"/>
          <w:sz w:val="28"/>
          <w:szCs w:val="28"/>
        </w:rPr>
      </w:pPr>
      <w:bookmarkStart w:id="17" w:name="_Toc20651194"/>
      <w:bookmarkStart w:id="18" w:name="_Toc13985"/>
      <w:r>
        <w:rPr>
          <w:rFonts w:hint="eastAsia" w:ascii="黑体" w:hAnsi="华文中宋" w:eastAsia="黑体"/>
          <w:b/>
          <w:bCs/>
          <w:sz w:val="28"/>
          <w:szCs w:val="28"/>
        </w:rPr>
        <w:t>第一节 投标须知前附表</w:t>
      </w:r>
      <w:bookmarkEnd w:id="17"/>
      <w:bookmarkEnd w:id="18"/>
    </w:p>
    <w:p w14:paraId="5D21DB36">
      <w:pPr>
        <w:adjustRightInd w:val="0"/>
        <w:snapToGrid w:val="0"/>
        <w:spacing w:line="360" w:lineRule="auto"/>
        <w:ind w:right="36" w:rightChars="15"/>
        <w:jc w:val="left"/>
        <w:rPr>
          <w:rFonts w:ascii="宋体" w:hAnsi="宋体"/>
          <w:i/>
          <w:szCs w:val="21"/>
        </w:rPr>
      </w:pPr>
      <w:r>
        <w:rPr>
          <w:rFonts w:hint="eastAsia" w:ascii="宋体" w:hAnsi="宋体"/>
          <w:i/>
          <w:szCs w:val="21"/>
        </w:rPr>
        <w:t>注：本项目启用的条款在“编列内容规定”栏内以“</w:t>
      </w:r>
      <w:r>
        <w:rPr>
          <w:rFonts w:hint="eastAsia" w:ascii="宋体" w:hAnsi="宋体"/>
          <w:iCs/>
          <w:szCs w:val="21"/>
        </w:rPr>
        <w:sym w:font="Wingdings" w:char="00FE"/>
      </w:r>
      <w:r>
        <w:rPr>
          <w:rFonts w:hint="eastAsia" w:ascii="宋体" w:hAnsi="宋体"/>
          <w:i/>
          <w:szCs w:val="21"/>
        </w:rPr>
        <w:t>”标注。</w:t>
      </w:r>
    </w:p>
    <w:tbl>
      <w:tblPr>
        <w:tblStyle w:val="45"/>
        <w:tblW w:w="8931"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60"/>
        <w:gridCol w:w="2409"/>
        <w:gridCol w:w="4962"/>
      </w:tblGrid>
      <w:tr w14:paraId="096906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91" w:hRule="atLeast"/>
          <w:tblHeader/>
        </w:trPr>
        <w:tc>
          <w:tcPr>
            <w:tcW w:w="1560" w:type="dxa"/>
            <w:noWrap w:val="0"/>
            <w:vAlign w:val="center"/>
          </w:tcPr>
          <w:p w14:paraId="336D7B63">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b/>
                <w:sz w:val="22"/>
                <w:szCs w:val="22"/>
              </w:rPr>
            </w:pPr>
            <w:r>
              <w:rPr>
                <w:rFonts w:hint="eastAsia" w:ascii="宋体" w:hAnsi="宋体"/>
                <w:b/>
                <w:sz w:val="22"/>
                <w:szCs w:val="22"/>
              </w:rPr>
              <w:t>条款号</w:t>
            </w:r>
          </w:p>
        </w:tc>
        <w:tc>
          <w:tcPr>
            <w:tcW w:w="2409" w:type="dxa"/>
            <w:noWrap w:val="0"/>
            <w:vAlign w:val="center"/>
          </w:tcPr>
          <w:p w14:paraId="43EC1BD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b/>
                <w:sz w:val="22"/>
                <w:szCs w:val="22"/>
              </w:rPr>
            </w:pPr>
            <w:r>
              <w:rPr>
                <w:rFonts w:hint="eastAsia" w:ascii="宋体" w:hAnsi="宋体"/>
                <w:b/>
                <w:sz w:val="22"/>
                <w:szCs w:val="22"/>
              </w:rPr>
              <w:t>条款名称</w:t>
            </w:r>
          </w:p>
        </w:tc>
        <w:tc>
          <w:tcPr>
            <w:tcW w:w="4962" w:type="dxa"/>
            <w:noWrap w:val="0"/>
            <w:vAlign w:val="center"/>
          </w:tcPr>
          <w:p w14:paraId="4FDB48E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b/>
                <w:sz w:val="22"/>
                <w:szCs w:val="22"/>
              </w:rPr>
            </w:pPr>
            <w:r>
              <w:rPr>
                <w:rFonts w:hint="eastAsia" w:ascii="宋体" w:hAnsi="宋体"/>
                <w:b/>
                <w:sz w:val="22"/>
                <w:szCs w:val="22"/>
              </w:rPr>
              <w:t>编列内容规定</w:t>
            </w:r>
          </w:p>
        </w:tc>
      </w:tr>
      <w:tr w14:paraId="636B42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80" w:hRule="atLeast"/>
        </w:trPr>
        <w:tc>
          <w:tcPr>
            <w:tcW w:w="8931" w:type="dxa"/>
            <w:gridSpan w:val="3"/>
            <w:noWrap w:val="0"/>
            <w:vAlign w:val="center"/>
          </w:tcPr>
          <w:p w14:paraId="77B08E4E">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hint="eastAsia" w:ascii="宋体" w:hAnsi="宋体"/>
                <w:b/>
                <w:sz w:val="22"/>
                <w:szCs w:val="22"/>
              </w:rPr>
              <w:t>一、说明</w:t>
            </w:r>
          </w:p>
        </w:tc>
      </w:tr>
      <w:tr w14:paraId="4B55CA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5" w:hRule="atLeast"/>
        </w:trPr>
        <w:tc>
          <w:tcPr>
            <w:tcW w:w="1560" w:type="dxa"/>
            <w:noWrap w:val="0"/>
            <w:vAlign w:val="center"/>
          </w:tcPr>
          <w:p w14:paraId="6F77DB85">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第1.1款</w:t>
            </w:r>
          </w:p>
        </w:tc>
        <w:tc>
          <w:tcPr>
            <w:tcW w:w="2409" w:type="dxa"/>
            <w:noWrap w:val="0"/>
            <w:vAlign w:val="center"/>
          </w:tcPr>
          <w:p w14:paraId="3F69F5E8">
            <w:pPr>
              <w:keepNext w:val="0"/>
              <w:keepLines w:val="0"/>
              <w:pageBreakBefore w:val="0"/>
              <w:kinsoku/>
              <w:wordWrap/>
              <w:overflowPunct/>
              <w:topLinePunct w:val="0"/>
              <w:autoSpaceDE/>
              <w:autoSpaceDN/>
              <w:bidi w:val="0"/>
              <w:adjustRightInd w:val="0"/>
              <w:snapToGrid w:val="0"/>
              <w:spacing w:line="360" w:lineRule="auto"/>
              <w:textAlignment w:val="auto"/>
              <w:rPr>
                <w:rFonts w:hAnsi="宋体"/>
                <w:sz w:val="22"/>
                <w:szCs w:val="22"/>
              </w:rPr>
            </w:pPr>
            <w:r>
              <w:rPr>
                <w:rFonts w:hint="eastAsia" w:hAnsi="宋体"/>
                <w:sz w:val="22"/>
                <w:szCs w:val="22"/>
              </w:rPr>
              <w:t>采购项目</w:t>
            </w:r>
          </w:p>
        </w:tc>
        <w:tc>
          <w:tcPr>
            <w:tcW w:w="4962" w:type="dxa"/>
            <w:noWrap w:val="0"/>
            <w:vAlign w:val="center"/>
          </w:tcPr>
          <w:p w14:paraId="4AFD07AA">
            <w:pPr>
              <w:keepNext w:val="0"/>
              <w:keepLines w:val="0"/>
              <w:pageBreakBefore w:val="0"/>
              <w:kinsoku/>
              <w:wordWrap/>
              <w:overflowPunct/>
              <w:topLinePunct w:val="0"/>
              <w:autoSpaceDE/>
              <w:autoSpaceDN/>
              <w:bidi w:val="0"/>
              <w:adjustRightInd w:val="0"/>
              <w:snapToGrid w:val="0"/>
              <w:spacing w:line="360" w:lineRule="auto"/>
              <w:textAlignment w:val="auto"/>
              <w:rPr>
                <w:rFonts w:hint="eastAsia" w:hAnsi="宋体" w:eastAsia="宋体"/>
                <w:sz w:val="22"/>
                <w:szCs w:val="22"/>
                <w:lang w:eastAsia="zh-CN"/>
              </w:rPr>
            </w:pPr>
            <w:r>
              <w:rPr>
                <w:rFonts w:hint="eastAsia" w:ascii="宋体" w:hAnsi="宋体"/>
                <w:sz w:val="22"/>
                <w:szCs w:val="22"/>
                <w:lang w:eastAsia="zh-CN"/>
              </w:rPr>
              <w:t>双峰县行政中心机关食堂经营项目</w:t>
            </w:r>
          </w:p>
        </w:tc>
      </w:tr>
      <w:tr w14:paraId="13FBD4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5" w:hRule="atLeast"/>
        </w:trPr>
        <w:tc>
          <w:tcPr>
            <w:tcW w:w="1560" w:type="dxa"/>
            <w:noWrap w:val="0"/>
            <w:vAlign w:val="center"/>
          </w:tcPr>
          <w:p w14:paraId="083AF2E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第1.2款</w:t>
            </w:r>
          </w:p>
        </w:tc>
        <w:tc>
          <w:tcPr>
            <w:tcW w:w="2409" w:type="dxa"/>
            <w:noWrap w:val="0"/>
            <w:vAlign w:val="center"/>
          </w:tcPr>
          <w:p w14:paraId="643ED7CF">
            <w:pPr>
              <w:keepNext w:val="0"/>
              <w:keepLines w:val="0"/>
              <w:pageBreakBefore w:val="0"/>
              <w:kinsoku/>
              <w:wordWrap/>
              <w:overflowPunct/>
              <w:topLinePunct w:val="0"/>
              <w:autoSpaceDE/>
              <w:autoSpaceDN/>
              <w:bidi w:val="0"/>
              <w:adjustRightInd w:val="0"/>
              <w:snapToGrid w:val="0"/>
              <w:spacing w:line="360" w:lineRule="auto"/>
              <w:textAlignment w:val="auto"/>
              <w:rPr>
                <w:rFonts w:hAnsi="宋体"/>
                <w:sz w:val="22"/>
                <w:szCs w:val="22"/>
              </w:rPr>
            </w:pPr>
            <w:r>
              <w:rPr>
                <w:rFonts w:hint="eastAsia" w:ascii="宋体" w:hAnsi="宋体"/>
                <w:sz w:val="22"/>
                <w:szCs w:val="22"/>
              </w:rPr>
              <w:t>是否预留采购份额</w:t>
            </w:r>
          </w:p>
        </w:tc>
        <w:tc>
          <w:tcPr>
            <w:tcW w:w="4962" w:type="dxa"/>
            <w:noWrap w:val="0"/>
            <w:vAlign w:val="center"/>
          </w:tcPr>
          <w:p w14:paraId="2A7725A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lang w:eastAsia="zh-CN"/>
              </w:rPr>
            </w:pPr>
            <w:r>
              <w:rPr>
                <w:rFonts w:hint="eastAsia" w:ascii="宋体" w:hAnsi="宋体"/>
                <w:iCs/>
                <w:color w:val="auto"/>
                <w:sz w:val="22"/>
                <w:szCs w:val="22"/>
              </w:rPr>
              <w:sym w:font="Wingdings" w:char="00A8"/>
            </w:r>
            <w:r>
              <w:rPr>
                <w:rFonts w:hint="eastAsia" w:ascii="宋体" w:hAnsi="宋体"/>
                <w:color w:val="auto"/>
                <w:sz w:val="22"/>
                <w:szCs w:val="22"/>
              </w:rPr>
              <w:t xml:space="preserve"> 预留采购份额</w:t>
            </w:r>
            <w:r>
              <w:rPr>
                <w:rFonts w:hint="eastAsia" w:ascii="宋体" w:hAnsi="宋体"/>
                <w:color w:val="auto"/>
                <w:sz w:val="22"/>
                <w:szCs w:val="22"/>
                <w:lang w:eastAsia="zh-CN"/>
              </w:rPr>
              <w:t>：</w:t>
            </w:r>
            <w:r>
              <w:rPr>
                <w:rFonts w:hint="eastAsia" w:ascii="宋体" w:hAnsi="宋体"/>
                <w:bCs/>
                <w:sz w:val="22"/>
                <w:szCs w:val="22"/>
              </w:rPr>
              <w:t>大型企业应将采购份额的</w:t>
            </w:r>
            <w:r>
              <w:rPr>
                <w:rFonts w:hint="eastAsia" w:ascii="宋体" w:hAnsi="宋体"/>
                <w:bCs/>
                <w:sz w:val="22"/>
                <w:szCs w:val="22"/>
                <w:u w:val="single"/>
              </w:rPr>
              <w:t xml:space="preserve"> </w:t>
            </w:r>
            <w:r>
              <w:rPr>
                <w:rFonts w:hint="eastAsia" w:ascii="宋体" w:hAnsi="宋体"/>
                <w:bCs/>
                <w:sz w:val="22"/>
                <w:szCs w:val="22"/>
                <w:u w:val="single"/>
                <w:lang w:val="en-US" w:eastAsia="zh-CN"/>
              </w:rPr>
              <w:t xml:space="preserve">  </w:t>
            </w:r>
            <w:r>
              <w:rPr>
                <w:rFonts w:hint="eastAsia" w:ascii="宋体" w:hAnsi="宋体"/>
                <w:bCs/>
                <w:sz w:val="22"/>
                <w:szCs w:val="22"/>
                <w:u w:val="single"/>
              </w:rPr>
              <w:t xml:space="preserve"> </w:t>
            </w:r>
            <w:r>
              <w:rPr>
                <w:rFonts w:hint="eastAsia" w:ascii="宋体" w:hAnsi="宋体"/>
                <w:bCs/>
                <w:sz w:val="22"/>
                <w:szCs w:val="22"/>
              </w:rPr>
              <w:t>%分包给中小企业。</w:t>
            </w:r>
          </w:p>
          <w:p w14:paraId="0356124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hAnsi="宋体"/>
                <w:sz w:val="22"/>
                <w:szCs w:val="22"/>
              </w:rPr>
            </w:pPr>
            <w:r>
              <w:rPr>
                <w:rFonts w:hint="eastAsia" w:ascii="宋体" w:hAnsi="宋体"/>
                <w:iCs/>
                <w:color w:val="auto"/>
                <w:sz w:val="22"/>
                <w:szCs w:val="22"/>
              </w:rPr>
              <w:sym w:font="Wingdings" w:char="00FE"/>
            </w:r>
            <w:r>
              <w:rPr>
                <w:rFonts w:hint="eastAsia" w:ascii="宋体" w:hAnsi="宋体"/>
                <w:color w:val="auto"/>
                <w:sz w:val="22"/>
                <w:szCs w:val="22"/>
              </w:rPr>
              <w:t xml:space="preserve"> 非预留采购份额</w:t>
            </w:r>
          </w:p>
        </w:tc>
      </w:tr>
      <w:tr w14:paraId="4131DD8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7C2FD8A">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第2.1</w:t>
            </w:r>
            <w:r>
              <w:rPr>
                <w:rFonts w:hint="eastAsia" w:ascii="宋体" w:hAnsi="宋体" w:cs="宋体"/>
                <w:kern w:val="0"/>
                <w:sz w:val="22"/>
                <w:szCs w:val="22"/>
                <w:lang w:val="zh-CN"/>
              </w:rPr>
              <w:t>款</w:t>
            </w:r>
          </w:p>
        </w:tc>
        <w:tc>
          <w:tcPr>
            <w:tcW w:w="2409" w:type="dxa"/>
            <w:noWrap w:val="0"/>
            <w:vAlign w:val="top"/>
          </w:tcPr>
          <w:p w14:paraId="6046E776">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hint="eastAsia" w:hAnsi="宋体"/>
                <w:sz w:val="22"/>
                <w:szCs w:val="22"/>
              </w:rPr>
              <w:t>采购项目联系人姓名和电话</w:t>
            </w:r>
          </w:p>
        </w:tc>
        <w:tc>
          <w:tcPr>
            <w:tcW w:w="4962" w:type="dxa"/>
            <w:noWrap w:val="0"/>
            <w:vAlign w:val="center"/>
          </w:tcPr>
          <w:p w14:paraId="112B7029">
            <w:pPr>
              <w:pStyle w:val="63"/>
              <w:keepNext w:val="0"/>
              <w:keepLines w:val="0"/>
              <w:pageBreakBefore w:val="0"/>
              <w:kinsoku/>
              <w:wordWrap/>
              <w:overflowPunct/>
              <w:topLinePunct w:val="0"/>
              <w:autoSpaceDE/>
              <w:autoSpaceDN/>
              <w:bidi w:val="0"/>
              <w:spacing w:line="360" w:lineRule="auto"/>
              <w:ind w:firstLine="0" w:firstLineChars="0"/>
              <w:textAlignment w:val="auto"/>
              <w:rPr>
                <w:rFonts w:hint="eastAsia"/>
                <w:sz w:val="22"/>
                <w:szCs w:val="22"/>
              </w:rPr>
            </w:pPr>
            <w:r>
              <w:rPr>
                <w:rFonts w:hint="eastAsia" w:ascii="宋体" w:hAnsi="宋体" w:eastAsia="宋体" w:cs="Arial"/>
                <w:kern w:val="0"/>
                <w:sz w:val="22"/>
                <w:szCs w:val="22"/>
                <w:lang w:val="en-US" w:eastAsia="zh-CN" w:bidi="ar-SA"/>
              </w:rPr>
              <w:t>详见第一章【投标邀请】</w:t>
            </w:r>
          </w:p>
        </w:tc>
      </w:tr>
      <w:tr w14:paraId="304BA52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6B0F1201">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第2.2</w:t>
            </w:r>
            <w:r>
              <w:rPr>
                <w:rFonts w:hint="eastAsia" w:ascii="宋体" w:hAnsi="宋体" w:cs="宋体"/>
                <w:kern w:val="0"/>
                <w:sz w:val="22"/>
                <w:szCs w:val="22"/>
                <w:lang w:val="zh-CN"/>
              </w:rPr>
              <w:t>款</w:t>
            </w:r>
          </w:p>
        </w:tc>
        <w:tc>
          <w:tcPr>
            <w:tcW w:w="2409" w:type="dxa"/>
            <w:noWrap w:val="0"/>
            <w:vAlign w:val="center"/>
          </w:tcPr>
          <w:p w14:paraId="71721536">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hAnsi="宋体"/>
                <w:sz w:val="22"/>
                <w:szCs w:val="22"/>
              </w:rPr>
              <w:t>采购人名称、地址、电话、联系人</w:t>
            </w:r>
          </w:p>
        </w:tc>
        <w:tc>
          <w:tcPr>
            <w:tcW w:w="4962" w:type="dxa"/>
            <w:noWrap w:val="0"/>
            <w:vAlign w:val="center"/>
          </w:tcPr>
          <w:p w14:paraId="7FF1B840">
            <w:pPr>
              <w:keepNext w:val="0"/>
              <w:keepLines w:val="0"/>
              <w:pageBreakBefore w:val="0"/>
              <w:kinsoku/>
              <w:wordWrap/>
              <w:overflowPunct/>
              <w:topLinePunct w:val="0"/>
              <w:autoSpaceDE/>
              <w:autoSpaceDN/>
              <w:bidi w:val="0"/>
              <w:adjustRightInd w:val="0"/>
              <w:snapToGrid w:val="0"/>
              <w:spacing w:line="360" w:lineRule="auto"/>
              <w:textAlignment w:val="auto"/>
              <w:rPr>
                <w:rFonts w:hint="eastAsia"/>
                <w:sz w:val="22"/>
                <w:szCs w:val="22"/>
              </w:rPr>
            </w:pPr>
            <w:r>
              <w:rPr>
                <w:rFonts w:hint="eastAsia" w:ascii="宋体" w:hAnsi="宋体" w:eastAsia="宋体" w:cs="Arial"/>
                <w:kern w:val="0"/>
                <w:sz w:val="22"/>
                <w:szCs w:val="22"/>
                <w:lang w:eastAsia="zh-CN"/>
              </w:rPr>
              <w:t>详见第一章【投标邀请】</w:t>
            </w:r>
          </w:p>
        </w:tc>
      </w:tr>
      <w:tr w14:paraId="7D7ABB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A892B06">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第2.3</w:t>
            </w:r>
            <w:r>
              <w:rPr>
                <w:rFonts w:hint="eastAsia" w:ascii="宋体" w:hAnsi="宋体" w:cs="宋体"/>
                <w:kern w:val="0"/>
                <w:sz w:val="22"/>
                <w:szCs w:val="22"/>
                <w:lang w:val="zh-CN"/>
              </w:rPr>
              <w:t>款</w:t>
            </w:r>
          </w:p>
        </w:tc>
        <w:tc>
          <w:tcPr>
            <w:tcW w:w="2409" w:type="dxa"/>
            <w:noWrap w:val="0"/>
            <w:vAlign w:val="center"/>
          </w:tcPr>
          <w:p w14:paraId="5F3BB8AF">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hAnsi="宋体"/>
                <w:sz w:val="22"/>
                <w:szCs w:val="22"/>
              </w:rPr>
              <w:t>采购代理机构名称、地址、电话、联系人</w:t>
            </w:r>
          </w:p>
        </w:tc>
        <w:tc>
          <w:tcPr>
            <w:tcW w:w="4962" w:type="dxa"/>
            <w:noWrap w:val="0"/>
            <w:vAlign w:val="center"/>
          </w:tcPr>
          <w:p w14:paraId="19426D69">
            <w:pPr>
              <w:keepNext w:val="0"/>
              <w:keepLines w:val="0"/>
              <w:pageBreakBefore w:val="0"/>
              <w:kinsoku/>
              <w:wordWrap/>
              <w:overflowPunct/>
              <w:topLinePunct w:val="0"/>
              <w:autoSpaceDE/>
              <w:autoSpaceDN/>
              <w:bidi w:val="0"/>
              <w:adjustRightInd w:val="0"/>
              <w:snapToGrid w:val="0"/>
              <w:spacing w:line="360" w:lineRule="auto"/>
              <w:textAlignment w:val="auto"/>
              <w:rPr>
                <w:rFonts w:hAnsi="宋体"/>
                <w:sz w:val="22"/>
                <w:szCs w:val="22"/>
              </w:rPr>
            </w:pPr>
            <w:r>
              <w:rPr>
                <w:rFonts w:hint="eastAsia" w:ascii="宋体" w:hAnsi="宋体" w:eastAsia="宋体" w:cs="Arial"/>
                <w:kern w:val="0"/>
                <w:sz w:val="22"/>
                <w:szCs w:val="22"/>
                <w:lang w:eastAsia="zh-CN"/>
              </w:rPr>
              <w:t>详见第一章【投标邀请】</w:t>
            </w:r>
          </w:p>
        </w:tc>
      </w:tr>
      <w:tr w14:paraId="2F66441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077FD052">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第3.1</w:t>
            </w:r>
            <w:r>
              <w:rPr>
                <w:rFonts w:hint="eastAsia" w:ascii="宋体" w:hAnsi="宋体" w:cs="宋体"/>
                <w:kern w:val="0"/>
                <w:sz w:val="22"/>
                <w:szCs w:val="22"/>
                <w:lang w:val="zh-CN"/>
              </w:rPr>
              <w:t>款</w:t>
            </w:r>
          </w:p>
        </w:tc>
        <w:tc>
          <w:tcPr>
            <w:tcW w:w="2409" w:type="dxa"/>
            <w:noWrap w:val="0"/>
            <w:vAlign w:val="center"/>
          </w:tcPr>
          <w:p w14:paraId="2F42644D">
            <w:pPr>
              <w:keepNext w:val="0"/>
              <w:keepLines w:val="0"/>
              <w:pageBreakBefore w:val="0"/>
              <w:kinsoku/>
              <w:wordWrap/>
              <w:overflowPunct/>
              <w:topLinePunct w:val="0"/>
              <w:autoSpaceDE/>
              <w:autoSpaceDN/>
              <w:bidi w:val="0"/>
              <w:adjustRightInd w:val="0"/>
              <w:snapToGrid w:val="0"/>
              <w:spacing w:line="360" w:lineRule="auto"/>
              <w:jc w:val="left"/>
              <w:textAlignment w:val="auto"/>
              <w:rPr>
                <w:rFonts w:hAnsi="宋体"/>
                <w:sz w:val="22"/>
                <w:szCs w:val="22"/>
              </w:rPr>
            </w:pPr>
            <w:r>
              <w:rPr>
                <w:rFonts w:ascii="宋体" w:hAnsi="宋体"/>
                <w:sz w:val="22"/>
                <w:szCs w:val="22"/>
              </w:rPr>
              <w:t>★</w:t>
            </w:r>
            <w:r>
              <w:rPr>
                <w:rFonts w:hint="eastAsia" w:ascii="宋体" w:hAnsi="宋体"/>
                <w:sz w:val="22"/>
                <w:szCs w:val="22"/>
              </w:rPr>
              <w:t>投标人资格条件</w:t>
            </w:r>
          </w:p>
        </w:tc>
        <w:tc>
          <w:tcPr>
            <w:tcW w:w="4962" w:type="dxa"/>
            <w:noWrap w:val="0"/>
            <w:vAlign w:val="center"/>
          </w:tcPr>
          <w:p w14:paraId="0B6D577B">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rPr>
            </w:pPr>
            <w:r>
              <w:rPr>
                <w:rFonts w:hint="eastAsia" w:ascii="宋体" w:hAnsi="宋体" w:eastAsia="宋体"/>
                <w:color w:val="auto"/>
                <w:sz w:val="22"/>
                <w:szCs w:val="22"/>
              </w:rPr>
              <w:t>1、投标人的基本资格条件：投标人必须是在中华人民共和国境内注册登记的</w:t>
            </w:r>
            <w:r>
              <w:rPr>
                <w:rFonts w:hint="eastAsia" w:ascii="宋体" w:hAnsi="宋体" w:eastAsia="宋体"/>
                <w:color w:val="auto"/>
                <w:sz w:val="22"/>
                <w:szCs w:val="22"/>
                <w:lang w:eastAsia="zh-CN"/>
              </w:rPr>
              <w:t>法人（或负责人）</w:t>
            </w:r>
            <w:r>
              <w:rPr>
                <w:rFonts w:hint="eastAsia" w:ascii="宋体" w:hAnsi="宋体" w:eastAsia="宋体"/>
                <w:color w:val="auto"/>
                <w:sz w:val="22"/>
                <w:szCs w:val="22"/>
              </w:rPr>
              <w:t>、其他组织或者自然人，且应当符合《政府采购法》第二十二条的规定。</w:t>
            </w:r>
          </w:p>
          <w:p w14:paraId="31047C55">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rPr>
            </w:pPr>
            <w:r>
              <w:rPr>
                <w:rFonts w:hint="eastAsia" w:ascii="宋体" w:hAnsi="宋体" w:eastAsia="宋体"/>
                <w:color w:val="auto"/>
                <w:sz w:val="22"/>
                <w:szCs w:val="22"/>
              </w:rPr>
              <w:t>2、落实政府采购政策需满足的资格要求：</w:t>
            </w:r>
          </w:p>
          <w:p w14:paraId="5238666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rPr>
            </w:pPr>
            <w:r>
              <w:rPr>
                <w:rFonts w:hint="eastAsia" w:ascii="宋体" w:hAnsi="宋体" w:eastAsia="宋体"/>
                <w:color w:val="auto"/>
                <w:sz w:val="22"/>
                <w:szCs w:val="22"/>
              </w:rPr>
              <w:t>☑非专门面向中小企业。</w:t>
            </w:r>
          </w:p>
          <w:p w14:paraId="479440F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rPr>
            </w:pPr>
            <w:r>
              <w:rPr>
                <w:rFonts w:hint="eastAsia" w:ascii="宋体" w:hAnsi="宋体" w:eastAsia="宋体"/>
                <w:color w:val="auto"/>
                <w:sz w:val="22"/>
                <w:szCs w:val="22"/>
              </w:rPr>
              <w:t>□专门面向： □中小企业   □小微企业   □监狱企业   □福利性单位</w:t>
            </w:r>
          </w:p>
          <w:p w14:paraId="426168B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rPr>
            </w:pPr>
            <w:r>
              <w:rPr>
                <w:rFonts w:hint="eastAsia" w:ascii="宋体" w:hAnsi="宋体" w:eastAsia="宋体"/>
                <w:color w:val="auto"/>
                <w:sz w:val="22"/>
                <w:szCs w:val="22"/>
              </w:rPr>
              <w:t>□强制分包：大型企业应将采购份额的</w:t>
            </w:r>
            <w:r>
              <w:rPr>
                <w:rFonts w:hint="eastAsia" w:ascii="宋体" w:hAnsi="宋体" w:eastAsia="宋体"/>
                <w:color w:val="auto"/>
                <w:sz w:val="22"/>
                <w:szCs w:val="22"/>
                <w:u w:val="single"/>
              </w:rPr>
              <w:t> /</w:t>
            </w:r>
            <w:r>
              <w:rPr>
                <w:rFonts w:hint="eastAsia" w:ascii="宋体" w:hAnsi="宋体" w:eastAsia="宋体"/>
                <w:color w:val="auto"/>
                <w:sz w:val="22"/>
                <w:szCs w:val="22"/>
              </w:rPr>
              <w:t>%分包给中小企业。</w:t>
            </w:r>
          </w:p>
          <w:p w14:paraId="35EAA11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rPr>
            </w:pPr>
            <w:r>
              <w:rPr>
                <w:rFonts w:hint="eastAsia" w:ascii="宋体" w:hAnsi="宋体" w:eastAsia="宋体"/>
                <w:color w:val="auto"/>
                <w:sz w:val="22"/>
                <w:szCs w:val="22"/>
              </w:rPr>
              <w:t xml:space="preserve">2.1根据湘财购【2020】46号文件精神，推行“承诺信用”管理，简化中小企业参与政府采购证明材料，符合法定资格条件的供应商可将资格承诺声明作为资格证明材料（格式见附件），无需再提供财务状况、缴纳税收和社会保障资金等资格证明材料（适用于中小企业，其中监狱企业和残疾人福利性单位、符合中小企业划分标准的个体工商户视同小型、微型企业）。 </w:t>
            </w:r>
          </w:p>
          <w:p w14:paraId="615FC30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rPr>
            </w:pPr>
            <w:r>
              <w:rPr>
                <w:rFonts w:hint="eastAsia" w:ascii="宋体" w:hAnsi="宋体" w:eastAsia="宋体"/>
                <w:color w:val="auto"/>
                <w:sz w:val="22"/>
                <w:szCs w:val="22"/>
              </w:rPr>
              <w:t>2.2如投标人为大型企业或其他组织参与本项目的投标，则需提供依法缴纳税收和社会保险费的证明材料,各提供下列材料之一：</w:t>
            </w:r>
          </w:p>
          <w:p w14:paraId="22FAB5EE">
            <w:pPr>
              <w:keepLines w:val="0"/>
              <w:pageBreakBefore w:val="0"/>
              <w:widowControl/>
              <w:kinsoku/>
              <w:wordWrap/>
              <w:overflowPunct/>
              <w:topLinePunct w:val="0"/>
              <w:autoSpaceDE/>
              <w:autoSpaceDN/>
              <w:bidi w:val="0"/>
              <w:spacing w:line="360" w:lineRule="auto"/>
              <w:ind w:firstLine="480"/>
              <w:jc w:val="left"/>
              <w:textAlignment w:val="auto"/>
              <w:rPr>
                <w:rFonts w:hint="eastAsia" w:ascii="宋体" w:hAnsi="宋体" w:eastAsia="宋体" w:cs="宋体"/>
                <w:kern w:val="0"/>
                <w:sz w:val="22"/>
                <w:szCs w:val="22"/>
              </w:rPr>
            </w:pPr>
            <w:r>
              <w:rPr>
                <w:rFonts w:hint="eastAsia" w:ascii="宋体" w:hAnsi="宋体" w:eastAsia="宋体" w:cs="宋体"/>
                <w:kern w:val="0"/>
                <w:sz w:val="22"/>
                <w:szCs w:val="22"/>
              </w:rPr>
              <w:t>①缴纳税收证明资料：《税务登记证》复印件，或者近</w:t>
            </w:r>
            <w:r>
              <w:rPr>
                <w:rFonts w:hint="eastAsia" w:ascii="宋体" w:hAnsi="宋体" w:eastAsia="宋体" w:cs="宋体"/>
                <w:kern w:val="0"/>
                <w:sz w:val="22"/>
                <w:szCs w:val="22"/>
                <w:lang w:val="en-US" w:eastAsia="zh-CN"/>
              </w:rPr>
              <w:t>六</w:t>
            </w:r>
            <w:r>
              <w:rPr>
                <w:rFonts w:hint="eastAsia" w:ascii="宋体" w:hAnsi="宋体" w:eastAsia="宋体" w:cs="宋体"/>
                <w:kern w:val="0"/>
                <w:sz w:val="22"/>
                <w:szCs w:val="22"/>
              </w:rPr>
              <w:t>个月（2025年</w:t>
            </w:r>
            <w:r>
              <w:rPr>
                <w:rFonts w:hint="eastAsia" w:ascii="宋体" w:hAnsi="宋体" w:eastAsia="宋体" w:cs="宋体"/>
                <w:kern w:val="0"/>
                <w:sz w:val="22"/>
                <w:szCs w:val="22"/>
                <w:lang w:val="en-US" w:eastAsia="zh-CN"/>
              </w:rPr>
              <w:t>11</w:t>
            </w:r>
            <w:r>
              <w:rPr>
                <w:rFonts w:hint="eastAsia" w:ascii="宋体" w:hAnsi="宋体" w:eastAsia="宋体" w:cs="宋体"/>
                <w:kern w:val="0"/>
                <w:sz w:val="22"/>
                <w:szCs w:val="22"/>
              </w:rPr>
              <w:t>月至2026年</w:t>
            </w:r>
            <w:r>
              <w:rPr>
                <w:rFonts w:hint="eastAsia" w:ascii="宋体" w:hAnsi="宋体" w:eastAsia="宋体" w:cs="宋体"/>
                <w:kern w:val="0"/>
                <w:sz w:val="22"/>
                <w:szCs w:val="22"/>
                <w:lang w:val="en-US" w:eastAsia="zh-CN"/>
              </w:rPr>
              <w:t>4</w:t>
            </w:r>
            <w:r>
              <w:rPr>
                <w:rFonts w:hint="eastAsia" w:ascii="宋体" w:hAnsi="宋体" w:eastAsia="宋体" w:cs="宋体"/>
                <w:kern w:val="0"/>
                <w:sz w:val="22"/>
                <w:szCs w:val="22"/>
              </w:rPr>
              <w:t>月连续</w:t>
            </w:r>
            <w:r>
              <w:rPr>
                <w:rFonts w:hint="eastAsia" w:ascii="宋体" w:hAnsi="宋体" w:eastAsia="宋体" w:cs="宋体"/>
                <w:kern w:val="0"/>
                <w:sz w:val="22"/>
                <w:szCs w:val="22"/>
                <w:lang w:val="en-US" w:eastAsia="zh-CN"/>
              </w:rPr>
              <w:t>6</w:t>
            </w:r>
            <w:r>
              <w:rPr>
                <w:rFonts w:hint="eastAsia" w:ascii="宋体" w:hAnsi="宋体" w:eastAsia="宋体" w:cs="宋体"/>
                <w:kern w:val="0"/>
                <w:sz w:val="22"/>
                <w:szCs w:val="22"/>
              </w:rPr>
              <w:t>个月）依法缴纳税收的证明（纳税凭证复印件），或者委托他人缴纳的委托代办协议和近</w:t>
            </w:r>
            <w:r>
              <w:rPr>
                <w:rFonts w:hint="eastAsia" w:ascii="宋体" w:hAnsi="宋体" w:cs="宋体"/>
                <w:kern w:val="0"/>
                <w:sz w:val="22"/>
                <w:szCs w:val="22"/>
                <w:lang w:val="en-US" w:eastAsia="zh-CN"/>
              </w:rPr>
              <w:t>六</w:t>
            </w:r>
            <w:r>
              <w:rPr>
                <w:rFonts w:hint="eastAsia" w:ascii="宋体" w:hAnsi="宋体" w:eastAsia="宋体" w:cs="宋体"/>
                <w:kern w:val="0"/>
                <w:sz w:val="22"/>
                <w:szCs w:val="22"/>
              </w:rPr>
              <w:t>个月的缴纳证明（收据复印件），或者法定征收机关出具的依法免缴税收的证明复印件。</w:t>
            </w:r>
          </w:p>
          <w:p w14:paraId="4C1F9F80">
            <w:pPr>
              <w:keepLines w:val="0"/>
              <w:pageBreakBefore w:val="0"/>
              <w:widowControl/>
              <w:kinsoku/>
              <w:wordWrap/>
              <w:overflowPunct/>
              <w:topLinePunct w:val="0"/>
              <w:autoSpaceDE/>
              <w:autoSpaceDN/>
              <w:bidi w:val="0"/>
              <w:spacing w:line="360" w:lineRule="auto"/>
              <w:ind w:firstLine="480"/>
              <w:jc w:val="left"/>
              <w:textAlignment w:val="auto"/>
              <w:rPr>
                <w:rFonts w:hint="eastAsia" w:ascii="宋体" w:hAnsi="宋体" w:eastAsia="宋体" w:cs="宋体"/>
                <w:kern w:val="0"/>
                <w:sz w:val="22"/>
                <w:szCs w:val="22"/>
              </w:rPr>
            </w:pPr>
            <w:r>
              <w:rPr>
                <w:rFonts w:hint="eastAsia" w:ascii="宋体" w:hAnsi="宋体" w:eastAsia="宋体" w:cs="宋体"/>
                <w:kern w:val="0"/>
                <w:sz w:val="22"/>
                <w:szCs w:val="22"/>
              </w:rPr>
              <w:t>②缴纳社会保险证明资料：《社会保险登记证》复印件，或者近</w:t>
            </w:r>
            <w:r>
              <w:rPr>
                <w:rFonts w:hint="eastAsia" w:ascii="宋体" w:hAnsi="宋体" w:eastAsia="宋体" w:cs="宋体"/>
                <w:kern w:val="0"/>
                <w:sz w:val="22"/>
                <w:szCs w:val="22"/>
                <w:lang w:val="en-US" w:eastAsia="zh-CN"/>
              </w:rPr>
              <w:t>六</w:t>
            </w:r>
            <w:r>
              <w:rPr>
                <w:rFonts w:hint="eastAsia" w:ascii="宋体" w:hAnsi="宋体" w:eastAsia="宋体" w:cs="宋体"/>
                <w:kern w:val="0"/>
                <w:sz w:val="22"/>
                <w:szCs w:val="22"/>
              </w:rPr>
              <w:t>个月（2025年</w:t>
            </w:r>
            <w:r>
              <w:rPr>
                <w:rFonts w:hint="eastAsia" w:ascii="宋体" w:hAnsi="宋体" w:eastAsia="宋体" w:cs="宋体"/>
                <w:kern w:val="0"/>
                <w:sz w:val="22"/>
                <w:szCs w:val="22"/>
                <w:lang w:val="en-US" w:eastAsia="zh-CN"/>
              </w:rPr>
              <w:t>11</w:t>
            </w:r>
            <w:r>
              <w:rPr>
                <w:rFonts w:hint="eastAsia" w:ascii="宋体" w:hAnsi="宋体" w:eastAsia="宋体" w:cs="宋体"/>
                <w:kern w:val="0"/>
                <w:sz w:val="22"/>
                <w:szCs w:val="22"/>
              </w:rPr>
              <w:t>月至2026年</w:t>
            </w:r>
            <w:r>
              <w:rPr>
                <w:rFonts w:hint="eastAsia" w:ascii="宋体" w:hAnsi="宋体" w:eastAsia="宋体" w:cs="宋体"/>
                <w:kern w:val="0"/>
                <w:sz w:val="22"/>
                <w:szCs w:val="22"/>
                <w:lang w:val="en-US" w:eastAsia="zh-CN"/>
              </w:rPr>
              <w:t>4</w:t>
            </w:r>
            <w:r>
              <w:rPr>
                <w:rFonts w:hint="eastAsia" w:ascii="宋体" w:hAnsi="宋体" w:eastAsia="宋体" w:cs="宋体"/>
                <w:kern w:val="0"/>
                <w:sz w:val="22"/>
                <w:szCs w:val="22"/>
              </w:rPr>
              <w:t>月连续</w:t>
            </w:r>
            <w:r>
              <w:rPr>
                <w:rFonts w:hint="eastAsia" w:ascii="宋体" w:hAnsi="宋体" w:eastAsia="宋体" w:cs="宋体"/>
                <w:kern w:val="0"/>
                <w:sz w:val="22"/>
                <w:szCs w:val="22"/>
                <w:lang w:val="en-US" w:eastAsia="zh-CN"/>
              </w:rPr>
              <w:t>6</w:t>
            </w:r>
            <w:r>
              <w:rPr>
                <w:rFonts w:hint="eastAsia" w:ascii="宋体" w:hAnsi="宋体" w:eastAsia="宋体" w:cs="宋体"/>
                <w:kern w:val="0"/>
                <w:sz w:val="22"/>
                <w:szCs w:val="22"/>
              </w:rPr>
              <w:t>个月）依法缴纳社会保险费的证明（缴费凭证复印件），或者委托他人缴纳的委托代办协议和近</w:t>
            </w:r>
            <w:r>
              <w:rPr>
                <w:rFonts w:hint="eastAsia" w:ascii="宋体" w:hAnsi="宋体" w:cs="宋体"/>
                <w:kern w:val="0"/>
                <w:sz w:val="22"/>
                <w:szCs w:val="22"/>
                <w:lang w:val="en-US" w:eastAsia="zh-CN"/>
              </w:rPr>
              <w:t>六</w:t>
            </w:r>
            <w:r>
              <w:rPr>
                <w:rFonts w:hint="eastAsia" w:ascii="宋体" w:hAnsi="宋体" w:eastAsia="宋体" w:cs="宋体"/>
                <w:kern w:val="0"/>
                <w:sz w:val="22"/>
                <w:szCs w:val="22"/>
              </w:rPr>
              <w:t>个月的缴纳证明（收据复印件），或者法定征收机关出具的依法免缴保险费的证明复印。</w:t>
            </w:r>
          </w:p>
          <w:p w14:paraId="2122C1F4">
            <w:pPr>
              <w:keepLines w:val="0"/>
              <w:pageBreakBefore w:val="0"/>
              <w:widowControl/>
              <w:kinsoku/>
              <w:wordWrap/>
              <w:overflowPunct/>
              <w:topLinePunct w:val="0"/>
              <w:autoSpaceDE/>
              <w:autoSpaceDN/>
              <w:bidi w:val="0"/>
              <w:spacing w:line="360" w:lineRule="auto"/>
              <w:ind w:firstLine="480"/>
              <w:jc w:val="left"/>
              <w:textAlignment w:val="auto"/>
              <w:rPr>
                <w:rFonts w:hint="eastAsia" w:ascii="宋体" w:hAnsi="宋体" w:eastAsia="宋体" w:cs="宋体"/>
                <w:kern w:val="0"/>
                <w:sz w:val="22"/>
                <w:szCs w:val="22"/>
              </w:rPr>
            </w:pPr>
            <w:r>
              <w:rPr>
                <w:rFonts w:ascii="宋体" w:hAnsi="宋体" w:eastAsia="宋体" w:cs="宋体"/>
                <w:kern w:val="0"/>
                <w:sz w:val="22"/>
                <w:szCs w:val="22"/>
              </w:rPr>
              <w:t>③</w:t>
            </w:r>
            <w:r>
              <w:rPr>
                <w:rFonts w:hint="eastAsia" w:ascii="宋体" w:hAnsi="宋体" w:eastAsia="宋体" w:cs="宋体"/>
                <w:kern w:val="0"/>
                <w:sz w:val="22"/>
                <w:szCs w:val="22"/>
                <w:lang w:eastAsia="zh-CN"/>
              </w:rPr>
              <w:t>提供</w:t>
            </w:r>
            <w:r>
              <w:rPr>
                <w:rFonts w:hint="eastAsia" w:ascii="宋体" w:hAnsi="宋体" w:eastAsia="宋体" w:cs="宋体"/>
                <w:kern w:val="0"/>
                <w:sz w:val="22"/>
                <w:szCs w:val="22"/>
                <w:lang w:val="en-US" w:eastAsia="zh-CN"/>
              </w:rPr>
              <w:t>2025年</w:t>
            </w:r>
            <w:r>
              <w:rPr>
                <w:rFonts w:hint="eastAsia" w:ascii="宋体" w:hAnsi="宋体" w:eastAsia="宋体" w:cs="宋体"/>
                <w:kern w:val="0"/>
                <w:sz w:val="22"/>
                <w:szCs w:val="22"/>
                <w:lang w:eastAsia="zh-CN"/>
              </w:rPr>
              <w:t>度的财务报表</w:t>
            </w:r>
            <w:r>
              <w:rPr>
                <w:rFonts w:hint="eastAsia" w:ascii="宋体" w:hAnsi="宋体" w:eastAsia="宋体" w:cs="宋体"/>
                <w:kern w:val="0"/>
                <w:sz w:val="22"/>
                <w:szCs w:val="22"/>
              </w:rPr>
              <w:t>，或银行资信证明(公司成立不足一年的)。</w:t>
            </w:r>
          </w:p>
          <w:p w14:paraId="71623AAB">
            <w:pPr>
              <w:keepLines w:val="0"/>
              <w:pageBreakBefore w:val="0"/>
              <w:widowControl/>
              <w:numPr>
                <w:ilvl w:val="0"/>
                <w:numId w:val="0"/>
              </w:numPr>
              <w:kinsoku/>
              <w:wordWrap/>
              <w:overflowPunct/>
              <w:topLinePunct w:val="0"/>
              <w:autoSpaceDE/>
              <w:autoSpaceDN/>
              <w:bidi w:val="0"/>
              <w:spacing w:line="360" w:lineRule="auto"/>
              <w:jc w:val="left"/>
              <w:textAlignment w:val="auto"/>
              <w:rPr>
                <w:rFonts w:hint="eastAsia" w:ascii="宋体" w:hAnsi="宋体" w:eastAsia="宋体" w:cs="宋体"/>
                <w:kern w:val="0"/>
                <w:sz w:val="22"/>
                <w:szCs w:val="22"/>
                <w:highlight w:val="none"/>
              </w:rPr>
            </w:pPr>
            <w:r>
              <w:rPr>
                <w:rFonts w:hint="eastAsia" w:ascii="宋体" w:hAnsi="宋体" w:eastAsia="宋体" w:cs="宋体"/>
                <w:kern w:val="0"/>
                <w:sz w:val="22"/>
                <w:szCs w:val="22"/>
                <w:highlight w:val="none"/>
                <w:lang w:val="en-US" w:eastAsia="zh-CN"/>
              </w:rPr>
              <w:t>3.</w:t>
            </w:r>
            <w:r>
              <w:rPr>
                <w:rFonts w:hint="eastAsia" w:ascii="宋体" w:hAnsi="宋体" w:eastAsia="宋体" w:cs="宋体"/>
                <w:kern w:val="0"/>
                <w:sz w:val="22"/>
                <w:szCs w:val="22"/>
                <w:highlight w:val="none"/>
              </w:rPr>
              <w:t>供应商特定资格条件：投标人</w:t>
            </w:r>
            <w:r>
              <w:rPr>
                <w:rFonts w:hint="eastAsia" w:ascii="宋体" w:hAnsi="宋体" w:eastAsia="宋体" w:cs="Times New Roman"/>
                <w:iCs/>
                <w:color w:val="auto"/>
                <w:sz w:val="22"/>
                <w:szCs w:val="22"/>
                <w:highlight w:val="none"/>
                <w:lang w:val="en-US" w:eastAsia="zh-CN"/>
              </w:rPr>
              <w:t>具备</w:t>
            </w:r>
            <w:r>
              <w:rPr>
                <w:rFonts w:hint="eastAsia" w:ascii="宋体" w:hAnsi="宋体" w:eastAsia="宋体" w:cs="Times New Roman"/>
                <w:b/>
                <w:bCs/>
                <w:iCs/>
                <w:color w:val="auto"/>
                <w:sz w:val="22"/>
                <w:szCs w:val="22"/>
                <w:highlight w:val="none"/>
                <w:lang w:val="en-US" w:eastAsia="zh-CN"/>
              </w:rPr>
              <w:t>有效的食品经营许可证</w:t>
            </w:r>
            <w:r>
              <w:rPr>
                <w:rFonts w:hint="eastAsia" w:ascii="宋体" w:hAnsi="宋体" w:eastAsia="宋体" w:cs="宋体"/>
                <w:kern w:val="0"/>
                <w:sz w:val="22"/>
                <w:szCs w:val="22"/>
                <w:highlight w:val="none"/>
              </w:rPr>
              <w:t>。</w:t>
            </w:r>
          </w:p>
          <w:p w14:paraId="1540DEBE">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rPr>
            </w:pPr>
            <w:r>
              <w:rPr>
                <w:rFonts w:hint="eastAsia" w:ascii="宋体" w:hAnsi="宋体" w:eastAsia="宋体"/>
                <w:color w:val="auto"/>
                <w:sz w:val="22"/>
                <w:szCs w:val="22"/>
              </w:rPr>
              <w:t>4、单位负责人为同一人或者存在直接控股、管理关系的不同投标人，不得参加同一合同项下的政府采购活动。</w:t>
            </w:r>
          </w:p>
          <w:p w14:paraId="71879EF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rPr>
            </w:pPr>
            <w:r>
              <w:rPr>
                <w:rFonts w:hint="eastAsia" w:ascii="宋体" w:hAnsi="宋体" w:eastAsia="宋体"/>
                <w:color w:val="auto"/>
                <w:sz w:val="22"/>
                <w:szCs w:val="22"/>
              </w:rPr>
              <w:t>5、为本采购项目提供整体设计、规范编制或者项目管理、监理、检测等服务的，不得再参加此项目的其他采购活动。</w:t>
            </w:r>
          </w:p>
          <w:p w14:paraId="3401636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rPr>
            </w:pPr>
            <w:r>
              <w:rPr>
                <w:rFonts w:hint="eastAsia" w:ascii="宋体" w:hAnsi="宋体" w:eastAsia="宋体"/>
                <w:color w:val="auto"/>
                <w:sz w:val="22"/>
                <w:szCs w:val="22"/>
              </w:rPr>
              <w:t>6、列入失信被执行人、重大税收违法失信主体名单、政府采购严重违法失信行为记录名单的，拒绝其参与政府采购活动。</w:t>
            </w:r>
          </w:p>
          <w:p w14:paraId="12A5371C">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olor w:val="auto"/>
                <w:sz w:val="22"/>
                <w:szCs w:val="22"/>
              </w:rPr>
            </w:pPr>
            <w:r>
              <w:rPr>
                <w:rFonts w:hint="eastAsia" w:ascii="宋体" w:hAnsi="宋体" w:eastAsia="宋体"/>
                <w:color w:val="auto"/>
                <w:sz w:val="22"/>
                <w:szCs w:val="22"/>
              </w:rPr>
              <w:t>7、联合体投标。本次招标不接受联合体投标。</w:t>
            </w:r>
          </w:p>
          <w:p w14:paraId="75FB1DB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2"/>
                <w:szCs w:val="22"/>
              </w:rPr>
            </w:pPr>
            <w:r>
              <w:rPr>
                <w:rFonts w:hint="eastAsia" w:ascii="宋体" w:hAnsi="宋体" w:eastAsia="宋体"/>
                <w:color w:val="auto"/>
                <w:sz w:val="22"/>
                <w:szCs w:val="22"/>
                <w:lang w:val="en-US" w:eastAsia="zh-CN"/>
              </w:rPr>
              <w:t>8</w:t>
            </w:r>
            <w:r>
              <w:rPr>
                <w:rFonts w:hint="eastAsia" w:ascii="宋体" w:hAnsi="宋体" w:eastAsia="宋体"/>
                <w:color w:val="auto"/>
                <w:sz w:val="22"/>
                <w:szCs w:val="22"/>
              </w:rPr>
              <w:t>、资格审查方式实行开标后资格审查。</w:t>
            </w:r>
          </w:p>
        </w:tc>
      </w:tr>
      <w:tr w14:paraId="52B32F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7648B36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第3.2</w:t>
            </w:r>
            <w:r>
              <w:rPr>
                <w:rFonts w:hint="eastAsia" w:ascii="宋体" w:hAnsi="宋体" w:cs="宋体"/>
                <w:kern w:val="0"/>
                <w:sz w:val="22"/>
                <w:szCs w:val="22"/>
                <w:lang w:val="zh-CN"/>
              </w:rPr>
              <w:t>款</w:t>
            </w:r>
          </w:p>
        </w:tc>
        <w:tc>
          <w:tcPr>
            <w:tcW w:w="2409" w:type="dxa"/>
            <w:noWrap w:val="0"/>
            <w:vAlign w:val="center"/>
          </w:tcPr>
          <w:p w14:paraId="6482F3C8">
            <w:pPr>
              <w:keepNext w:val="0"/>
              <w:keepLines w:val="0"/>
              <w:pageBreakBefore w:val="0"/>
              <w:kinsoku/>
              <w:wordWrap/>
              <w:overflowPunct/>
              <w:topLinePunct w:val="0"/>
              <w:autoSpaceDE/>
              <w:autoSpaceDN/>
              <w:bidi w:val="0"/>
              <w:adjustRightInd w:val="0"/>
              <w:snapToGrid w:val="0"/>
              <w:spacing w:line="360" w:lineRule="auto"/>
              <w:jc w:val="left"/>
              <w:textAlignment w:val="auto"/>
              <w:rPr>
                <w:rFonts w:hAnsi="宋体"/>
                <w:sz w:val="22"/>
                <w:szCs w:val="22"/>
              </w:rPr>
            </w:pPr>
            <w:r>
              <w:rPr>
                <w:rFonts w:hint="eastAsia" w:hAnsi="宋体"/>
                <w:sz w:val="22"/>
                <w:szCs w:val="22"/>
              </w:rPr>
              <w:t>接受联合体形式投标</w:t>
            </w:r>
          </w:p>
        </w:tc>
        <w:tc>
          <w:tcPr>
            <w:tcW w:w="4962" w:type="dxa"/>
            <w:noWrap w:val="0"/>
            <w:vAlign w:val="center"/>
          </w:tcPr>
          <w:p w14:paraId="53E26AE1">
            <w:pPr>
              <w:keepNext w:val="0"/>
              <w:keepLines w:val="0"/>
              <w:pageBreakBefore w:val="0"/>
              <w:kinsoku/>
              <w:wordWrap/>
              <w:overflowPunct/>
              <w:topLinePunct w:val="0"/>
              <w:autoSpaceDE/>
              <w:autoSpaceDN/>
              <w:bidi w:val="0"/>
              <w:adjustRightInd w:val="0"/>
              <w:snapToGrid w:val="0"/>
              <w:spacing w:line="360" w:lineRule="auto"/>
              <w:textAlignment w:val="auto"/>
              <w:rPr>
                <w:rFonts w:hAnsi="宋体"/>
                <w:sz w:val="22"/>
                <w:szCs w:val="22"/>
              </w:rPr>
            </w:pPr>
            <w:r>
              <w:rPr>
                <w:rFonts w:hAnsi="宋体"/>
                <w:sz w:val="22"/>
                <w:szCs w:val="22"/>
              </w:rPr>
              <w:t>本项目不接受联合体投标</w:t>
            </w:r>
          </w:p>
        </w:tc>
      </w:tr>
      <w:tr w14:paraId="1DF128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227E9582">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第5.1</w:t>
            </w:r>
            <w:r>
              <w:rPr>
                <w:rFonts w:hint="eastAsia" w:ascii="宋体" w:hAnsi="宋体" w:cs="宋体"/>
                <w:kern w:val="0"/>
                <w:sz w:val="22"/>
                <w:szCs w:val="22"/>
                <w:lang w:val="zh-CN"/>
              </w:rPr>
              <w:t>款</w:t>
            </w:r>
          </w:p>
        </w:tc>
        <w:tc>
          <w:tcPr>
            <w:tcW w:w="2409" w:type="dxa"/>
            <w:noWrap w:val="0"/>
            <w:vAlign w:val="center"/>
          </w:tcPr>
          <w:p w14:paraId="1F454BAD">
            <w:pPr>
              <w:keepNext w:val="0"/>
              <w:keepLines w:val="0"/>
              <w:pageBreakBefore w:val="0"/>
              <w:kinsoku/>
              <w:wordWrap/>
              <w:overflowPunct/>
              <w:topLinePunct w:val="0"/>
              <w:autoSpaceDE/>
              <w:autoSpaceDN/>
              <w:bidi w:val="0"/>
              <w:adjustRightInd w:val="0"/>
              <w:snapToGrid w:val="0"/>
              <w:spacing w:line="360" w:lineRule="auto"/>
              <w:jc w:val="left"/>
              <w:textAlignment w:val="auto"/>
              <w:rPr>
                <w:rFonts w:hAnsi="宋体"/>
                <w:sz w:val="22"/>
                <w:szCs w:val="22"/>
              </w:rPr>
            </w:pPr>
            <w:r>
              <w:rPr>
                <w:rFonts w:hint="eastAsia" w:ascii="宋体" w:hAnsi="宋体"/>
                <w:sz w:val="22"/>
                <w:szCs w:val="22"/>
              </w:rPr>
              <w:t>招标文件提供期限</w:t>
            </w:r>
          </w:p>
        </w:tc>
        <w:tc>
          <w:tcPr>
            <w:tcW w:w="4962" w:type="dxa"/>
            <w:noWrap w:val="0"/>
            <w:vAlign w:val="center"/>
          </w:tcPr>
          <w:p w14:paraId="45C41105">
            <w:pPr>
              <w:keepNext w:val="0"/>
              <w:keepLines w:val="0"/>
              <w:pageBreakBefore w:val="0"/>
              <w:kinsoku/>
              <w:wordWrap/>
              <w:overflowPunct/>
              <w:topLinePunct w:val="0"/>
              <w:autoSpaceDE/>
              <w:autoSpaceDN/>
              <w:bidi w:val="0"/>
              <w:adjustRightInd w:val="0"/>
              <w:snapToGrid w:val="0"/>
              <w:spacing w:line="360" w:lineRule="auto"/>
              <w:textAlignment w:val="auto"/>
              <w:rPr>
                <w:rFonts w:hint="eastAsia" w:hAnsi="宋体"/>
                <w:sz w:val="22"/>
                <w:szCs w:val="22"/>
              </w:rPr>
            </w:pPr>
            <w:r>
              <w:rPr>
                <w:rFonts w:hint="eastAsia" w:ascii="宋体" w:hAnsi="宋体"/>
                <w:sz w:val="22"/>
                <w:szCs w:val="22"/>
              </w:rPr>
              <w:t>自招标公告发布之日起5个工作日</w:t>
            </w:r>
            <w:r>
              <w:rPr>
                <w:rFonts w:hint="eastAsia" w:hAnsi="宋体"/>
                <w:sz w:val="22"/>
                <w:szCs w:val="22"/>
              </w:rPr>
              <w:t>（详见外网公告）</w:t>
            </w:r>
          </w:p>
        </w:tc>
      </w:tr>
      <w:tr w14:paraId="278A35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62" w:hRule="atLeast"/>
        </w:trPr>
        <w:tc>
          <w:tcPr>
            <w:tcW w:w="1560" w:type="dxa"/>
            <w:noWrap w:val="0"/>
            <w:vAlign w:val="center"/>
          </w:tcPr>
          <w:p w14:paraId="4E0CF69E">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第5.2</w:t>
            </w:r>
            <w:r>
              <w:rPr>
                <w:rFonts w:hint="eastAsia" w:ascii="宋体" w:hAnsi="宋体" w:cs="宋体"/>
                <w:kern w:val="0"/>
                <w:sz w:val="22"/>
                <w:szCs w:val="22"/>
                <w:lang w:val="zh-CN"/>
              </w:rPr>
              <w:t>款</w:t>
            </w:r>
          </w:p>
        </w:tc>
        <w:tc>
          <w:tcPr>
            <w:tcW w:w="2409" w:type="dxa"/>
            <w:noWrap w:val="0"/>
            <w:vAlign w:val="center"/>
          </w:tcPr>
          <w:p w14:paraId="505CBCF8">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ascii="宋体" w:hAnsi="宋体"/>
                <w:sz w:val="22"/>
                <w:szCs w:val="22"/>
              </w:rPr>
              <w:t>组织现场考察或者召开答疑会</w:t>
            </w:r>
          </w:p>
        </w:tc>
        <w:tc>
          <w:tcPr>
            <w:tcW w:w="4962" w:type="dxa"/>
            <w:noWrap w:val="0"/>
            <w:vAlign w:val="center"/>
          </w:tcPr>
          <w:p w14:paraId="3ABF9C54">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ascii="宋体" w:hAnsi="宋体"/>
                <w:sz w:val="22"/>
                <w:szCs w:val="22"/>
              </w:rPr>
              <w:t>本项目不组织现场考察或召开答疑会</w:t>
            </w:r>
          </w:p>
        </w:tc>
      </w:tr>
      <w:tr w14:paraId="2376663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03D98CFF">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b/>
                <w:sz w:val="22"/>
                <w:szCs w:val="22"/>
              </w:rPr>
            </w:pPr>
            <w:r>
              <w:rPr>
                <w:rFonts w:hint="eastAsia" w:ascii="宋体" w:hAnsi="宋体"/>
                <w:b/>
                <w:sz w:val="22"/>
                <w:szCs w:val="22"/>
              </w:rPr>
              <w:t>二、招标文件</w:t>
            </w:r>
          </w:p>
        </w:tc>
      </w:tr>
      <w:tr w14:paraId="324FBB1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76437560">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第7.4</w:t>
            </w:r>
            <w:r>
              <w:rPr>
                <w:rFonts w:hint="eastAsia" w:ascii="宋体" w:hAnsi="宋体" w:cs="宋体"/>
                <w:kern w:val="0"/>
                <w:sz w:val="22"/>
                <w:szCs w:val="22"/>
                <w:lang w:val="zh-CN"/>
              </w:rPr>
              <w:t>款</w:t>
            </w:r>
          </w:p>
        </w:tc>
        <w:tc>
          <w:tcPr>
            <w:tcW w:w="2409" w:type="dxa"/>
            <w:noWrap w:val="0"/>
            <w:vAlign w:val="center"/>
          </w:tcPr>
          <w:p w14:paraId="4A854595">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ascii="宋体" w:hAnsi="宋体"/>
                <w:sz w:val="22"/>
                <w:szCs w:val="22"/>
              </w:rPr>
              <w:t>非实质性偏离的范围和幅度</w:t>
            </w:r>
          </w:p>
        </w:tc>
        <w:tc>
          <w:tcPr>
            <w:tcW w:w="4962" w:type="dxa"/>
            <w:noWrap w:val="0"/>
            <w:vAlign w:val="center"/>
          </w:tcPr>
          <w:p w14:paraId="1E0E676A">
            <w:pPr>
              <w:keepNext w:val="0"/>
              <w:keepLines w:val="0"/>
              <w:pageBreakBefore w:val="0"/>
              <w:kinsoku/>
              <w:wordWrap/>
              <w:overflowPunct/>
              <w:topLinePunct w:val="0"/>
              <w:autoSpaceDE/>
              <w:autoSpaceDN/>
              <w:bidi w:val="0"/>
              <w:spacing w:line="360" w:lineRule="auto"/>
              <w:textAlignment w:val="auto"/>
              <w:rPr>
                <w:rFonts w:hint="eastAsia" w:ascii="宋体" w:hAnsi="宋体"/>
                <w:sz w:val="22"/>
                <w:szCs w:val="22"/>
              </w:rPr>
            </w:pPr>
            <w:r>
              <w:rPr>
                <w:rFonts w:hint="eastAsia" w:ascii="宋体" w:hAnsi="宋体"/>
                <w:sz w:val="22"/>
                <w:szCs w:val="22"/>
              </w:rPr>
              <w:t>非实质性偏离项数之和≥</w:t>
            </w:r>
            <w:r>
              <w:rPr>
                <w:rFonts w:hint="eastAsia" w:ascii="宋体" w:hAnsi="宋体"/>
                <w:sz w:val="22"/>
                <w:szCs w:val="22"/>
                <w:u w:val="single"/>
              </w:rPr>
              <w:t xml:space="preserve"> </w:t>
            </w:r>
            <w:r>
              <w:rPr>
                <w:rFonts w:hint="eastAsia" w:ascii="宋体" w:hAnsi="宋体" w:cs="宋体"/>
                <w:color w:val="000000"/>
                <w:sz w:val="22"/>
                <w:szCs w:val="22"/>
                <w:u w:val="single"/>
              </w:rPr>
              <w:t>10</w:t>
            </w:r>
            <w:r>
              <w:rPr>
                <w:rFonts w:hint="eastAsia" w:ascii="宋体" w:hAnsi="宋体"/>
                <w:sz w:val="22"/>
                <w:szCs w:val="22"/>
              </w:rPr>
              <w:t>项将导致无效投标</w:t>
            </w:r>
          </w:p>
          <w:p w14:paraId="7905D2A9">
            <w:pPr>
              <w:keepNext w:val="0"/>
              <w:keepLines w:val="0"/>
              <w:pageBreakBefore w:val="0"/>
              <w:kinsoku/>
              <w:wordWrap/>
              <w:overflowPunct/>
              <w:topLinePunct w:val="0"/>
              <w:autoSpaceDE/>
              <w:autoSpaceDN/>
              <w:bidi w:val="0"/>
              <w:spacing w:line="360" w:lineRule="auto"/>
              <w:textAlignment w:val="auto"/>
              <w:rPr>
                <w:rFonts w:hint="eastAsia" w:ascii="宋体" w:hAnsi="宋体"/>
                <w:sz w:val="22"/>
                <w:szCs w:val="22"/>
              </w:rPr>
            </w:pPr>
            <w:r>
              <w:rPr>
                <w:rFonts w:hint="eastAsia" w:ascii="宋体" w:hAnsi="宋体" w:eastAsia="宋体" w:cs="Times New Roman"/>
                <w:kern w:val="2"/>
                <w:sz w:val="22"/>
                <w:szCs w:val="22"/>
                <w:lang w:val="en-US" w:eastAsia="zh-CN" w:bidi="ar-SA"/>
              </w:rPr>
              <w:t>凡标有最低一级序号的条款即为一项，工程项目清单中相同项目名称（或产品名称）的相同内容条款不重复计算项数。</w:t>
            </w:r>
          </w:p>
        </w:tc>
      </w:tr>
      <w:tr w14:paraId="46CBCD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477C95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第9.1</w:t>
            </w:r>
            <w:r>
              <w:rPr>
                <w:rFonts w:hint="eastAsia" w:ascii="宋体" w:hAnsi="宋体" w:cs="宋体"/>
                <w:kern w:val="0"/>
                <w:sz w:val="22"/>
                <w:szCs w:val="22"/>
                <w:lang w:val="zh-CN"/>
              </w:rPr>
              <w:t>款</w:t>
            </w:r>
          </w:p>
        </w:tc>
        <w:tc>
          <w:tcPr>
            <w:tcW w:w="2409" w:type="dxa"/>
            <w:noWrap w:val="0"/>
            <w:vAlign w:val="center"/>
          </w:tcPr>
          <w:p w14:paraId="70DC8D38">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ascii="宋体" w:hAnsi="宋体"/>
                <w:sz w:val="22"/>
                <w:szCs w:val="22"/>
              </w:rPr>
              <w:t>招标公告指定媒体</w:t>
            </w:r>
          </w:p>
        </w:tc>
        <w:tc>
          <w:tcPr>
            <w:tcW w:w="4962" w:type="dxa"/>
            <w:noWrap w:val="0"/>
            <w:vAlign w:val="center"/>
          </w:tcPr>
          <w:p w14:paraId="6EAAAF6F">
            <w:pPr>
              <w:keepNext w:val="0"/>
              <w:keepLines w:val="0"/>
              <w:pageBreakBefore w:val="0"/>
              <w:kinsoku/>
              <w:wordWrap/>
              <w:overflowPunct/>
              <w:topLinePunct w:val="0"/>
              <w:autoSpaceDE/>
              <w:autoSpaceDN/>
              <w:bidi w:val="0"/>
              <w:adjustRightInd w:val="0"/>
              <w:snapToGrid w:val="0"/>
              <w:spacing w:line="360" w:lineRule="auto"/>
              <w:ind w:left="105" w:hanging="110" w:hangingChars="50"/>
              <w:jc w:val="left"/>
              <w:textAlignment w:val="auto"/>
              <w:rPr>
                <w:rFonts w:hint="eastAsia" w:ascii="宋体" w:hAnsi="宋体"/>
                <w:sz w:val="22"/>
                <w:szCs w:val="22"/>
              </w:rPr>
            </w:pPr>
            <w:r>
              <w:rPr>
                <w:rFonts w:hint="eastAsia" w:ascii="宋体" w:hAnsi="宋体"/>
                <w:sz w:val="22"/>
                <w:szCs w:val="22"/>
              </w:rPr>
              <w:t>湖南省政府采购网(</w:t>
            </w:r>
            <w:r>
              <w:rPr>
                <w:rFonts w:hint="eastAsia" w:ascii="宋体" w:hAnsi="宋体"/>
                <w:sz w:val="22"/>
                <w:szCs w:val="22"/>
              </w:rPr>
              <w:fldChar w:fldCharType="begin"/>
            </w:r>
            <w:r>
              <w:rPr>
                <w:rFonts w:hint="eastAsia" w:ascii="宋体" w:hAnsi="宋体"/>
                <w:sz w:val="22"/>
                <w:szCs w:val="22"/>
              </w:rPr>
              <w:instrText xml:space="preserve"> HYPERLINK "http://www.ccgp-hunan.gov.cn" </w:instrText>
            </w:r>
            <w:r>
              <w:rPr>
                <w:rFonts w:hint="eastAsia" w:ascii="宋体" w:hAnsi="宋体"/>
                <w:sz w:val="22"/>
                <w:szCs w:val="22"/>
              </w:rPr>
              <w:fldChar w:fldCharType="separate"/>
            </w:r>
            <w:r>
              <w:rPr>
                <w:rFonts w:hint="eastAsia" w:ascii="宋体" w:hAnsi="宋体"/>
                <w:sz w:val="22"/>
                <w:szCs w:val="22"/>
              </w:rPr>
              <w:t>WWW.ccgp-hunan.gov.cn</w:t>
            </w:r>
            <w:r>
              <w:rPr>
                <w:rFonts w:hint="eastAsia" w:ascii="宋体" w:hAnsi="宋体"/>
                <w:sz w:val="22"/>
                <w:szCs w:val="22"/>
              </w:rPr>
              <w:fldChar w:fldCharType="end"/>
            </w:r>
            <w:r>
              <w:rPr>
                <w:rFonts w:hint="eastAsia" w:ascii="宋体" w:hAnsi="宋体"/>
                <w:sz w:val="22"/>
                <w:szCs w:val="22"/>
              </w:rPr>
              <w:t>)</w:t>
            </w:r>
          </w:p>
          <w:p w14:paraId="25E0EF1D">
            <w:pPr>
              <w:keepNext w:val="0"/>
              <w:keepLines w:val="0"/>
              <w:pageBreakBefore w:val="0"/>
              <w:kinsoku/>
              <w:wordWrap/>
              <w:overflowPunct/>
              <w:topLinePunct w:val="0"/>
              <w:autoSpaceDE/>
              <w:autoSpaceDN/>
              <w:bidi w:val="0"/>
              <w:adjustRightInd w:val="0"/>
              <w:snapToGrid w:val="0"/>
              <w:spacing w:line="360" w:lineRule="auto"/>
              <w:ind w:left="105" w:hanging="110" w:hangingChars="50"/>
              <w:jc w:val="left"/>
              <w:textAlignment w:val="auto"/>
              <w:rPr>
                <w:rFonts w:hint="eastAsia"/>
                <w:sz w:val="22"/>
                <w:szCs w:val="22"/>
              </w:rPr>
            </w:pPr>
            <w:r>
              <w:rPr>
                <w:rFonts w:hint="eastAsia" w:ascii="宋体" w:hAnsi="宋体"/>
                <w:sz w:val="22"/>
                <w:szCs w:val="22"/>
              </w:rPr>
              <w:t>娄底市公共资源交易网（http://ldggzy.hnloudi.gov.cn/）</w:t>
            </w:r>
          </w:p>
        </w:tc>
      </w:tr>
      <w:tr w14:paraId="3BAC55D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45" w:hRule="atLeast"/>
        </w:trPr>
        <w:tc>
          <w:tcPr>
            <w:tcW w:w="8931" w:type="dxa"/>
            <w:gridSpan w:val="3"/>
            <w:noWrap w:val="0"/>
            <w:vAlign w:val="center"/>
          </w:tcPr>
          <w:p w14:paraId="76B91E01">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hint="eastAsia" w:ascii="宋体" w:hAnsi="宋体"/>
                <w:b/>
                <w:sz w:val="22"/>
                <w:szCs w:val="22"/>
              </w:rPr>
              <w:t>三、投标文件</w:t>
            </w:r>
          </w:p>
        </w:tc>
      </w:tr>
      <w:tr w14:paraId="6C823D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4801D8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第13.2</w:t>
            </w:r>
            <w:r>
              <w:rPr>
                <w:rFonts w:hint="eastAsia" w:ascii="宋体" w:hAnsi="宋体" w:cs="宋体"/>
                <w:kern w:val="0"/>
                <w:sz w:val="22"/>
                <w:szCs w:val="22"/>
                <w:lang w:val="zh-CN"/>
              </w:rPr>
              <w:t>款</w:t>
            </w:r>
          </w:p>
        </w:tc>
        <w:tc>
          <w:tcPr>
            <w:tcW w:w="2409" w:type="dxa"/>
            <w:noWrap w:val="0"/>
            <w:vAlign w:val="center"/>
          </w:tcPr>
          <w:p w14:paraId="4FD2A326">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sz w:val="22"/>
                <w:szCs w:val="22"/>
                <w:lang w:eastAsia="zh-CN"/>
              </w:rPr>
            </w:pPr>
            <w:r>
              <w:rPr>
                <w:rFonts w:ascii="宋体" w:hAnsi="宋体"/>
                <w:sz w:val="22"/>
                <w:szCs w:val="22"/>
              </w:rPr>
              <w:t>★</w:t>
            </w:r>
            <w:r>
              <w:rPr>
                <w:rFonts w:hint="eastAsia" w:ascii="宋体" w:hAnsi="宋体"/>
                <w:sz w:val="22"/>
                <w:szCs w:val="22"/>
              </w:rPr>
              <w:t>采购项目预算、最高限价</w:t>
            </w:r>
            <w:r>
              <w:rPr>
                <w:rFonts w:hint="eastAsia" w:ascii="宋体" w:hAnsi="宋体"/>
                <w:sz w:val="22"/>
                <w:szCs w:val="22"/>
                <w:lang w:eastAsia="zh-CN"/>
              </w:rPr>
              <w:t>（如有）</w:t>
            </w:r>
          </w:p>
        </w:tc>
        <w:tc>
          <w:tcPr>
            <w:tcW w:w="4962" w:type="dxa"/>
            <w:noWrap w:val="0"/>
            <w:vAlign w:val="center"/>
          </w:tcPr>
          <w:p w14:paraId="3C83EB6E">
            <w:pPr>
              <w:pStyle w:val="12"/>
              <w:keepNext w:val="0"/>
              <w:keepLines w:val="0"/>
              <w:pageBreakBefore w:val="0"/>
              <w:kinsoku/>
              <w:wordWrap/>
              <w:overflowPunct/>
              <w:topLinePunct w:val="0"/>
              <w:autoSpaceDE/>
              <w:autoSpaceDN/>
              <w:bidi w:val="0"/>
              <w:spacing w:line="360" w:lineRule="auto"/>
              <w:ind w:left="0" w:leftChars="0" w:firstLine="0" w:firstLineChars="0"/>
              <w:textAlignment w:val="auto"/>
              <w:rPr>
                <w:rFonts w:hint="default"/>
                <w:sz w:val="22"/>
                <w:szCs w:val="22"/>
                <w:lang w:val="en-US"/>
              </w:rPr>
            </w:pPr>
            <w:r>
              <w:rPr>
                <w:rFonts w:hint="eastAsia" w:ascii="宋体" w:hAnsi="宋体" w:cs="Times New Roman"/>
                <w:kern w:val="2"/>
                <w:sz w:val="22"/>
                <w:szCs w:val="22"/>
                <w:lang w:val="en-US" w:eastAsia="zh-CN" w:bidi="ar-SA"/>
              </w:rPr>
              <w:t>1611245.69元</w:t>
            </w:r>
            <w:r>
              <w:rPr>
                <w:rFonts w:hint="eastAsia" w:ascii="宋体" w:hAnsi="宋体" w:eastAsia="宋体" w:cs="Times New Roman"/>
                <w:kern w:val="2"/>
                <w:sz w:val="22"/>
                <w:szCs w:val="22"/>
                <w:lang w:val="en-US" w:eastAsia="zh-CN" w:bidi="ar-SA"/>
              </w:rPr>
              <w:t>。投标人的投标报价不得超过采购人提供的最高限价。否则视为不合格投标人，按废标处理。</w:t>
            </w:r>
          </w:p>
        </w:tc>
      </w:tr>
      <w:tr w14:paraId="3D26BB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328D8D3">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第13.8款</w:t>
            </w:r>
          </w:p>
        </w:tc>
        <w:tc>
          <w:tcPr>
            <w:tcW w:w="2409" w:type="dxa"/>
            <w:noWrap w:val="0"/>
            <w:vAlign w:val="center"/>
          </w:tcPr>
          <w:p w14:paraId="79430758">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hint="eastAsia" w:ascii="宋体" w:hAnsi="宋体"/>
                <w:sz w:val="22"/>
                <w:szCs w:val="22"/>
              </w:rPr>
              <w:t>投标报价的其他要求</w:t>
            </w:r>
          </w:p>
        </w:tc>
        <w:tc>
          <w:tcPr>
            <w:tcW w:w="4962" w:type="dxa"/>
            <w:noWrap w:val="0"/>
            <w:vAlign w:val="center"/>
          </w:tcPr>
          <w:p w14:paraId="18B042DB">
            <w:pPr>
              <w:keepNext w:val="0"/>
              <w:keepLines w:val="0"/>
              <w:pageBreakBefore w:val="0"/>
              <w:kinsoku/>
              <w:wordWrap/>
              <w:overflowPunct/>
              <w:topLinePunct w:val="0"/>
              <w:autoSpaceDE/>
              <w:autoSpaceDN/>
              <w:bidi w:val="0"/>
              <w:adjustRightInd w:val="0"/>
              <w:snapToGrid w:val="0"/>
              <w:spacing w:line="360" w:lineRule="auto"/>
              <w:ind w:left="105" w:hanging="110" w:hangingChars="50"/>
              <w:jc w:val="left"/>
              <w:textAlignment w:val="auto"/>
              <w:rPr>
                <w:rFonts w:ascii="宋体" w:hAnsi="宋体"/>
                <w:sz w:val="22"/>
                <w:szCs w:val="22"/>
              </w:rPr>
            </w:pPr>
            <w:r>
              <w:rPr>
                <w:rFonts w:hint="eastAsia" w:ascii="宋体" w:hAnsi="宋体"/>
                <w:sz w:val="22"/>
                <w:szCs w:val="22"/>
              </w:rPr>
              <w:t>1、以人民币进行报价，按招标文件规定格式报价，不得随意修改，否则投标无效。</w:t>
            </w:r>
          </w:p>
          <w:p w14:paraId="763BCAA6">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sz w:val="22"/>
                <w:szCs w:val="22"/>
                <w:lang w:val="en-US" w:eastAsia="zh-CN"/>
              </w:rPr>
            </w:pPr>
            <w:r>
              <w:rPr>
                <w:rFonts w:hint="eastAsia" w:ascii="宋体" w:hAnsi="宋体"/>
                <w:sz w:val="22"/>
                <w:szCs w:val="22"/>
              </w:rPr>
              <w:t>2、评标委员会认为投标人的报价明显低于其他通过符合性审查投标人的报价，有可能影响</w:t>
            </w:r>
            <w:r>
              <w:rPr>
                <w:rFonts w:hint="eastAsia" w:ascii="宋体" w:hAnsi="宋体"/>
                <w:sz w:val="22"/>
                <w:szCs w:val="22"/>
                <w:lang w:eastAsia="zh-CN"/>
              </w:rPr>
              <w:t>服务</w:t>
            </w:r>
            <w:r>
              <w:rPr>
                <w:rFonts w:hint="eastAsia" w:ascii="宋体" w:hAnsi="宋体"/>
                <w:sz w:val="22"/>
                <w:szCs w:val="22"/>
              </w:rPr>
              <w:t>质量或者不能诚信履约的，应当要求其在评标现场合理的时间内提供书面说明，必要时</w:t>
            </w:r>
            <w:r>
              <w:rPr>
                <w:rFonts w:hint="eastAsia" w:ascii="宋体" w:hAnsi="宋体" w:eastAsia="宋体" w:cs="Times New Roman"/>
                <w:sz w:val="22"/>
                <w:szCs w:val="22"/>
              </w:rPr>
              <w:t>提交相关证明材料；投标人不能证明其报价合理性的，评标委员会应当将其作为无效投标处</w:t>
            </w:r>
            <w:r>
              <w:rPr>
                <w:rFonts w:hint="eastAsia" w:ascii="宋体" w:hAnsi="宋体" w:eastAsia="宋体" w:cs="Times New Roman"/>
                <w:sz w:val="22"/>
                <w:szCs w:val="22"/>
                <w:lang w:val="en-US" w:eastAsia="zh-CN"/>
              </w:rPr>
              <w:t>3、</w:t>
            </w:r>
            <w:r>
              <w:rPr>
                <w:rFonts w:hint="eastAsia" w:ascii="宋体" w:hAnsi="宋体" w:eastAsia="宋体" w:cs="Times New Roman"/>
                <w:sz w:val="22"/>
                <w:szCs w:val="22"/>
              </w:rPr>
              <w:t>政府采购异常低价根据《财政部关于推动解决政府采购异常低价问题的通知》财库〔2026〕2号文件相关规定执行。</w:t>
            </w:r>
            <w:r>
              <w:rPr>
                <w:rFonts w:hint="eastAsia" w:ascii="宋体" w:hAnsi="宋体" w:eastAsia="宋体" w:cs="Times New Roman"/>
                <w:sz w:val="22"/>
                <w:szCs w:val="22"/>
                <w:lang w:val="en-US" w:eastAsia="zh-CN"/>
              </w:rPr>
              <w:t>详见</w:t>
            </w:r>
            <w:r>
              <w:rPr>
                <w:rFonts w:hint="eastAsia" w:ascii="宋体" w:hAnsi="宋体" w:eastAsia="宋体" w:cs="Times New Roman"/>
                <w:sz w:val="22"/>
                <w:szCs w:val="22"/>
              </w:rPr>
              <w:t>第二节 投标须知13.投标报价</w:t>
            </w:r>
          </w:p>
          <w:p w14:paraId="272861C6">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sz w:val="22"/>
                <w:szCs w:val="22"/>
              </w:rPr>
            </w:pPr>
            <w:r>
              <w:rPr>
                <w:rFonts w:hint="eastAsia" w:ascii="宋体" w:hAnsi="宋体" w:cs="Times New Roman"/>
                <w:sz w:val="22"/>
                <w:szCs w:val="22"/>
                <w:lang w:val="en-US" w:eastAsia="zh-CN"/>
              </w:rPr>
              <w:t>4、</w:t>
            </w:r>
            <w:r>
              <w:rPr>
                <w:rFonts w:hint="eastAsia" w:ascii="宋体" w:hAnsi="宋体" w:eastAsia="宋体" w:cs="Times New Roman"/>
                <w:sz w:val="22"/>
                <w:szCs w:val="22"/>
              </w:rPr>
              <w:t>投标报价不得超过采购预算，也不得超过最高限价</w:t>
            </w:r>
            <w:r>
              <w:rPr>
                <w:rFonts w:hint="eastAsia" w:ascii="宋体" w:hAnsi="宋体" w:eastAsia="宋体" w:cs="Times New Roman"/>
                <w:sz w:val="22"/>
                <w:szCs w:val="22"/>
                <w:lang w:eastAsia="zh-CN"/>
              </w:rPr>
              <w:t>（如有）</w:t>
            </w:r>
            <w:r>
              <w:rPr>
                <w:rFonts w:hint="eastAsia" w:ascii="宋体" w:hAnsi="宋体" w:eastAsia="宋体" w:cs="Times New Roman"/>
                <w:sz w:val="22"/>
                <w:szCs w:val="22"/>
              </w:rPr>
              <w:t>，否则其投标无效。</w:t>
            </w:r>
          </w:p>
          <w:p w14:paraId="0CBD773D">
            <w:pPr>
              <w:keepNext w:val="0"/>
              <w:keepLines w:val="0"/>
              <w:pageBreakBefore w:val="0"/>
              <w:kinsoku/>
              <w:wordWrap/>
              <w:overflowPunct/>
              <w:topLinePunct w:val="0"/>
              <w:autoSpaceDE/>
              <w:autoSpaceDN/>
              <w:bidi w:val="0"/>
              <w:adjustRightInd w:val="0"/>
              <w:snapToGrid w:val="0"/>
              <w:spacing w:line="360" w:lineRule="auto"/>
              <w:textAlignment w:val="auto"/>
              <w:rPr>
                <w:rFonts w:hint="eastAsia"/>
                <w:sz w:val="22"/>
                <w:szCs w:val="22"/>
              </w:rPr>
            </w:pPr>
            <w:r>
              <w:rPr>
                <w:rFonts w:hint="eastAsia" w:ascii="宋体" w:hAnsi="宋体" w:eastAsia="宋体" w:cs="Times New Roman"/>
                <w:sz w:val="22"/>
                <w:szCs w:val="22"/>
                <w:lang w:val="en-US" w:eastAsia="zh-CN"/>
              </w:rPr>
              <w:t>5</w:t>
            </w:r>
            <w:r>
              <w:rPr>
                <w:rFonts w:hint="eastAsia" w:ascii="宋体" w:hAnsi="宋体" w:eastAsia="宋体" w:cs="Times New Roman"/>
                <w:sz w:val="22"/>
                <w:szCs w:val="22"/>
              </w:rPr>
              <w:t>、保留小数点后两位有效数字，四舍五入。</w:t>
            </w:r>
          </w:p>
        </w:tc>
      </w:tr>
      <w:tr w14:paraId="25FD5E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16" w:hRule="atLeast"/>
        </w:trPr>
        <w:tc>
          <w:tcPr>
            <w:tcW w:w="1560" w:type="dxa"/>
            <w:noWrap w:val="0"/>
            <w:vAlign w:val="center"/>
          </w:tcPr>
          <w:p w14:paraId="176B174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第14.1款</w:t>
            </w:r>
          </w:p>
        </w:tc>
        <w:tc>
          <w:tcPr>
            <w:tcW w:w="2409" w:type="dxa"/>
            <w:noWrap w:val="0"/>
            <w:vAlign w:val="center"/>
          </w:tcPr>
          <w:p w14:paraId="73D57BF6">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bCs/>
                <w:sz w:val="22"/>
                <w:szCs w:val="22"/>
              </w:rPr>
            </w:pPr>
            <w:r>
              <w:rPr>
                <w:rFonts w:ascii="宋体" w:hAnsi="宋体"/>
                <w:sz w:val="22"/>
                <w:szCs w:val="22"/>
              </w:rPr>
              <w:t>★</w:t>
            </w:r>
            <w:r>
              <w:rPr>
                <w:rFonts w:hint="eastAsia" w:ascii="宋体" w:hAnsi="宋体"/>
                <w:sz w:val="22"/>
                <w:szCs w:val="22"/>
              </w:rPr>
              <w:t>投标人应提供资格审查资料</w:t>
            </w:r>
          </w:p>
        </w:tc>
        <w:tc>
          <w:tcPr>
            <w:tcW w:w="4962" w:type="dxa"/>
            <w:noWrap w:val="0"/>
            <w:vAlign w:val="center"/>
          </w:tcPr>
          <w:p w14:paraId="43B37E82">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b w:val="0"/>
                <w:bCs w:val="0"/>
                <w:sz w:val="22"/>
                <w:szCs w:val="22"/>
              </w:rPr>
            </w:pPr>
            <w:bookmarkStart w:id="19" w:name="_Toc6482"/>
            <w:bookmarkStart w:id="20" w:name="_Toc17704"/>
            <w:bookmarkStart w:id="21" w:name="_Toc3844"/>
            <w:bookmarkStart w:id="22" w:name="_Toc8471"/>
            <w:r>
              <w:rPr>
                <w:rFonts w:hint="eastAsia"/>
                <w:sz w:val="22"/>
                <w:szCs w:val="22"/>
                <w:lang w:val="en-US" w:eastAsia="zh-CN"/>
              </w:rPr>
              <w:t>详见招标文件 ：附表1 资格审查表</w:t>
            </w:r>
            <w:bookmarkEnd w:id="19"/>
            <w:bookmarkEnd w:id="20"/>
            <w:bookmarkEnd w:id="21"/>
            <w:bookmarkEnd w:id="22"/>
          </w:p>
        </w:tc>
      </w:tr>
      <w:tr w14:paraId="649F46F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EB7796A">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第16.1</w:t>
            </w:r>
            <w:r>
              <w:rPr>
                <w:rFonts w:hint="eastAsia" w:ascii="宋体" w:hAnsi="宋体" w:cs="宋体"/>
                <w:kern w:val="0"/>
                <w:sz w:val="22"/>
                <w:szCs w:val="22"/>
                <w:lang w:val="zh-CN"/>
              </w:rPr>
              <w:t>款</w:t>
            </w:r>
          </w:p>
        </w:tc>
        <w:tc>
          <w:tcPr>
            <w:tcW w:w="2409" w:type="dxa"/>
            <w:noWrap w:val="0"/>
            <w:vAlign w:val="center"/>
          </w:tcPr>
          <w:p w14:paraId="6642125D">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bCs/>
                <w:sz w:val="22"/>
                <w:szCs w:val="22"/>
              </w:rPr>
            </w:pPr>
            <w:r>
              <w:rPr>
                <w:rFonts w:ascii="宋体" w:hAnsi="宋体"/>
                <w:sz w:val="22"/>
                <w:szCs w:val="22"/>
              </w:rPr>
              <w:t>★</w:t>
            </w:r>
            <w:r>
              <w:rPr>
                <w:rFonts w:hint="eastAsia" w:ascii="宋体" w:hAnsi="宋体"/>
                <w:bCs/>
                <w:sz w:val="22"/>
                <w:szCs w:val="22"/>
              </w:rPr>
              <w:t>投标有效期</w:t>
            </w:r>
          </w:p>
        </w:tc>
        <w:tc>
          <w:tcPr>
            <w:tcW w:w="4962" w:type="dxa"/>
            <w:noWrap w:val="0"/>
            <w:vAlign w:val="center"/>
          </w:tcPr>
          <w:p w14:paraId="2C47374B">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bCs/>
                <w:sz w:val="22"/>
                <w:szCs w:val="22"/>
              </w:rPr>
            </w:pPr>
            <w:r>
              <w:rPr>
                <w:rFonts w:hint="eastAsia" w:ascii="宋体" w:hAnsi="宋体"/>
                <w:bCs/>
                <w:sz w:val="22"/>
                <w:szCs w:val="22"/>
              </w:rPr>
              <w:t>9</w:t>
            </w:r>
            <w:r>
              <w:rPr>
                <w:rFonts w:ascii="宋体" w:hAnsi="宋体"/>
                <w:bCs/>
                <w:sz w:val="22"/>
                <w:szCs w:val="22"/>
              </w:rPr>
              <w:t>0日历天</w:t>
            </w:r>
          </w:p>
        </w:tc>
      </w:tr>
      <w:tr w14:paraId="11E6A6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11722974">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第17.1</w:t>
            </w:r>
            <w:r>
              <w:rPr>
                <w:rFonts w:hint="eastAsia" w:ascii="宋体" w:hAnsi="宋体" w:cs="宋体"/>
                <w:kern w:val="0"/>
                <w:sz w:val="22"/>
                <w:szCs w:val="22"/>
                <w:lang w:val="zh-CN"/>
              </w:rPr>
              <w:t>款</w:t>
            </w:r>
          </w:p>
        </w:tc>
        <w:tc>
          <w:tcPr>
            <w:tcW w:w="2409" w:type="dxa"/>
            <w:noWrap w:val="0"/>
            <w:vAlign w:val="center"/>
          </w:tcPr>
          <w:p w14:paraId="0E050018">
            <w:pPr>
              <w:keepNext w:val="0"/>
              <w:keepLines w:val="0"/>
              <w:pageBreakBefore w:val="0"/>
              <w:kinsoku/>
              <w:wordWrap/>
              <w:overflowPunct/>
              <w:topLinePunct w:val="0"/>
              <w:autoSpaceDE/>
              <w:autoSpaceDN/>
              <w:bidi w:val="0"/>
              <w:adjustRightInd w:val="0"/>
              <w:snapToGrid w:val="0"/>
              <w:spacing w:line="360" w:lineRule="auto"/>
              <w:ind w:left="-610" w:leftChars="-254" w:firstLine="558" w:firstLineChars="254"/>
              <w:jc w:val="left"/>
              <w:textAlignment w:val="auto"/>
              <w:rPr>
                <w:rFonts w:ascii="宋体" w:hAnsi="宋体"/>
                <w:sz w:val="22"/>
                <w:szCs w:val="22"/>
              </w:rPr>
            </w:pPr>
            <w:r>
              <w:rPr>
                <w:rFonts w:hint="eastAsia" w:ascii="宋体" w:hAnsi="宋体"/>
                <w:sz w:val="22"/>
                <w:szCs w:val="22"/>
              </w:rPr>
              <w:t>投标保证金</w:t>
            </w:r>
          </w:p>
        </w:tc>
        <w:tc>
          <w:tcPr>
            <w:tcW w:w="4962" w:type="dxa"/>
            <w:noWrap w:val="0"/>
            <w:vAlign w:val="center"/>
          </w:tcPr>
          <w:p w14:paraId="79F05BF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ascii="宋体" w:hAnsi="宋体"/>
                <w:sz w:val="22"/>
                <w:szCs w:val="22"/>
              </w:rPr>
              <w:t>不要求提供</w:t>
            </w:r>
            <w:r>
              <w:rPr>
                <w:rFonts w:hint="eastAsia" w:ascii="宋体" w:hAnsi="宋体"/>
                <w:sz w:val="22"/>
                <w:szCs w:val="22"/>
              </w:rPr>
              <w:t>。</w:t>
            </w:r>
          </w:p>
          <w:p w14:paraId="1DCE08D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ascii="宋体" w:hAnsi="宋体"/>
                <w:sz w:val="22"/>
                <w:szCs w:val="22"/>
              </w:rPr>
              <w:t>按照娄财购函</w:t>
            </w:r>
            <w:r>
              <w:rPr>
                <w:rFonts w:hint="eastAsia" w:ascii="宋体" w:hAnsi="宋体"/>
                <w:sz w:val="22"/>
                <w:szCs w:val="22"/>
              </w:rPr>
              <w:t>【2</w:t>
            </w:r>
            <w:r>
              <w:rPr>
                <w:rFonts w:ascii="宋体" w:hAnsi="宋体"/>
                <w:sz w:val="22"/>
                <w:szCs w:val="22"/>
              </w:rPr>
              <w:t>022</w:t>
            </w:r>
            <w:r>
              <w:rPr>
                <w:rFonts w:hint="eastAsia" w:ascii="宋体" w:hAnsi="宋体"/>
                <w:sz w:val="22"/>
                <w:szCs w:val="22"/>
              </w:rPr>
              <w:t>】2</w:t>
            </w:r>
            <w:r>
              <w:rPr>
                <w:rFonts w:ascii="宋体" w:hAnsi="宋体"/>
                <w:sz w:val="22"/>
                <w:szCs w:val="22"/>
              </w:rPr>
              <w:t>0号文件精神</w:t>
            </w:r>
            <w:r>
              <w:rPr>
                <w:rFonts w:hint="eastAsia" w:ascii="宋体" w:hAnsi="宋体"/>
                <w:sz w:val="22"/>
                <w:szCs w:val="22"/>
              </w:rPr>
              <w:t>，</w:t>
            </w:r>
            <w:r>
              <w:rPr>
                <w:rFonts w:ascii="宋体" w:hAnsi="宋体"/>
                <w:sz w:val="22"/>
                <w:szCs w:val="22"/>
              </w:rPr>
              <w:t>不收取投标保证金</w:t>
            </w:r>
            <w:r>
              <w:rPr>
                <w:rFonts w:hint="eastAsia" w:ascii="宋体" w:hAnsi="宋体"/>
                <w:sz w:val="22"/>
                <w:szCs w:val="22"/>
              </w:rPr>
              <w:t>。</w:t>
            </w:r>
          </w:p>
        </w:tc>
      </w:tr>
      <w:tr w14:paraId="01034A2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5D483EA8">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第18.1</w:t>
            </w:r>
            <w:r>
              <w:rPr>
                <w:rFonts w:hint="eastAsia" w:ascii="宋体" w:hAnsi="宋体" w:cs="宋体"/>
                <w:kern w:val="0"/>
                <w:sz w:val="22"/>
                <w:szCs w:val="22"/>
                <w:lang w:val="zh-CN"/>
              </w:rPr>
              <w:t>款</w:t>
            </w:r>
          </w:p>
        </w:tc>
        <w:tc>
          <w:tcPr>
            <w:tcW w:w="2409" w:type="dxa"/>
            <w:noWrap w:val="0"/>
            <w:vAlign w:val="center"/>
          </w:tcPr>
          <w:p w14:paraId="1772C911">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ascii="宋体" w:hAnsi="宋体"/>
                <w:bCs/>
                <w:sz w:val="22"/>
                <w:szCs w:val="22"/>
              </w:rPr>
              <w:t>分包</w:t>
            </w:r>
          </w:p>
        </w:tc>
        <w:tc>
          <w:tcPr>
            <w:tcW w:w="4962" w:type="dxa"/>
            <w:noWrap w:val="0"/>
            <w:vAlign w:val="center"/>
          </w:tcPr>
          <w:p w14:paraId="761A8824">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bCs/>
                <w:sz w:val="22"/>
                <w:szCs w:val="22"/>
                <w:lang w:eastAsia="zh-CN"/>
              </w:rPr>
            </w:pPr>
            <w:r>
              <w:rPr>
                <w:rFonts w:hint="eastAsia" w:ascii="宋体" w:hAnsi="宋体"/>
                <w:sz w:val="22"/>
                <w:szCs w:val="22"/>
                <w:lang w:eastAsia="zh-CN"/>
              </w:rPr>
              <w:t>□</w:t>
            </w:r>
            <w:r>
              <w:rPr>
                <w:rFonts w:hint="eastAsia" w:ascii="宋体" w:hAnsi="宋体"/>
                <w:sz w:val="22"/>
                <w:szCs w:val="22"/>
              </w:rPr>
              <w:t>允许分包</w:t>
            </w:r>
            <w:r>
              <w:rPr>
                <w:rFonts w:hint="eastAsia" w:ascii="宋体" w:hAnsi="宋体"/>
                <w:sz w:val="22"/>
                <w:szCs w:val="22"/>
                <w:lang w:eastAsia="zh-CN"/>
              </w:rPr>
              <w:t>。</w:t>
            </w:r>
            <w:r>
              <w:rPr>
                <w:rFonts w:hint="eastAsia" w:ascii="宋体" w:hAnsi="宋体" w:eastAsia="宋体" w:cs="Times New Roman"/>
                <w:color w:val="auto"/>
                <w:sz w:val="22"/>
                <w:szCs w:val="22"/>
              </w:rPr>
              <w:t>分包内容：</w:t>
            </w:r>
          </w:p>
          <w:p w14:paraId="268D6C8C">
            <w:pPr>
              <w:pStyle w:val="63"/>
              <w:keepNext w:val="0"/>
              <w:keepLines w:val="0"/>
              <w:pageBreakBefore w:val="0"/>
              <w:kinsoku/>
              <w:wordWrap/>
              <w:overflowPunct/>
              <w:topLinePunct w:val="0"/>
              <w:autoSpaceDE/>
              <w:autoSpaceDN/>
              <w:bidi w:val="0"/>
              <w:spacing w:line="360" w:lineRule="auto"/>
              <w:ind w:firstLine="0" w:firstLineChars="0"/>
              <w:textAlignment w:val="auto"/>
              <w:rPr>
                <w:rFonts w:hint="eastAsia"/>
                <w:sz w:val="22"/>
                <w:szCs w:val="22"/>
              </w:rPr>
            </w:pPr>
            <w:r>
              <w:rPr>
                <w:rFonts w:hint="eastAsia" w:ascii="宋体" w:hAnsi="宋体" w:eastAsia="宋体" w:cs="Times New Roman"/>
                <w:color w:val="auto"/>
                <w:kern w:val="2"/>
                <w:sz w:val="22"/>
                <w:szCs w:val="22"/>
                <w:lang w:val="en-US" w:eastAsia="zh-CN" w:bidi="ar-SA"/>
              </w:rPr>
              <w:t>☑不允许分包。</w:t>
            </w:r>
          </w:p>
        </w:tc>
      </w:tr>
      <w:tr w14:paraId="779806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1B933F40">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第19.1</w:t>
            </w:r>
            <w:r>
              <w:rPr>
                <w:rFonts w:hint="eastAsia" w:ascii="宋体" w:hAnsi="宋体" w:cs="宋体"/>
                <w:kern w:val="0"/>
                <w:sz w:val="22"/>
                <w:szCs w:val="22"/>
                <w:lang w:val="zh-CN"/>
              </w:rPr>
              <w:t>款</w:t>
            </w:r>
          </w:p>
        </w:tc>
        <w:tc>
          <w:tcPr>
            <w:tcW w:w="2409" w:type="dxa"/>
            <w:noWrap w:val="0"/>
            <w:vAlign w:val="center"/>
          </w:tcPr>
          <w:p w14:paraId="09D59519">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bCs/>
                <w:sz w:val="22"/>
                <w:szCs w:val="22"/>
              </w:rPr>
            </w:pPr>
            <w:r>
              <w:rPr>
                <w:rFonts w:hint="eastAsia" w:ascii="宋体" w:hAnsi="宋体"/>
                <w:bCs/>
                <w:sz w:val="22"/>
                <w:szCs w:val="22"/>
              </w:rPr>
              <w:t>投标文件正本</w:t>
            </w:r>
          </w:p>
        </w:tc>
        <w:tc>
          <w:tcPr>
            <w:tcW w:w="4962" w:type="dxa"/>
            <w:noWrap w:val="0"/>
            <w:vAlign w:val="center"/>
          </w:tcPr>
          <w:p w14:paraId="6FE81B13">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sz w:val="22"/>
                <w:szCs w:val="22"/>
              </w:rPr>
            </w:pPr>
            <w:r>
              <w:rPr>
                <w:rFonts w:ascii="宋体" w:hAnsi="宋体"/>
                <w:b/>
                <w:bCs/>
                <w:sz w:val="22"/>
                <w:szCs w:val="22"/>
              </w:rPr>
              <w:t>本项目为全流程电子标</w:t>
            </w:r>
            <w:r>
              <w:rPr>
                <w:rFonts w:hint="eastAsia" w:ascii="宋体" w:hAnsi="宋体"/>
                <w:b/>
                <w:bCs/>
                <w:sz w:val="22"/>
                <w:szCs w:val="22"/>
              </w:rPr>
              <w:t>。</w:t>
            </w:r>
            <w:r>
              <w:rPr>
                <w:rFonts w:hint="eastAsia" w:ascii="宋体" w:hAnsi="宋体"/>
                <w:sz w:val="22"/>
                <w:szCs w:val="22"/>
              </w:rPr>
              <w:t>按要求提交电子投标文件正本：投标文件第一部分资格证明文件；投标文件第二部分商务和技术文件。</w:t>
            </w:r>
          </w:p>
          <w:p w14:paraId="6CECA3C4">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sz w:val="22"/>
                <w:szCs w:val="22"/>
              </w:rPr>
            </w:pPr>
            <w:r>
              <w:rPr>
                <w:rFonts w:hint="eastAsia" w:ascii="宋体" w:hAnsi="宋体"/>
                <w:sz w:val="22"/>
                <w:szCs w:val="22"/>
              </w:rPr>
              <w:t>注：a.投标人按照平台要求上传对应内容，上传错误的，导致无法正常查阅或出错的，自行承担后果。</w:t>
            </w:r>
          </w:p>
          <w:p w14:paraId="2D91F51A">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sz w:val="22"/>
                <w:szCs w:val="22"/>
              </w:rPr>
            </w:pPr>
            <w:r>
              <w:rPr>
                <w:rFonts w:hint="eastAsia" w:ascii="宋体" w:hAnsi="宋体"/>
                <w:sz w:val="22"/>
                <w:szCs w:val="22"/>
              </w:rPr>
              <w:t>b.投标人中标后需提供纸质版投标文件一份移送至</w:t>
            </w:r>
            <w:r>
              <w:rPr>
                <w:rFonts w:hint="eastAsia" w:ascii="宋体" w:hAnsi="宋体"/>
                <w:sz w:val="22"/>
                <w:szCs w:val="22"/>
                <w:lang w:val="en-US" w:eastAsia="zh-CN"/>
              </w:rPr>
              <w:t>代理机构</w:t>
            </w:r>
            <w:r>
              <w:rPr>
                <w:rFonts w:hint="eastAsia" w:ascii="宋体" w:hAnsi="宋体"/>
                <w:sz w:val="22"/>
                <w:szCs w:val="22"/>
              </w:rPr>
              <w:t>（与电子投标文件一致，如有异处，以电子投标文件为准）。</w:t>
            </w:r>
          </w:p>
        </w:tc>
      </w:tr>
      <w:tr w14:paraId="5EDA807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43640072">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b/>
                <w:bCs/>
                <w:sz w:val="22"/>
                <w:szCs w:val="22"/>
              </w:rPr>
            </w:pPr>
            <w:r>
              <w:rPr>
                <w:rFonts w:hint="eastAsia" w:ascii="宋体" w:hAnsi="宋体"/>
                <w:b/>
                <w:sz w:val="22"/>
                <w:szCs w:val="22"/>
              </w:rPr>
              <w:t>四、投标</w:t>
            </w:r>
          </w:p>
        </w:tc>
      </w:tr>
      <w:tr w14:paraId="3A9AFA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2" w:hRule="atLeast"/>
        </w:trPr>
        <w:tc>
          <w:tcPr>
            <w:tcW w:w="1560" w:type="dxa"/>
            <w:noWrap w:val="0"/>
            <w:vAlign w:val="center"/>
          </w:tcPr>
          <w:p w14:paraId="744D309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第21.1</w:t>
            </w:r>
            <w:r>
              <w:rPr>
                <w:rFonts w:hint="eastAsia" w:ascii="宋体" w:hAnsi="宋体" w:cs="宋体"/>
                <w:kern w:val="0"/>
                <w:sz w:val="22"/>
                <w:szCs w:val="22"/>
                <w:lang w:val="zh-CN"/>
              </w:rPr>
              <w:t>款</w:t>
            </w:r>
          </w:p>
        </w:tc>
        <w:tc>
          <w:tcPr>
            <w:tcW w:w="2409" w:type="dxa"/>
            <w:noWrap w:val="0"/>
            <w:vAlign w:val="center"/>
          </w:tcPr>
          <w:p w14:paraId="6FF90DB0">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sz w:val="22"/>
                <w:szCs w:val="22"/>
                <w:lang w:val="en-US" w:eastAsia="zh-CN"/>
              </w:rPr>
            </w:pPr>
            <w:r>
              <w:rPr>
                <w:rFonts w:hint="eastAsia" w:ascii="宋体" w:hAnsi="宋体"/>
                <w:sz w:val="22"/>
                <w:szCs w:val="22"/>
                <w:lang w:val="en-US" w:eastAsia="zh-CN"/>
              </w:rPr>
              <w:t>★投标截止时间及投标地点</w:t>
            </w:r>
          </w:p>
        </w:tc>
        <w:tc>
          <w:tcPr>
            <w:tcW w:w="4962" w:type="dxa"/>
            <w:noWrap w:val="0"/>
            <w:vAlign w:val="center"/>
          </w:tcPr>
          <w:p w14:paraId="2C73C80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sz w:val="22"/>
                <w:szCs w:val="22"/>
                <w:lang w:val="en-US" w:eastAsia="zh-CN"/>
              </w:rPr>
            </w:pPr>
            <w:r>
              <w:rPr>
                <w:rFonts w:hint="eastAsia" w:ascii="宋体" w:hAnsi="宋体"/>
                <w:sz w:val="22"/>
                <w:szCs w:val="22"/>
                <w:lang w:val="en-US" w:eastAsia="zh-CN"/>
              </w:rPr>
              <w:t>详见第一章【投标邀请】</w:t>
            </w:r>
          </w:p>
        </w:tc>
      </w:tr>
      <w:tr w14:paraId="3D26F60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0422DEA1">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hint="eastAsia" w:ascii="宋体" w:hAnsi="宋体"/>
                <w:b/>
                <w:bCs/>
                <w:sz w:val="22"/>
                <w:szCs w:val="22"/>
              </w:rPr>
              <w:t>五、开标、资格审查和评标</w:t>
            </w:r>
          </w:p>
        </w:tc>
      </w:tr>
      <w:tr w14:paraId="3ABFAF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7" w:hRule="atLeast"/>
        </w:trPr>
        <w:tc>
          <w:tcPr>
            <w:tcW w:w="1560" w:type="dxa"/>
            <w:noWrap w:val="0"/>
            <w:vAlign w:val="center"/>
          </w:tcPr>
          <w:p w14:paraId="1529F20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第24.1</w:t>
            </w:r>
            <w:r>
              <w:rPr>
                <w:rFonts w:hint="eastAsia" w:ascii="宋体" w:hAnsi="宋体" w:cs="宋体"/>
                <w:kern w:val="0"/>
                <w:sz w:val="22"/>
                <w:szCs w:val="22"/>
                <w:lang w:val="zh-CN"/>
              </w:rPr>
              <w:t>款</w:t>
            </w:r>
          </w:p>
        </w:tc>
        <w:tc>
          <w:tcPr>
            <w:tcW w:w="2409" w:type="dxa"/>
            <w:noWrap w:val="0"/>
            <w:vAlign w:val="center"/>
          </w:tcPr>
          <w:p w14:paraId="31471D16">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ascii="宋体" w:hAnsi="宋体"/>
                <w:bCs/>
                <w:sz w:val="22"/>
                <w:szCs w:val="22"/>
              </w:rPr>
              <w:t>开标地点</w:t>
            </w:r>
            <w:r>
              <w:rPr>
                <w:rFonts w:hint="eastAsia" w:ascii="宋体" w:hAnsi="宋体"/>
                <w:sz w:val="22"/>
                <w:szCs w:val="22"/>
              </w:rPr>
              <w:t xml:space="preserve"> </w:t>
            </w:r>
          </w:p>
        </w:tc>
        <w:tc>
          <w:tcPr>
            <w:tcW w:w="4962" w:type="dxa"/>
            <w:noWrap w:val="0"/>
            <w:vAlign w:val="center"/>
          </w:tcPr>
          <w:p w14:paraId="4E8090BB">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hint="eastAsia" w:ascii="宋体" w:hAnsi="宋体" w:cs="宋体"/>
                <w:color w:val="000000"/>
                <w:sz w:val="22"/>
                <w:szCs w:val="22"/>
              </w:rPr>
              <w:t>本项目实行网上投标，投标人必须在采购文件规定的投标截止时间前完成投标文件的上传，具体详见招标公告</w:t>
            </w:r>
          </w:p>
        </w:tc>
      </w:tr>
      <w:tr w14:paraId="47CFD1B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6" w:hRule="atLeast"/>
        </w:trPr>
        <w:tc>
          <w:tcPr>
            <w:tcW w:w="1560" w:type="dxa"/>
            <w:noWrap w:val="0"/>
            <w:vAlign w:val="center"/>
          </w:tcPr>
          <w:p w14:paraId="4AD25A9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第24.2</w:t>
            </w:r>
            <w:r>
              <w:rPr>
                <w:rFonts w:hint="eastAsia" w:ascii="宋体" w:hAnsi="宋体" w:cs="宋体"/>
                <w:kern w:val="0"/>
                <w:sz w:val="22"/>
                <w:szCs w:val="22"/>
                <w:lang w:val="zh-CN"/>
              </w:rPr>
              <w:t>款</w:t>
            </w:r>
          </w:p>
        </w:tc>
        <w:tc>
          <w:tcPr>
            <w:tcW w:w="2409" w:type="dxa"/>
            <w:noWrap w:val="0"/>
            <w:vAlign w:val="center"/>
          </w:tcPr>
          <w:p w14:paraId="03D40150">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ascii="宋体" w:hAnsi="宋体"/>
                <w:sz w:val="22"/>
                <w:szCs w:val="22"/>
              </w:rPr>
              <w:t>需要宣布的其他内容</w:t>
            </w:r>
          </w:p>
        </w:tc>
        <w:tc>
          <w:tcPr>
            <w:tcW w:w="4962" w:type="dxa"/>
            <w:noWrap w:val="0"/>
            <w:vAlign w:val="center"/>
          </w:tcPr>
          <w:p w14:paraId="768F262E">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sz w:val="22"/>
                <w:szCs w:val="22"/>
              </w:rPr>
            </w:pPr>
            <w:r>
              <w:rPr>
                <w:rFonts w:hint="eastAsia" w:ascii="宋体" w:hAnsi="宋体"/>
                <w:sz w:val="22"/>
                <w:szCs w:val="22"/>
              </w:rPr>
              <w:t>以电子采购交易平台唱标内容为准。</w:t>
            </w:r>
          </w:p>
        </w:tc>
      </w:tr>
      <w:tr w14:paraId="01D4326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3BB7435D">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b/>
                <w:sz w:val="22"/>
                <w:szCs w:val="22"/>
              </w:rPr>
            </w:pPr>
            <w:r>
              <w:rPr>
                <w:rFonts w:hint="eastAsia" w:ascii="宋体" w:hAnsi="宋体"/>
                <w:b/>
                <w:sz w:val="22"/>
                <w:szCs w:val="22"/>
              </w:rPr>
              <w:t>六、中标信息公布</w:t>
            </w:r>
          </w:p>
        </w:tc>
      </w:tr>
      <w:tr w14:paraId="7050AF4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40524828">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第28.2</w:t>
            </w:r>
            <w:r>
              <w:rPr>
                <w:rFonts w:hint="eastAsia" w:ascii="宋体" w:hAnsi="宋体" w:cs="宋体"/>
                <w:kern w:val="0"/>
                <w:sz w:val="22"/>
                <w:szCs w:val="22"/>
                <w:lang w:val="zh-CN"/>
              </w:rPr>
              <w:t>款</w:t>
            </w:r>
          </w:p>
        </w:tc>
        <w:tc>
          <w:tcPr>
            <w:tcW w:w="2409" w:type="dxa"/>
            <w:noWrap w:val="0"/>
            <w:vAlign w:val="center"/>
          </w:tcPr>
          <w:p w14:paraId="464B4093">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ascii="宋体" w:hAnsi="宋体"/>
                <w:sz w:val="22"/>
                <w:szCs w:val="22"/>
              </w:rPr>
              <w:t>中标候选人并列时确定中标人的方式</w:t>
            </w:r>
          </w:p>
        </w:tc>
        <w:tc>
          <w:tcPr>
            <w:tcW w:w="4962" w:type="dxa"/>
            <w:noWrap w:val="0"/>
            <w:vAlign w:val="center"/>
          </w:tcPr>
          <w:p w14:paraId="089206AD">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olor w:val="000000"/>
                <w:sz w:val="22"/>
                <w:szCs w:val="22"/>
              </w:rPr>
            </w:pPr>
            <w:r>
              <w:rPr>
                <w:rFonts w:hint="eastAsia" w:ascii="宋体" w:hAnsi="宋体"/>
                <w:color w:val="000000"/>
                <w:sz w:val="22"/>
                <w:szCs w:val="22"/>
              </w:rPr>
              <w:t>完全满足采购文件实质性需求且综合得分最高的单位为中标单位，得分相同的，按投标报价由低到高顺序排列；</w:t>
            </w:r>
          </w:p>
          <w:p w14:paraId="4FA33AF7">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sz w:val="22"/>
                <w:szCs w:val="22"/>
              </w:rPr>
            </w:pPr>
            <w:r>
              <w:rPr>
                <w:rFonts w:hint="eastAsia" w:ascii="宋体" w:hAnsi="宋体"/>
                <w:color w:val="000000"/>
                <w:sz w:val="22"/>
                <w:szCs w:val="22"/>
              </w:rPr>
              <w:t>得分且投标报价相同的，按技术指标优劣顺序排列。</w:t>
            </w:r>
            <w:r>
              <w:rPr>
                <w:rFonts w:hint="eastAsia" w:ascii="宋体" w:hAnsi="宋体"/>
                <w:bCs/>
                <w:sz w:val="22"/>
                <w:szCs w:val="22"/>
              </w:rPr>
              <w:t>若总分相同、报价相同且技术也相同时则按现场抽签决定排名顺序。</w:t>
            </w:r>
          </w:p>
        </w:tc>
      </w:tr>
      <w:tr w14:paraId="08832AA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17A99565">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第29.3</w:t>
            </w:r>
            <w:r>
              <w:rPr>
                <w:rFonts w:hint="eastAsia" w:ascii="宋体" w:hAnsi="宋体" w:cs="宋体"/>
                <w:kern w:val="0"/>
                <w:sz w:val="22"/>
                <w:szCs w:val="22"/>
                <w:lang w:val="zh-CN"/>
              </w:rPr>
              <w:t>款</w:t>
            </w:r>
          </w:p>
        </w:tc>
        <w:tc>
          <w:tcPr>
            <w:tcW w:w="2409" w:type="dxa"/>
            <w:noWrap w:val="0"/>
            <w:vAlign w:val="center"/>
          </w:tcPr>
          <w:p w14:paraId="693EEE38">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ascii="宋体" w:hAnsi="宋体"/>
                <w:sz w:val="22"/>
                <w:szCs w:val="22"/>
              </w:rPr>
              <w:t>接收质疑函的联系部门、联系电话和通讯地址</w:t>
            </w:r>
          </w:p>
        </w:tc>
        <w:tc>
          <w:tcPr>
            <w:tcW w:w="4962" w:type="dxa"/>
            <w:noWrap w:val="0"/>
            <w:vAlign w:val="center"/>
          </w:tcPr>
          <w:p w14:paraId="7C0BC020">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Times New Roman"/>
                <w:sz w:val="22"/>
                <w:szCs w:val="22"/>
                <w:lang w:val="en-US" w:eastAsia="zh-CN"/>
              </w:rPr>
            </w:pPr>
            <w:r>
              <w:rPr>
                <w:rFonts w:hint="eastAsia" w:ascii="宋体" w:hAnsi="宋体" w:eastAsia="宋体" w:cs="Times New Roman"/>
                <w:sz w:val="22"/>
                <w:szCs w:val="22"/>
                <w:lang w:val="en-US" w:eastAsia="zh-CN"/>
              </w:rPr>
              <w:t xml:space="preserve">采购代理机构：湖南华中源工程项目管理有限公司         </w:t>
            </w:r>
          </w:p>
          <w:p w14:paraId="6799AC57">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Times New Roman"/>
                <w:sz w:val="22"/>
                <w:szCs w:val="22"/>
                <w:lang w:val="en-US" w:eastAsia="zh-CN"/>
              </w:rPr>
            </w:pPr>
            <w:r>
              <w:rPr>
                <w:rFonts w:hint="eastAsia" w:ascii="宋体" w:hAnsi="宋体" w:eastAsia="宋体" w:cs="Times New Roman"/>
                <w:sz w:val="22"/>
                <w:szCs w:val="22"/>
                <w:lang w:val="en-US" w:eastAsia="zh-CN"/>
              </w:rPr>
              <w:t>地址：</w:t>
            </w:r>
            <w:r>
              <w:rPr>
                <w:rFonts w:hint="eastAsia" w:ascii="宋体" w:hAnsi="宋体" w:eastAsia="宋体" w:cs="宋体"/>
                <w:color w:val="000000"/>
                <w:sz w:val="22"/>
                <w:szCs w:val="22"/>
                <w:lang w:val="en-US" w:eastAsia="zh-CN"/>
              </w:rPr>
              <w:t>双峰县永丰街道湘中逸品东</w:t>
            </w:r>
            <w:r>
              <w:rPr>
                <w:rFonts w:hint="default" w:ascii="宋体" w:hAnsi="宋体" w:eastAsia="宋体" w:cs="宋体"/>
                <w:color w:val="000000"/>
                <w:sz w:val="22"/>
                <w:szCs w:val="22"/>
                <w:lang w:val="en-US" w:eastAsia="zh-CN"/>
              </w:rPr>
              <w:t>28</w:t>
            </w:r>
            <w:r>
              <w:rPr>
                <w:rFonts w:hint="eastAsia" w:ascii="宋体" w:hAnsi="宋体" w:eastAsia="宋体" w:cs="宋体"/>
                <w:color w:val="000000"/>
                <w:sz w:val="22"/>
                <w:szCs w:val="22"/>
                <w:lang w:val="en-US" w:eastAsia="zh-CN"/>
              </w:rPr>
              <w:t>米</w:t>
            </w:r>
          </w:p>
          <w:p w14:paraId="5FD6AB4E">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Times New Roman"/>
                <w:sz w:val="22"/>
                <w:szCs w:val="22"/>
                <w:lang w:val="en-US" w:eastAsia="zh-CN"/>
              </w:rPr>
            </w:pPr>
            <w:r>
              <w:rPr>
                <w:rFonts w:hint="eastAsia" w:ascii="宋体" w:hAnsi="宋体" w:eastAsia="宋体" w:cs="Times New Roman"/>
                <w:sz w:val="22"/>
                <w:szCs w:val="22"/>
                <w:lang w:val="en-US" w:eastAsia="zh-CN"/>
              </w:rPr>
              <w:t>联系人：</w:t>
            </w:r>
            <w:r>
              <w:rPr>
                <w:rFonts w:hint="eastAsia" w:ascii="宋体" w:hAnsi="宋体" w:cs="Times New Roman"/>
                <w:sz w:val="22"/>
                <w:szCs w:val="22"/>
                <w:lang w:val="en-US" w:eastAsia="zh-CN"/>
              </w:rPr>
              <w:t>宋</w:t>
            </w:r>
            <w:r>
              <w:rPr>
                <w:rFonts w:hint="eastAsia" w:ascii="宋体" w:hAnsi="宋体" w:eastAsia="宋体" w:cs="Times New Roman"/>
                <w:sz w:val="22"/>
                <w:szCs w:val="22"/>
                <w:lang w:val="en-US" w:eastAsia="zh-CN"/>
              </w:rPr>
              <w:t>女士</w:t>
            </w:r>
          </w:p>
          <w:p w14:paraId="33377455">
            <w:pPr>
              <w:keepNext w:val="0"/>
              <w:keepLines w:val="0"/>
              <w:pageBreakBefore w:val="0"/>
              <w:kinsoku/>
              <w:wordWrap/>
              <w:overflowPunct/>
              <w:topLinePunct w:val="0"/>
              <w:autoSpaceDE/>
              <w:autoSpaceDN/>
              <w:bidi w:val="0"/>
              <w:spacing w:line="360" w:lineRule="auto"/>
              <w:textAlignment w:val="auto"/>
              <w:rPr>
                <w:sz w:val="22"/>
                <w:szCs w:val="22"/>
              </w:rPr>
            </w:pPr>
            <w:r>
              <w:rPr>
                <w:rFonts w:hint="eastAsia" w:ascii="宋体" w:hAnsi="宋体" w:eastAsia="宋体" w:cs="Times New Roman"/>
                <w:sz w:val="22"/>
                <w:szCs w:val="22"/>
                <w:lang w:val="en-US" w:eastAsia="zh-CN"/>
              </w:rPr>
              <w:t>电话：15173811555</w:t>
            </w:r>
          </w:p>
        </w:tc>
      </w:tr>
      <w:tr w14:paraId="6428C0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5A096FC0">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hint="eastAsia" w:ascii="宋体" w:hAnsi="宋体"/>
                <w:b/>
                <w:sz w:val="22"/>
                <w:szCs w:val="22"/>
              </w:rPr>
              <w:t>七、合同签订</w:t>
            </w:r>
          </w:p>
        </w:tc>
      </w:tr>
      <w:tr w14:paraId="2E6CCA5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50BC18D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第31.1</w:t>
            </w:r>
            <w:r>
              <w:rPr>
                <w:rFonts w:hint="eastAsia" w:ascii="宋体" w:hAnsi="宋体" w:cs="宋体"/>
                <w:kern w:val="0"/>
                <w:sz w:val="22"/>
                <w:szCs w:val="22"/>
                <w:lang w:val="zh-CN"/>
              </w:rPr>
              <w:t>款</w:t>
            </w:r>
          </w:p>
        </w:tc>
        <w:tc>
          <w:tcPr>
            <w:tcW w:w="2409" w:type="dxa"/>
            <w:noWrap w:val="0"/>
            <w:vAlign w:val="center"/>
          </w:tcPr>
          <w:p w14:paraId="0E77FFC5">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ascii="宋体" w:hAnsi="宋体"/>
                <w:sz w:val="22"/>
                <w:szCs w:val="22"/>
              </w:rPr>
              <w:t>履约担保</w:t>
            </w:r>
          </w:p>
        </w:tc>
        <w:tc>
          <w:tcPr>
            <w:tcW w:w="4962" w:type="dxa"/>
            <w:noWrap w:val="0"/>
            <w:vAlign w:val="center"/>
          </w:tcPr>
          <w:p w14:paraId="47BE28EF">
            <w:pPr>
              <w:keepNext w:val="0"/>
              <w:keepLines w:val="0"/>
              <w:pageBreakBefore w:val="0"/>
              <w:kinsoku/>
              <w:wordWrap/>
              <w:overflowPunct/>
              <w:topLinePunct w:val="0"/>
              <w:autoSpaceDE/>
              <w:autoSpaceDN/>
              <w:bidi w:val="0"/>
              <w:spacing w:line="360" w:lineRule="auto"/>
              <w:textAlignment w:val="auto"/>
              <w:rPr>
                <w:rFonts w:hint="default" w:ascii="宋体" w:hAnsi="宋体" w:cs="Times New Roman"/>
                <w:sz w:val="22"/>
                <w:szCs w:val="22"/>
                <w:lang w:val="en-US" w:eastAsia="zh-CN"/>
              </w:rPr>
            </w:pPr>
            <w:r>
              <w:rPr>
                <w:rFonts w:hint="eastAsia" w:ascii="宋体" w:hAnsi="宋体" w:cs="Times New Roman"/>
                <w:sz w:val="22"/>
                <w:szCs w:val="22"/>
                <w:lang w:val="en-US" w:eastAsia="zh-CN"/>
              </w:rPr>
              <w:t>☑要求提供履约担保：</w:t>
            </w:r>
            <w:r>
              <w:rPr>
                <w:rFonts w:hint="eastAsia" w:ascii="宋体" w:hAnsi="宋体" w:eastAsia="宋体" w:cs="Times New Roman"/>
                <w:sz w:val="22"/>
                <w:szCs w:val="22"/>
                <w:lang w:val="en-US" w:eastAsia="zh-CN"/>
              </w:rPr>
              <w:t>本项目设履约保证金60000.00元（陆万元整），签订合同前交清，合同履行结束后一个月内无息退还。根据《湖南省财政厅关于政府采购促进中小企业发展有关措施的通知》的相关要求，中标人可以以银行保函的形式缴纳本项目履约保证金。</w:t>
            </w:r>
          </w:p>
          <w:p w14:paraId="11E20FAC">
            <w:pPr>
              <w:keepNext w:val="0"/>
              <w:keepLines w:val="0"/>
              <w:pageBreakBefore w:val="0"/>
              <w:kinsoku/>
              <w:wordWrap/>
              <w:overflowPunct/>
              <w:topLinePunct w:val="0"/>
              <w:autoSpaceDE/>
              <w:autoSpaceDN/>
              <w:bidi w:val="0"/>
              <w:spacing w:line="360" w:lineRule="auto"/>
              <w:textAlignment w:val="auto"/>
              <w:rPr>
                <w:sz w:val="22"/>
                <w:szCs w:val="22"/>
              </w:rPr>
            </w:pPr>
            <w:r>
              <w:rPr>
                <w:rFonts w:hint="eastAsia" w:ascii="宋体" w:hAnsi="宋体" w:cs="Times New Roman"/>
                <w:sz w:val="22"/>
                <w:szCs w:val="22"/>
                <w:lang w:val="en-US" w:eastAsia="zh-CN"/>
              </w:rPr>
              <w:t>□不要求提供履约担保。</w:t>
            </w:r>
          </w:p>
        </w:tc>
      </w:tr>
      <w:tr w14:paraId="4708D9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25C172EB">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hint="eastAsia" w:ascii="宋体" w:hAnsi="宋体"/>
                <w:b/>
                <w:bCs/>
                <w:sz w:val="22"/>
                <w:szCs w:val="22"/>
              </w:rPr>
              <w:t>八、政府采购政策</w:t>
            </w:r>
          </w:p>
        </w:tc>
      </w:tr>
      <w:tr w14:paraId="50806A3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583EBF36">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第33.8款</w:t>
            </w:r>
          </w:p>
        </w:tc>
        <w:tc>
          <w:tcPr>
            <w:tcW w:w="2409" w:type="dxa"/>
            <w:noWrap w:val="0"/>
            <w:vAlign w:val="center"/>
          </w:tcPr>
          <w:p w14:paraId="31142CFD">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sz w:val="22"/>
                <w:szCs w:val="22"/>
              </w:rPr>
            </w:pPr>
            <w:r>
              <w:rPr>
                <w:rFonts w:hint="eastAsia" w:ascii="宋体" w:hAnsi="宋体"/>
                <w:sz w:val="22"/>
                <w:szCs w:val="22"/>
              </w:rPr>
              <w:t>采购进口产品</w:t>
            </w:r>
          </w:p>
        </w:tc>
        <w:tc>
          <w:tcPr>
            <w:tcW w:w="4962" w:type="dxa"/>
            <w:noWrap w:val="0"/>
            <w:vAlign w:val="center"/>
          </w:tcPr>
          <w:p w14:paraId="259A4D38">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sz w:val="22"/>
                <w:szCs w:val="22"/>
              </w:rPr>
            </w:pPr>
            <w:r>
              <w:rPr>
                <w:rFonts w:hint="eastAsia" w:ascii="宋体" w:hAnsi="宋体"/>
                <w:sz w:val="22"/>
                <w:szCs w:val="22"/>
              </w:rPr>
              <w:t>本项目不适用。</w:t>
            </w:r>
          </w:p>
        </w:tc>
      </w:tr>
      <w:tr w14:paraId="077C256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931" w:type="dxa"/>
            <w:gridSpan w:val="3"/>
            <w:noWrap w:val="0"/>
            <w:vAlign w:val="center"/>
          </w:tcPr>
          <w:p w14:paraId="405D6DE7">
            <w:pPr>
              <w:keepNext w:val="0"/>
              <w:keepLines w:val="0"/>
              <w:pageBreakBefore w:val="0"/>
              <w:kinsoku/>
              <w:wordWrap/>
              <w:overflowPunct/>
              <w:topLinePunct w:val="0"/>
              <w:autoSpaceDE/>
              <w:autoSpaceDN/>
              <w:bidi w:val="0"/>
              <w:adjustRightInd w:val="0"/>
              <w:snapToGrid w:val="0"/>
              <w:spacing w:line="360" w:lineRule="auto"/>
              <w:textAlignment w:val="auto"/>
              <w:rPr>
                <w:rFonts w:ascii="宋体" w:hAnsi="宋体"/>
                <w:sz w:val="22"/>
                <w:szCs w:val="22"/>
              </w:rPr>
            </w:pPr>
            <w:r>
              <w:rPr>
                <w:rFonts w:hint="eastAsia" w:ascii="宋体" w:hAnsi="宋体"/>
                <w:b/>
                <w:sz w:val="22"/>
                <w:szCs w:val="22"/>
              </w:rPr>
              <w:t>九、其他规定</w:t>
            </w:r>
          </w:p>
        </w:tc>
      </w:tr>
      <w:tr w14:paraId="2425822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38D6C413">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sz w:val="22"/>
                <w:szCs w:val="22"/>
              </w:rPr>
            </w:pPr>
            <w:r>
              <w:rPr>
                <w:rFonts w:hint="eastAsia" w:ascii="宋体" w:hAnsi="宋体"/>
                <w:sz w:val="22"/>
                <w:szCs w:val="22"/>
              </w:rPr>
              <w:t>第35.1</w:t>
            </w:r>
            <w:r>
              <w:rPr>
                <w:rFonts w:hint="eastAsia" w:ascii="宋体" w:hAnsi="宋体" w:cs="宋体"/>
                <w:kern w:val="0"/>
                <w:sz w:val="22"/>
                <w:szCs w:val="22"/>
                <w:lang w:val="zh-CN"/>
              </w:rPr>
              <w:t>（</w:t>
            </w:r>
            <w:r>
              <w:rPr>
                <w:rFonts w:hint="eastAsia" w:ascii="宋体" w:hAnsi="宋体" w:cs="宋体"/>
                <w:kern w:val="0"/>
                <w:sz w:val="22"/>
                <w:szCs w:val="22"/>
              </w:rPr>
              <w:t>1</w:t>
            </w:r>
            <w:r>
              <w:rPr>
                <w:rFonts w:hint="eastAsia" w:ascii="宋体" w:hAnsi="宋体" w:cs="宋体"/>
                <w:kern w:val="0"/>
                <w:sz w:val="22"/>
                <w:szCs w:val="22"/>
                <w:lang w:val="zh-CN"/>
              </w:rPr>
              <w:t>）</w:t>
            </w:r>
            <w:r>
              <w:rPr>
                <w:rFonts w:hint="eastAsia" w:ascii="宋体" w:hAnsi="宋体" w:cs="宋体"/>
                <w:kern w:val="0"/>
                <w:sz w:val="22"/>
                <w:szCs w:val="22"/>
              </w:rPr>
              <w:t>项</w:t>
            </w:r>
          </w:p>
        </w:tc>
        <w:tc>
          <w:tcPr>
            <w:tcW w:w="2409" w:type="dxa"/>
            <w:noWrap w:val="0"/>
            <w:vAlign w:val="center"/>
          </w:tcPr>
          <w:p w14:paraId="138C0EE9">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Times New Roman"/>
                <w:sz w:val="22"/>
                <w:szCs w:val="22"/>
                <w:highlight w:val="none"/>
                <w:lang w:val="en-US" w:eastAsia="zh-CN"/>
              </w:rPr>
            </w:pPr>
            <w:r>
              <w:rPr>
                <w:rFonts w:hint="eastAsia" w:ascii="宋体" w:hAnsi="宋体" w:eastAsia="宋体" w:cs="Times New Roman"/>
                <w:sz w:val="22"/>
                <w:szCs w:val="22"/>
                <w:highlight w:val="none"/>
                <w:lang w:val="en-US" w:eastAsia="zh-CN"/>
              </w:rPr>
              <w:t>合同预付款的支付比例和支付条件</w:t>
            </w:r>
          </w:p>
        </w:tc>
        <w:tc>
          <w:tcPr>
            <w:tcW w:w="4962" w:type="dxa"/>
            <w:noWrap w:val="0"/>
            <w:vAlign w:val="center"/>
          </w:tcPr>
          <w:p w14:paraId="1456941E">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2"/>
                <w:szCs w:val="22"/>
                <w:highlight w:val="none"/>
                <w:lang w:val="en-US" w:eastAsia="zh-CN"/>
              </w:rPr>
            </w:pPr>
            <w:r>
              <w:rPr>
                <w:rFonts w:hint="eastAsia" w:ascii="宋体" w:hAnsi="宋体" w:eastAsia="宋体" w:cs="Times New Roman"/>
                <w:sz w:val="22"/>
                <w:szCs w:val="22"/>
                <w:highlight w:val="none"/>
                <w:lang w:val="en-US" w:eastAsia="zh-CN"/>
              </w:rPr>
              <w:t>1、工作人员就餐实行刷卡消费，按季度由机关事务服务中心提供实际消费结算报表至各单位。</w:t>
            </w:r>
          </w:p>
          <w:p w14:paraId="02710ED2">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2"/>
                <w:szCs w:val="22"/>
                <w:highlight w:val="none"/>
                <w:lang w:val="en-US" w:eastAsia="zh-CN"/>
              </w:rPr>
            </w:pPr>
            <w:r>
              <w:rPr>
                <w:rFonts w:hint="eastAsia" w:ascii="宋体" w:hAnsi="宋体" w:eastAsia="宋体" w:cs="Times New Roman"/>
                <w:sz w:val="22"/>
                <w:szCs w:val="22"/>
                <w:highlight w:val="none"/>
                <w:lang w:val="en-US" w:eastAsia="zh-CN"/>
              </w:rPr>
              <w:t>2、承包人员工资结算于次月15号前由承包方开具劳务发票，机关事务服务中心根据当月的测评结果对劳务承包款进行结算。</w:t>
            </w:r>
          </w:p>
          <w:p w14:paraId="6D293CFD">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2"/>
                <w:szCs w:val="22"/>
                <w:highlight w:val="none"/>
                <w:lang w:val="en-US" w:eastAsia="zh-CN"/>
              </w:rPr>
            </w:pPr>
            <w:r>
              <w:rPr>
                <w:rFonts w:hint="eastAsia" w:ascii="宋体" w:hAnsi="宋体" w:eastAsia="宋体" w:cs="Times New Roman"/>
                <w:sz w:val="22"/>
                <w:szCs w:val="22"/>
                <w:highlight w:val="none"/>
                <w:lang w:val="en-US" w:eastAsia="zh-CN"/>
              </w:rPr>
              <w:t>3、各单位的接待经费票据由承包方派专人送单至各单位，并签收后将回单交机关事务服务中心。</w:t>
            </w:r>
          </w:p>
        </w:tc>
      </w:tr>
      <w:tr w14:paraId="723867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560" w:type="dxa"/>
            <w:noWrap w:val="0"/>
            <w:vAlign w:val="center"/>
          </w:tcPr>
          <w:p w14:paraId="22113D14">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Times New Roman"/>
                <w:kern w:val="2"/>
                <w:sz w:val="22"/>
                <w:szCs w:val="22"/>
                <w:lang w:val="en-US" w:eastAsia="zh-CN" w:bidi="ar-SA"/>
              </w:rPr>
            </w:pPr>
            <w:r>
              <w:rPr>
                <w:rFonts w:hint="eastAsia" w:ascii="宋体" w:hAnsi="宋体" w:eastAsia="宋体"/>
                <w:sz w:val="22"/>
                <w:szCs w:val="22"/>
              </w:rPr>
              <w:t>第35.1</w:t>
            </w:r>
            <w:r>
              <w:rPr>
                <w:rFonts w:hint="eastAsia" w:ascii="宋体" w:hAnsi="宋体" w:eastAsia="宋体"/>
                <w:kern w:val="0"/>
                <w:sz w:val="22"/>
                <w:szCs w:val="22"/>
                <w:lang w:val="zh-CN"/>
              </w:rPr>
              <w:t>款</w:t>
            </w:r>
          </w:p>
        </w:tc>
        <w:tc>
          <w:tcPr>
            <w:tcW w:w="2409" w:type="dxa"/>
            <w:noWrap w:val="0"/>
            <w:vAlign w:val="center"/>
          </w:tcPr>
          <w:p w14:paraId="2543A59E">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Times New Roman"/>
                <w:sz w:val="22"/>
                <w:szCs w:val="22"/>
                <w:lang w:val="en-US" w:eastAsia="zh-CN"/>
              </w:rPr>
            </w:pPr>
            <w:r>
              <w:rPr>
                <w:rFonts w:hint="eastAsia" w:ascii="宋体" w:hAnsi="宋体" w:eastAsia="宋体" w:cs="Times New Roman"/>
                <w:sz w:val="22"/>
                <w:szCs w:val="22"/>
                <w:lang w:val="en-US" w:eastAsia="zh-CN"/>
              </w:rPr>
              <w:t>招标代理服务费</w:t>
            </w:r>
          </w:p>
        </w:tc>
        <w:tc>
          <w:tcPr>
            <w:tcW w:w="4962" w:type="dxa"/>
            <w:noWrap w:val="0"/>
            <w:vAlign w:val="center"/>
          </w:tcPr>
          <w:p w14:paraId="63B4B5B2">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2"/>
                <w:szCs w:val="22"/>
                <w:highlight w:val="none"/>
                <w:lang w:val="en-US" w:eastAsia="zh-CN"/>
              </w:rPr>
            </w:pPr>
            <w:r>
              <w:rPr>
                <w:rFonts w:hint="eastAsia" w:ascii="宋体" w:hAnsi="宋体" w:eastAsia="宋体" w:cs="Times New Roman"/>
                <w:sz w:val="22"/>
                <w:szCs w:val="22"/>
                <w:highlight w:val="none"/>
                <w:lang w:val="en-US" w:eastAsia="zh-CN"/>
              </w:rPr>
              <w:t>1.招标代理服务费由采购人交纳；</w:t>
            </w:r>
          </w:p>
          <w:p w14:paraId="2F5D559A">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default" w:ascii="宋体" w:hAnsi="宋体" w:eastAsia="宋体" w:cs="Times New Roman"/>
                <w:sz w:val="22"/>
                <w:szCs w:val="22"/>
                <w:highlight w:val="none"/>
                <w:lang w:val="en-US" w:eastAsia="zh-CN"/>
              </w:rPr>
            </w:pPr>
            <w:r>
              <w:rPr>
                <w:rFonts w:hint="eastAsia" w:ascii="宋体" w:hAnsi="宋体" w:eastAsia="宋体" w:cs="Times New Roman"/>
                <w:sz w:val="22"/>
                <w:szCs w:val="22"/>
                <w:highlight w:val="none"/>
                <w:lang w:val="en-US" w:eastAsia="zh-CN"/>
              </w:rPr>
              <w:t>2.收费标准：按采购人与代理机构签订的政府采购代理协议约定向采购人收取代理服务费</w:t>
            </w:r>
            <w:r>
              <w:rPr>
                <w:rFonts w:hint="eastAsia" w:ascii="宋体" w:hAnsi="宋体" w:cs="Times New Roman"/>
                <w:sz w:val="22"/>
                <w:szCs w:val="22"/>
                <w:highlight w:val="none"/>
                <w:lang w:val="en-US" w:eastAsia="zh-CN"/>
              </w:rPr>
              <w:t>16100</w:t>
            </w:r>
            <w:r>
              <w:rPr>
                <w:rFonts w:hint="eastAsia" w:ascii="宋体" w:hAnsi="宋体" w:eastAsia="宋体" w:cs="Times New Roman"/>
                <w:sz w:val="22"/>
                <w:szCs w:val="22"/>
                <w:highlight w:val="none"/>
                <w:lang w:val="en-US" w:eastAsia="zh-CN"/>
              </w:rPr>
              <w:t>元</w:t>
            </w:r>
            <w:r>
              <w:rPr>
                <w:rFonts w:hint="eastAsia" w:ascii="宋体" w:hAnsi="宋体" w:cs="Times New Roman"/>
                <w:sz w:val="22"/>
                <w:szCs w:val="22"/>
                <w:highlight w:val="none"/>
                <w:lang w:val="en-US" w:eastAsia="zh-CN"/>
              </w:rPr>
              <w:t>。（具体以中标金额的1%计取）</w:t>
            </w:r>
          </w:p>
          <w:p w14:paraId="7FEF4664">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2"/>
                <w:szCs w:val="22"/>
                <w:lang w:val="en-US" w:eastAsia="zh-CN"/>
              </w:rPr>
            </w:pPr>
            <w:r>
              <w:rPr>
                <w:rFonts w:hint="eastAsia" w:ascii="宋体" w:hAnsi="宋体" w:eastAsia="宋体" w:cs="Times New Roman"/>
                <w:sz w:val="22"/>
                <w:szCs w:val="22"/>
                <w:highlight w:val="none"/>
                <w:lang w:val="en-US" w:eastAsia="zh-CN"/>
              </w:rPr>
              <w:t>3.</w:t>
            </w:r>
            <w:bookmarkStart w:id="23" w:name="OLE_LINK6"/>
            <w:bookmarkStart w:id="24" w:name="OLE_LINK7"/>
            <w:r>
              <w:rPr>
                <w:rFonts w:hint="eastAsia" w:ascii="宋体" w:hAnsi="宋体" w:eastAsia="宋体" w:cs="Times New Roman"/>
                <w:sz w:val="22"/>
                <w:szCs w:val="22"/>
                <w:highlight w:val="none"/>
                <w:lang w:val="en-US" w:eastAsia="zh-CN"/>
              </w:rPr>
              <w:t>无论开标结果怎样（成功、流标或终止采购等），所有投标人均须负责自身参加投标所产生的全部费用</w:t>
            </w:r>
            <w:bookmarkEnd w:id="23"/>
            <w:bookmarkEnd w:id="24"/>
            <w:r>
              <w:rPr>
                <w:rFonts w:hint="eastAsia" w:ascii="宋体" w:hAnsi="宋体" w:eastAsia="宋体" w:cs="Times New Roman"/>
                <w:sz w:val="22"/>
                <w:szCs w:val="22"/>
                <w:highlight w:val="none"/>
                <w:lang w:val="en-US" w:eastAsia="zh-CN"/>
              </w:rPr>
              <w:t>。</w:t>
            </w:r>
          </w:p>
        </w:tc>
      </w:tr>
      <w:tr w14:paraId="16C8404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5" w:hRule="atLeast"/>
        </w:trPr>
        <w:tc>
          <w:tcPr>
            <w:tcW w:w="1560" w:type="dxa"/>
            <w:noWrap w:val="0"/>
            <w:vAlign w:val="center"/>
          </w:tcPr>
          <w:p w14:paraId="272E336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Times New Roman"/>
                <w:kern w:val="2"/>
                <w:sz w:val="22"/>
                <w:szCs w:val="22"/>
                <w:lang w:val="en-US" w:eastAsia="zh-CN" w:bidi="ar-SA"/>
              </w:rPr>
            </w:pPr>
            <w:r>
              <w:rPr>
                <w:rFonts w:hint="eastAsia" w:ascii="宋体" w:hAnsi="宋体" w:eastAsia="宋体"/>
                <w:sz w:val="22"/>
                <w:szCs w:val="22"/>
              </w:rPr>
              <w:t>第27.1</w:t>
            </w:r>
            <w:r>
              <w:rPr>
                <w:rFonts w:hint="eastAsia" w:ascii="宋体" w:hAnsi="宋体" w:eastAsia="宋体"/>
                <w:kern w:val="0"/>
                <w:sz w:val="22"/>
                <w:szCs w:val="22"/>
                <w:lang w:val="zh-CN"/>
              </w:rPr>
              <w:t>款</w:t>
            </w:r>
          </w:p>
        </w:tc>
        <w:tc>
          <w:tcPr>
            <w:tcW w:w="2409" w:type="dxa"/>
            <w:noWrap w:val="0"/>
            <w:vAlign w:val="center"/>
          </w:tcPr>
          <w:p w14:paraId="5C12B264">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kern w:val="2"/>
                <w:sz w:val="22"/>
                <w:szCs w:val="22"/>
                <w:lang w:val="en-US" w:eastAsia="zh-CN" w:bidi="ar-SA"/>
              </w:rPr>
            </w:pPr>
            <w:r>
              <w:rPr>
                <w:rFonts w:hint="eastAsia" w:ascii="宋体" w:hAnsi="宋体" w:eastAsia="宋体"/>
                <w:sz w:val="22"/>
                <w:szCs w:val="22"/>
              </w:rPr>
              <w:t>评标委员会成员</w:t>
            </w:r>
          </w:p>
        </w:tc>
        <w:tc>
          <w:tcPr>
            <w:tcW w:w="4962" w:type="dxa"/>
            <w:noWrap w:val="0"/>
            <w:vAlign w:val="center"/>
          </w:tcPr>
          <w:p w14:paraId="188435AB">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sz w:val="22"/>
                <w:szCs w:val="22"/>
                <w:lang w:val="en-US" w:eastAsia="zh-CN"/>
              </w:rPr>
            </w:pPr>
            <w:r>
              <w:rPr>
                <w:rFonts w:hint="eastAsia" w:ascii="宋体" w:hAnsi="宋体" w:eastAsia="宋体"/>
                <w:sz w:val="22"/>
                <w:szCs w:val="22"/>
                <w:highlight w:val="none"/>
                <w:lang w:val="en-US" w:eastAsia="zh-CN"/>
              </w:rPr>
              <w:t>评标委员会由5人单数组成</w:t>
            </w:r>
            <w:r>
              <w:rPr>
                <w:rFonts w:hint="eastAsia" w:ascii="宋体" w:hAnsi="宋体"/>
                <w:sz w:val="22"/>
                <w:szCs w:val="22"/>
                <w:highlight w:val="none"/>
                <w:lang w:val="en-US" w:eastAsia="zh-CN"/>
              </w:rPr>
              <w:t>，</w:t>
            </w:r>
            <w:r>
              <w:rPr>
                <w:rFonts w:hint="eastAsia" w:ascii="宋体" w:hAnsi="宋体" w:eastAsia="宋体"/>
                <w:sz w:val="22"/>
                <w:szCs w:val="22"/>
                <w:highlight w:val="none"/>
                <w:lang w:val="en-US" w:eastAsia="zh-CN"/>
              </w:rPr>
              <w:t>从湖南省政府采购评标专家库中随机抽取产生。</w:t>
            </w:r>
          </w:p>
        </w:tc>
      </w:tr>
      <w:tr w14:paraId="22EC07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90" w:hRule="atLeast"/>
        </w:trPr>
        <w:tc>
          <w:tcPr>
            <w:tcW w:w="1560" w:type="dxa"/>
            <w:noWrap w:val="0"/>
            <w:vAlign w:val="center"/>
          </w:tcPr>
          <w:p w14:paraId="28D72227">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第35.1</w:t>
            </w:r>
            <w:r>
              <w:rPr>
                <w:rFonts w:hint="eastAsia" w:ascii="宋体" w:hAnsi="宋体" w:cs="宋体"/>
                <w:kern w:val="0"/>
                <w:sz w:val="22"/>
                <w:szCs w:val="22"/>
                <w:lang w:val="zh-CN"/>
              </w:rPr>
              <w:t>（</w:t>
            </w:r>
            <w:r>
              <w:rPr>
                <w:rFonts w:hint="eastAsia" w:ascii="宋体" w:hAnsi="宋体" w:cs="宋体"/>
                <w:kern w:val="0"/>
                <w:sz w:val="22"/>
                <w:szCs w:val="22"/>
              </w:rPr>
              <w:t>2</w:t>
            </w:r>
            <w:r>
              <w:rPr>
                <w:rFonts w:hint="eastAsia" w:ascii="宋体" w:hAnsi="宋体" w:cs="宋体"/>
                <w:kern w:val="0"/>
                <w:sz w:val="22"/>
                <w:szCs w:val="22"/>
                <w:lang w:val="zh-CN"/>
              </w:rPr>
              <w:t>）</w:t>
            </w:r>
            <w:r>
              <w:rPr>
                <w:rFonts w:hint="eastAsia" w:ascii="宋体" w:hAnsi="宋体" w:cs="宋体"/>
                <w:kern w:val="0"/>
                <w:sz w:val="22"/>
                <w:szCs w:val="22"/>
              </w:rPr>
              <w:t>项</w:t>
            </w:r>
          </w:p>
        </w:tc>
        <w:tc>
          <w:tcPr>
            <w:tcW w:w="2409" w:type="dxa"/>
            <w:noWrap w:val="0"/>
            <w:vAlign w:val="center"/>
          </w:tcPr>
          <w:p w14:paraId="6DDB5512">
            <w:pPr>
              <w:keepNext w:val="0"/>
              <w:keepLines w:val="0"/>
              <w:pageBreakBefore w:val="0"/>
              <w:kinsoku/>
              <w:wordWrap/>
              <w:overflowPunct/>
              <w:topLinePunct w:val="0"/>
              <w:autoSpaceDE/>
              <w:autoSpaceDN/>
              <w:bidi w:val="0"/>
              <w:adjustRightInd w:val="0"/>
              <w:snapToGrid w:val="0"/>
              <w:spacing w:line="360" w:lineRule="auto"/>
              <w:jc w:val="left"/>
              <w:textAlignment w:val="auto"/>
              <w:rPr>
                <w:rFonts w:ascii="宋体" w:hAnsi="宋体"/>
                <w:sz w:val="22"/>
                <w:szCs w:val="22"/>
              </w:rPr>
            </w:pPr>
            <w:r>
              <w:rPr>
                <w:rFonts w:hint="eastAsia" w:ascii="宋体" w:hAnsi="宋体"/>
                <w:sz w:val="22"/>
                <w:szCs w:val="22"/>
              </w:rPr>
              <w:t>质量保证金</w:t>
            </w:r>
          </w:p>
        </w:tc>
        <w:tc>
          <w:tcPr>
            <w:tcW w:w="4962" w:type="dxa"/>
            <w:noWrap w:val="0"/>
            <w:vAlign w:val="center"/>
          </w:tcPr>
          <w:p w14:paraId="085BBD4B">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sz w:val="22"/>
                <w:szCs w:val="22"/>
              </w:rPr>
            </w:pPr>
            <w:r>
              <w:rPr>
                <w:rFonts w:hint="eastAsia" w:ascii="宋体" w:hAnsi="宋体"/>
                <w:sz w:val="22"/>
                <w:szCs w:val="22"/>
              </w:rPr>
              <w:t>/</w:t>
            </w:r>
          </w:p>
        </w:tc>
      </w:tr>
      <w:tr w14:paraId="75F1884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1560" w:type="dxa"/>
            <w:noWrap w:val="0"/>
            <w:vAlign w:val="center"/>
          </w:tcPr>
          <w:p w14:paraId="6B66EA5A">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sz w:val="22"/>
                <w:szCs w:val="22"/>
              </w:rPr>
            </w:pPr>
            <w:r>
              <w:rPr>
                <w:rFonts w:hint="eastAsia" w:ascii="宋体" w:hAnsi="宋体"/>
                <w:sz w:val="22"/>
                <w:szCs w:val="22"/>
              </w:rPr>
              <w:t>第35.2</w:t>
            </w:r>
            <w:r>
              <w:rPr>
                <w:rFonts w:hint="eastAsia" w:ascii="宋体" w:hAnsi="宋体" w:cs="宋体"/>
                <w:kern w:val="0"/>
                <w:sz w:val="22"/>
                <w:szCs w:val="22"/>
                <w:lang w:val="zh-CN"/>
              </w:rPr>
              <w:t>款</w:t>
            </w:r>
          </w:p>
        </w:tc>
        <w:tc>
          <w:tcPr>
            <w:tcW w:w="2409" w:type="dxa"/>
            <w:noWrap w:val="0"/>
            <w:vAlign w:val="center"/>
          </w:tcPr>
          <w:p w14:paraId="694F36C5">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sz w:val="22"/>
                <w:szCs w:val="22"/>
              </w:rPr>
            </w:pPr>
            <w:r>
              <w:rPr>
                <w:rFonts w:hint="eastAsia" w:ascii="宋体" w:hAnsi="宋体"/>
                <w:sz w:val="22"/>
                <w:szCs w:val="22"/>
              </w:rPr>
              <w:t>其他说明</w:t>
            </w:r>
          </w:p>
        </w:tc>
        <w:tc>
          <w:tcPr>
            <w:tcW w:w="4962" w:type="dxa"/>
            <w:noWrap w:val="0"/>
            <w:vAlign w:val="center"/>
          </w:tcPr>
          <w:p w14:paraId="06D6D03F">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Times New Roman"/>
                <w:sz w:val="22"/>
                <w:szCs w:val="22"/>
                <w:lang w:val="en-US" w:eastAsia="zh-CN"/>
              </w:rPr>
            </w:pPr>
            <w:r>
              <w:rPr>
                <w:rFonts w:hint="eastAsia" w:ascii="宋体" w:hAnsi="宋体" w:eastAsia="宋体" w:cs="Times New Roman"/>
                <w:sz w:val="22"/>
                <w:szCs w:val="22"/>
                <w:lang w:val="en-US" w:eastAsia="zh-CN"/>
              </w:rPr>
              <w:t>注：投标文件的制作：</w:t>
            </w:r>
          </w:p>
          <w:p w14:paraId="0D231422">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Times New Roman"/>
                <w:sz w:val="22"/>
                <w:szCs w:val="22"/>
                <w:lang w:val="en-US" w:eastAsia="zh-CN"/>
              </w:rPr>
            </w:pPr>
            <w:r>
              <w:rPr>
                <w:rFonts w:hint="eastAsia" w:ascii="宋体" w:hAnsi="宋体" w:eastAsia="宋体" w:cs="Times New Roman"/>
                <w:sz w:val="22"/>
                <w:szCs w:val="22"/>
                <w:lang w:val="en-US" w:eastAsia="zh-CN"/>
              </w:rPr>
              <w:t>1.导入文件/文件夹时必须分类，文件/文件夹名字必须与内容一致；</w:t>
            </w:r>
          </w:p>
          <w:p w14:paraId="377625AB">
            <w:pPr>
              <w:keepNext w:val="0"/>
              <w:keepLines w:val="0"/>
              <w:pageBreakBefore w:val="0"/>
              <w:kinsoku/>
              <w:wordWrap/>
              <w:overflowPunct/>
              <w:topLinePunct w:val="0"/>
              <w:autoSpaceDE/>
              <w:autoSpaceDN/>
              <w:bidi w:val="0"/>
              <w:spacing w:line="360" w:lineRule="auto"/>
              <w:textAlignment w:val="auto"/>
              <w:rPr>
                <w:rFonts w:hint="eastAsia" w:ascii="宋体" w:hAnsi="宋体" w:eastAsia="宋体" w:cs="Times New Roman"/>
                <w:sz w:val="22"/>
                <w:szCs w:val="22"/>
                <w:lang w:val="en-US" w:eastAsia="zh-CN"/>
              </w:rPr>
            </w:pPr>
            <w:r>
              <w:rPr>
                <w:rFonts w:hint="eastAsia" w:ascii="宋体" w:hAnsi="宋体" w:eastAsia="宋体" w:cs="Times New Roman"/>
                <w:sz w:val="22"/>
                <w:szCs w:val="22"/>
                <w:lang w:val="en-US" w:eastAsia="zh-CN"/>
              </w:rPr>
              <w:t>2.同一部分或同一类文件/文件夹必须建立目录和页码，目录、页码、索引、内容必须完全关联上；</w:t>
            </w:r>
          </w:p>
          <w:p w14:paraId="114E6867">
            <w:pPr>
              <w:keepNext w:val="0"/>
              <w:keepLines w:val="0"/>
              <w:pageBreakBefore w:val="0"/>
              <w:kinsoku/>
              <w:wordWrap/>
              <w:overflowPunct/>
              <w:topLinePunct w:val="0"/>
              <w:autoSpaceDE/>
              <w:autoSpaceDN/>
              <w:bidi w:val="0"/>
              <w:spacing w:line="360" w:lineRule="auto"/>
              <w:textAlignment w:val="auto"/>
              <w:rPr>
                <w:sz w:val="22"/>
                <w:szCs w:val="22"/>
              </w:rPr>
            </w:pPr>
            <w:r>
              <w:rPr>
                <w:rFonts w:hint="eastAsia" w:ascii="宋体" w:hAnsi="宋体" w:eastAsia="宋体" w:cs="Times New Roman"/>
                <w:sz w:val="22"/>
                <w:szCs w:val="22"/>
                <w:lang w:val="en-US" w:eastAsia="zh-CN"/>
              </w:rPr>
              <w:t>3.同一部分或类别的多个文件作为一个整体文件导入，且word文件在整体文件内建立目录、页码、索引等。</w:t>
            </w:r>
          </w:p>
        </w:tc>
      </w:tr>
    </w:tbl>
    <w:p w14:paraId="1F76603E">
      <w:pPr>
        <w:keepNext/>
        <w:keepLines/>
        <w:adjustRightInd w:val="0"/>
        <w:snapToGrid w:val="0"/>
        <w:spacing w:beforeLines="50" w:line="360" w:lineRule="auto"/>
        <w:jc w:val="both"/>
        <w:outlineLvl w:val="1"/>
        <w:rPr>
          <w:rFonts w:hint="eastAsia" w:ascii="黑体" w:hAnsi="黑体" w:eastAsia="黑体"/>
          <w:b/>
          <w:bCs/>
          <w:sz w:val="28"/>
          <w:szCs w:val="28"/>
        </w:rPr>
      </w:pPr>
      <w:bookmarkStart w:id="25" w:name="_Toc20651195"/>
    </w:p>
    <w:p w14:paraId="53A4B811">
      <w:pPr>
        <w:pStyle w:val="2"/>
        <w:rPr>
          <w:rFonts w:hint="eastAsia" w:ascii="黑体" w:hAnsi="黑体" w:eastAsia="黑体"/>
          <w:b/>
          <w:bCs/>
          <w:sz w:val="28"/>
          <w:szCs w:val="28"/>
        </w:rPr>
      </w:pPr>
    </w:p>
    <w:p w14:paraId="7D978841">
      <w:pPr>
        <w:rPr>
          <w:rFonts w:hint="eastAsia" w:ascii="黑体" w:hAnsi="黑体" w:eastAsia="黑体"/>
          <w:b/>
          <w:bCs/>
          <w:sz w:val="28"/>
          <w:szCs w:val="28"/>
        </w:rPr>
      </w:pPr>
    </w:p>
    <w:p w14:paraId="2CD0C8FC">
      <w:pPr>
        <w:pStyle w:val="2"/>
        <w:rPr>
          <w:rFonts w:hint="eastAsia" w:ascii="黑体" w:hAnsi="黑体" w:eastAsia="黑体"/>
          <w:b/>
          <w:bCs/>
          <w:sz w:val="28"/>
          <w:szCs w:val="28"/>
        </w:rPr>
      </w:pPr>
    </w:p>
    <w:p w14:paraId="0028821D">
      <w:pPr>
        <w:rPr>
          <w:rFonts w:hint="eastAsia" w:ascii="黑体" w:hAnsi="黑体" w:eastAsia="黑体"/>
          <w:b/>
          <w:bCs/>
          <w:sz w:val="28"/>
          <w:szCs w:val="28"/>
        </w:rPr>
      </w:pPr>
    </w:p>
    <w:p w14:paraId="6F6D8B7A">
      <w:pPr>
        <w:pStyle w:val="2"/>
        <w:keepNext/>
        <w:keepLines/>
        <w:pageBreakBefore w:val="0"/>
        <w:widowControl w:val="0"/>
        <w:kinsoku/>
        <w:wordWrap/>
        <w:overflowPunct/>
        <w:topLinePunct w:val="0"/>
        <w:autoSpaceDE/>
        <w:autoSpaceDN/>
        <w:bidi w:val="0"/>
        <w:adjustRightInd/>
        <w:snapToGrid/>
        <w:spacing w:before="0" w:after="0" w:line="416" w:lineRule="auto"/>
        <w:textAlignment w:val="auto"/>
        <w:rPr>
          <w:rFonts w:hint="eastAsia"/>
        </w:rPr>
      </w:pPr>
    </w:p>
    <w:p w14:paraId="65291D45">
      <w:pPr>
        <w:rPr>
          <w:rFonts w:hint="eastAsia"/>
        </w:rPr>
      </w:pPr>
    </w:p>
    <w:p w14:paraId="03E50191">
      <w:pPr>
        <w:rPr>
          <w:rFonts w:hint="eastAsia"/>
        </w:rPr>
      </w:pPr>
    </w:p>
    <w:p w14:paraId="363A978E">
      <w:pPr>
        <w:keepNext/>
        <w:keepLines/>
        <w:adjustRightInd w:val="0"/>
        <w:snapToGrid w:val="0"/>
        <w:spacing w:beforeLines="50" w:line="360" w:lineRule="auto"/>
        <w:jc w:val="center"/>
        <w:outlineLvl w:val="1"/>
        <w:rPr>
          <w:rFonts w:ascii="黑体" w:hAnsi="黑体" w:eastAsia="黑体"/>
          <w:b/>
          <w:bCs/>
          <w:sz w:val="28"/>
          <w:szCs w:val="28"/>
        </w:rPr>
      </w:pPr>
      <w:bookmarkStart w:id="26" w:name="_Toc31979"/>
      <w:r>
        <w:rPr>
          <w:rFonts w:hint="eastAsia" w:ascii="黑体" w:hAnsi="黑体" w:eastAsia="黑体"/>
          <w:b/>
          <w:bCs/>
          <w:sz w:val="28"/>
          <w:szCs w:val="28"/>
        </w:rPr>
        <w:t>第二节 投标须知</w:t>
      </w:r>
      <w:bookmarkEnd w:id="25"/>
      <w:bookmarkEnd w:id="26"/>
    </w:p>
    <w:p w14:paraId="335EB090">
      <w:pPr>
        <w:keepNext/>
        <w:keepLines/>
        <w:pageBreakBefore w:val="0"/>
        <w:widowControl w:val="0"/>
        <w:kinsoku/>
        <w:wordWrap/>
        <w:overflowPunct/>
        <w:topLinePunct w:val="0"/>
        <w:autoSpaceDE/>
        <w:autoSpaceDN/>
        <w:bidi w:val="0"/>
        <w:adjustRightInd w:val="0"/>
        <w:snapToGrid w:val="0"/>
        <w:spacing w:line="360" w:lineRule="auto"/>
        <w:jc w:val="center"/>
        <w:textAlignment w:val="auto"/>
        <w:outlineLvl w:val="2"/>
        <w:rPr>
          <w:rFonts w:hint="eastAsia" w:ascii="黑体" w:hAnsi="黑体" w:eastAsia="黑体"/>
          <w:b/>
          <w:bCs/>
          <w:sz w:val="28"/>
          <w:szCs w:val="28"/>
        </w:rPr>
      </w:pPr>
      <w:bookmarkStart w:id="27" w:name="_Toc22299"/>
      <w:bookmarkStart w:id="28" w:name="_Toc29438"/>
      <w:bookmarkStart w:id="29" w:name="_Toc20651196"/>
      <w:r>
        <w:rPr>
          <w:rFonts w:hint="eastAsia" w:ascii="黑体" w:hAnsi="黑体" w:eastAsia="黑体"/>
          <w:b/>
          <w:bCs/>
          <w:sz w:val="28"/>
          <w:szCs w:val="28"/>
        </w:rPr>
        <w:t>一、总则</w:t>
      </w:r>
      <w:bookmarkEnd w:id="27"/>
      <w:bookmarkEnd w:id="28"/>
      <w:bookmarkEnd w:id="29"/>
    </w:p>
    <w:p w14:paraId="1ACF0C3B">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1. 适用范围</w:t>
      </w:r>
    </w:p>
    <w:p w14:paraId="33FA00A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1.1本招标文件仅适用于本章第一节</w:t>
      </w:r>
      <w:r>
        <w:rPr>
          <w:rFonts w:hint="eastAsia" w:ascii="宋体" w:hAnsi="宋体"/>
          <w:b/>
          <w:bCs/>
          <w:szCs w:val="21"/>
        </w:rPr>
        <w:t>【投标须知前附表】</w:t>
      </w:r>
      <w:r>
        <w:rPr>
          <w:rFonts w:hint="eastAsia" w:ascii="宋体" w:hAnsi="宋体"/>
          <w:szCs w:val="21"/>
        </w:rPr>
        <w:t>中所叙述的采购项目。</w:t>
      </w:r>
    </w:p>
    <w:p w14:paraId="4E9F423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1.2</w:t>
      </w:r>
      <w:r>
        <w:rPr>
          <w:rFonts w:hint="eastAsia" w:ascii="宋体" w:hAnsi="宋体"/>
          <w:b/>
          <w:szCs w:val="21"/>
        </w:rPr>
        <w:t>【投标须知前附表】</w:t>
      </w:r>
      <w:r>
        <w:rPr>
          <w:rFonts w:hint="eastAsia" w:ascii="宋体" w:hAnsi="宋体"/>
          <w:szCs w:val="21"/>
        </w:rPr>
        <w:t>规定采购项目或者采购包属于“预留采购份额”的，投标人应当符合本章第33.7款规定，否则，其</w:t>
      </w:r>
      <w:r>
        <w:rPr>
          <w:rFonts w:hint="eastAsia" w:ascii="宋体" w:hAnsi="宋体"/>
          <w:b/>
          <w:szCs w:val="21"/>
        </w:rPr>
        <w:t>投标无效</w:t>
      </w:r>
      <w:r>
        <w:rPr>
          <w:rFonts w:hint="eastAsia" w:ascii="宋体" w:hAnsi="宋体"/>
          <w:szCs w:val="21"/>
        </w:rPr>
        <w:t>。</w:t>
      </w:r>
    </w:p>
    <w:p w14:paraId="3E859691">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2. 定义</w:t>
      </w:r>
    </w:p>
    <w:p w14:paraId="62FCA42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2.1采购项目联系人姓名和电话见</w:t>
      </w:r>
      <w:r>
        <w:rPr>
          <w:rFonts w:hint="eastAsia" w:ascii="宋体" w:hAnsi="宋体"/>
          <w:b/>
          <w:szCs w:val="21"/>
        </w:rPr>
        <w:t>【投标须知前附表】</w:t>
      </w:r>
      <w:r>
        <w:rPr>
          <w:rFonts w:hint="eastAsia" w:ascii="宋体" w:hAnsi="宋体"/>
          <w:szCs w:val="21"/>
        </w:rPr>
        <w:t>。</w:t>
      </w:r>
    </w:p>
    <w:p w14:paraId="220945D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2.2采购人名称、地址、电话、联系人见</w:t>
      </w:r>
      <w:r>
        <w:rPr>
          <w:rFonts w:hint="eastAsia" w:ascii="宋体" w:hAnsi="宋体"/>
          <w:b/>
          <w:szCs w:val="21"/>
        </w:rPr>
        <w:t>【投标须知前附表】</w:t>
      </w:r>
      <w:r>
        <w:rPr>
          <w:rFonts w:hint="eastAsia" w:ascii="宋体" w:hAnsi="宋体"/>
          <w:szCs w:val="21"/>
        </w:rPr>
        <w:t>。</w:t>
      </w:r>
    </w:p>
    <w:p w14:paraId="6105A23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2.3采购代理机构名称、地址、电话、联系人见</w:t>
      </w:r>
      <w:r>
        <w:rPr>
          <w:rFonts w:hint="eastAsia" w:ascii="宋体" w:hAnsi="宋体"/>
          <w:b/>
          <w:szCs w:val="21"/>
        </w:rPr>
        <w:t>【投标须知前附表】。</w:t>
      </w:r>
    </w:p>
    <w:p w14:paraId="6F82B4E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
          <w:szCs w:val="21"/>
        </w:rPr>
      </w:pPr>
      <w:r>
        <w:rPr>
          <w:rFonts w:hint="eastAsia" w:ascii="宋体" w:hAnsi="宋体"/>
          <w:szCs w:val="21"/>
        </w:rPr>
        <w:t>2.4投标人系指响应招标、参加投标竞争的法人、其他组织或自然人。</w:t>
      </w:r>
    </w:p>
    <w:p w14:paraId="1A68930F">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3. 投标人的资格要求</w:t>
      </w:r>
    </w:p>
    <w:p w14:paraId="2955D37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3.1投标人应当符合</w:t>
      </w:r>
      <w:r>
        <w:rPr>
          <w:rFonts w:hint="eastAsia" w:ascii="宋体" w:hAnsi="宋体"/>
          <w:b/>
          <w:szCs w:val="21"/>
        </w:rPr>
        <w:t>【投标须知前附表】</w:t>
      </w:r>
      <w:r>
        <w:rPr>
          <w:rFonts w:hint="eastAsia" w:ascii="宋体" w:hAnsi="宋体"/>
          <w:szCs w:val="21"/>
        </w:rPr>
        <w:t>规定的投标人资格条件。</w:t>
      </w:r>
    </w:p>
    <w:p w14:paraId="3EECBCB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3.2</w:t>
      </w:r>
      <w:r>
        <w:rPr>
          <w:rFonts w:hint="eastAsia" w:ascii="宋体" w:hAnsi="宋体"/>
          <w:b/>
          <w:szCs w:val="21"/>
        </w:rPr>
        <w:t>【投标须知前附表】</w:t>
      </w:r>
      <w:r>
        <w:rPr>
          <w:rFonts w:hint="eastAsia" w:ascii="宋体" w:hAnsi="宋体"/>
          <w:szCs w:val="21"/>
        </w:rPr>
        <w:t>规定接受联合体形式投标的，投标人除应符合本章第3.1</w:t>
      </w:r>
      <w:r>
        <w:rPr>
          <w:rFonts w:hint="eastAsia" w:ascii="宋体" w:hAnsi="宋体" w:cs="宋体"/>
          <w:kern w:val="0"/>
          <w:szCs w:val="21"/>
          <w:lang w:val="zh-CN"/>
        </w:rPr>
        <w:t>款</w:t>
      </w:r>
      <w:r>
        <w:rPr>
          <w:rFonts w:hint="eastAsia" w:ascii="宋体" w:hAnsi="宋体"/>
          <w:szCs w:val="21"/>
        </w:rPr>
        <w:t xml:space="preserve">规定的资格条件外，还应遵守以下规定： </w:t>
      </w:r>
    </w:p>
    <w:p w14:paraId="53FE502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（l）联合体中有同类资质的供应商按照联合体分工承担相同工作的，应当按照资质等级较低的供应商确定资质等级。</w:t>
      </w:r>
    </w:p>
    <w:p w14:paraId="76C470E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（2）联合体各方应按招标文件提供的格式签订联合体协议书，明确联合体牵头人和各方的权利义务、合同工作量比例；</w:t>
      </w:r>
    </w:p>
    <w:p w14:paraId="4489BF4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s="宋体"/>
          <w:kern w:val="0"/>
          <w:szCs w:val="21"/>
          <w:lang w:val="zh-CN"/>
        </w:rPr>
      </w:pPr>
      <w:r>
        <w:rPr>
          <w:rFonts w:hint="eastAsia" w:ascii="宋体" w:hAnsi="宋体"/>
          <w:szCs w:val="21"/>
        </w:rPr>
        <w:t>（3）联合体各方签订联合体协议书后，</w:t>
      </w:r>
      <w:r>
        <w:rPr>
          <w:rFonts w:hint="eastAsia" w:ascii="宋体" w:hAnsi="宋体" w:cs="宋体"/>
          <w:kern w:val="0"/>
          <w:szCs w:val="21"/>
          <w:lang w:val="zh-CN"/>
        </w:rPr>
        <w:t>不得再单独参加或者与其他投标人组成新的联合体参加同一合同项下的采购活动。</w:t>
      </w:r>
    </w:p>
    <w:p w14:paraId="17A65551">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 xml:space="preserve">4. 投标费用 </w:t>
      </w:r>
    </w:p>
    <w:p w14:paraId="5008560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4.1投标人应自行承担所有参与投标的相关费用，不论投标的结果如何，采购人、采购代理机构均无义务和责任承担这些费用。</w:t>
      </w:r>
    </w:p>
    <w:p w14:paraId="2221C306">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sz w:val="24"/>
        </w:rPr>
      </w:pPr>
      <w:r>
        <w:rPr>
          <w:rFonts w:hint="eastAsia" w:ascii="宋体" w:hAnsi="宋体"/>
          <w:b/>
          <w:sz w:val="24"/>
        </w:rPr>
        <w:t>5．组织现场考察或者召开答疑会</w:t>
      </w:r>
    </w:p>
    <w:p w14:paraId="5DF63F5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rPr>
        <w:t>5.1采购人、采购代理机构可以在</w:t>
      </w:r>
      <w:r>
        <w:rPr>
          <w:rFonts w:hint="eastAsia" w:ascii="宋体" w:hAnsi="宋体"/>
          <w:b/>
          <w:szCs w:val="21"/>
        </w:rPr>
        <w:t>【投标须知前附表】</w:t>
      </w:r>
      <w:r>
        <w:rPr>
          <w:rFonts w:hint="eastAsia" w:ascii="宋体" w:hAnsi="宋体"/>
          <w:szCs w:val="21"/>
        </w:rPr>
        <w:t>规定的招标文件提供期限截止后，组织已获取招标文件的潜在投标人现场考察或者召开开标前答疑会。</w:t>
      </w:r>
    </w:p>
    <w:p w14:paraId="36A36D6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5.2获取招标文件的潜在投标人应按</w:t>
      </w:r>
      <w:r>
        <w:rPr>
          <w:rFonts w:hint="eastAsia" w:ascii="宋体" w:hAnsi="宋体"/>
          <w:b/>
          <w:szCs w:val="21"/>
        </w:rPr>
        <w:t>【投标须知前附表】</w:t>
      </w:r>
      <w:r>
        <w:rPr>
          <w:rFonts w:hint="eastAsia" w:ascii="宋体" w:hAnsi="宋体"/>
          <w:szCs w:val="21"/>
        </w:rPr>
        <w:t>规定参加现场考察或者答疑会；如不参加，其风险由其自行承担。</w:t>
      </w:r>
    </w:p>
    <w:p w14:paraId="7425CA5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5.3潜在投标人现场考察或者参加答疑会的费用由自己承担，现场考察期间所发生的人身伤害及财产损失由自己负责。</w:t>
      </w:r>
    </w:p>
    <w:p w14:paraId="32A57B1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5.4采购人、采购代理机构不对投标人据此而做出的推论、理解和结论负责。投标人一旦中标，不得以任何借口，提出额外补偿，或延长合同期限的要求。</w:t>
      </w:r>
    </w:p>
    <w:p w14:paraId="39DFA0F9">
      <w:pPr>
        <w:pStyle w:val="2"/>
        <w:pageBreakBefore w:val="0"/>
        <w:widowControl w:val="0"/>
        <w:kinsoku/>
        <w:wordWrap/>
        <w:overflowPunct/>
        <w:topLinePunct w:val="0"/>
        <w:autoSpaceDE/>
        <w:autoSpaceDN/>
        <w:bidi w:val="0"/>
        <w:adjustRightInd w:val="0"/>
        <w:snapToGrid w:val="0"/>
        <w:spacing w:before="0" w:after="0" w:line="360" w:lineRule="auto"/>
        <w:jc w:val="center"/>
        <w:textAlignment w:val="auto"/>
        <w:rPr>
          <w:rFonts w:ascii="黑体" w:hAnsi="黑体" w:eastAsia="黑体"/>
          <w:sz w:val="28"/>
          <w:szCs w:val="28"/>
        </w:rPr>
      </w:pPr>
      <w:bookmarkStart w:id="30" w:name="_Toc16177"/>
      <w:bookmarkStart w:id="31" w:name="_Toc27553"/>
      <w:r>
        <w:rPr>
          <w:rFonts w:hint="eastAsia" w:ascii="黑体" w:hAnsi="黑体" w:eastAsia="黑体"/>
          <w:sz w:val="28"/>
          <w:szCs w:val="28"/>
        </w:rPr>
        <w:t>二、招标文件</w:t>
      </w:r>
      <w:bookmarkEnd w:id="30"/>
      <w:bookmarkEnd w:id="31"/>
    </w:p>
    <w:p w14:paraId="09F81A99">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6. 招标文件的构成</w:t>
      </w:r>
    </w:p>
    <w:p w14:paraId="5409A6C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6.1 招标文件共七章，各章内容如下：</w:t>
      </w:r>
    </w:p>
    <w:p w14:paraId="219B615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第一章 投标邀请</w:t>
      </w:r>
    </w:p>
    <w:p w14:paraId="28B78AE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第二章 投标须知</w:t>
      </w:r>
    </w:p>
    <w:p w14:paraId="1051150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第三章 资格审查</w:t>
      </w:r>
    </w:p>
    <w:p w14:paraId="1459B25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第四章 评标方法及标准</w:t>
      </w:r>
    </w:p>
    <w:p w14:paraId="6BF093C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第五章 采购需求</w:t>
      </w:r>
    </w:p>
    <w:p w14:paraId="0BE9125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第六章 政府采购合同</w:t>
      </w:r>
    </w:p>
    <w:p w14:paraId="117B3F4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第七章 投标文件的组成</w:t>
      </w:r>
    </w:p>
    <w:p w14:paraId="78F4860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s="宋体"/>
          <w:b/>
          <w:szCs w:val="21"/>
        </w:rPr>
      </w:pPr>
      <w:r>
        <w:rPr>
          <w:rFonts w:hint="eastAsia" w:ascii="宋体" w:hAnsi="宋体"/>
          <w:szCs w:val="21"/>
        </w:rPr>
        <w:t>6.2采购人、采购代理机构在提交投标文件截止时间前</w:t>
      </w:r>
      <w:r>
        <w:rPr>
          <w:rFonts w:hint="eastAsia" w:ascii="宋体" w:hAnsi="宋体" w:cs="宋体"/>
          <w:szCs w:val="21"/>
        </w:rPr>
        <w:t>对招标文件所作的澄清或者修改，构成招标文件的组成部分。</w:t>
      </w:r>
    </w:p>
    <w:p w14:paraId="194F90D7">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sz w:val="24"/>
        </w:rPr>
      </w:pPr>
      <w:r>
        <w:rPr>
          <w:rFonts w:hint="eastAsia" w:ascii="宋体" w:hAnsi="宋体"/>
          <w:b/>
          <w:sz w:val="24"/>
        </w:rPr>
        <w:t>7．偏离与实质性响应</w:t>
      </w:r>
    </w:p>
    <w:p w14:paraId="45FEAF7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rPr>
      </w:pPr>
      <w:r>
        <w:rPr>
          <w:rFonts w:hint="eastAsia" w:ascii="宋体" w:hAnsi="宋体"/>
        </w:rPr>
        <w:t>7.1投标人应当按照招标文件的要求编制投标文件。投标文件应当对招标文件提出的要求和条件作出明确响应。</w:t>
      </w:r>
    </w:p>
    <w:p w14:paraId="2E11F424">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rPr>
      </w:pPr>
      <w:r>
        <w:rPr>
          <w:rFonts w:hint="eastAsia" w:ascii="宋体" w:hAnsi="宋体"/>
        </w:rPr>
        <w:t>7.2偏离是指投标文件不响应或者不满足招标文件提出的要求和条件，分为实质性偏离和非实质性偏离。</w:t>
      </w:r>
    </w:p>
    <w:p w14:paraId="1667C7D8">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rPr>
      </w:pPr>
      <w:r>
        <w:rPr>
          <w:rFonts w:hint="eastAsia" w:ascii="宋体" w:hAnsi="宋体"/>
        </w:rPr>
        <w:t>7.3除法律、法规和招标文件规定的其他投标无效情形外，招标文件中用“★”符号标明的条款为实质性要求和条件，对其中任何一条的偏离，为实质性偏离，</w:t>
      </w:r>
      <w:r>
        <w:rPr>
          <w:rFonts w:hint="eastAsia" w:ascii="宋体" w:hAnsi="宋体"/>
          <w:b/>
        </w:rPr>
        <w:t>其投标无效</w:t>
      </w:r>
      <w:r>
        <w:rPr>
          <w:rFonts w:hint="eastAsia" w:ascii="宋体" w:hAnsi="宋体"/>
        </w:rPr>
        <w:t>。</w:t>
      </w:r>
    </w:p>
    <w:p w14:paraId="521CF26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7.4投标</w:t>
      </w:r>
      <w:r>
        <w:rPr>
          <w:rFonts w:hint="eastAsia" w:ascii="宋体" w:hAnsi="宋体"/>
          <w:szCs w:val="21"/>
        </w:rPr>
        <w:t>文件偏离招标文件的非实质性要求和条件，为非实质性偏离。非实质性偏离的范围和幅度应当符合</w:t>
      </w:r>
      <w:r>
        <w:rPr>
          <w:rFonts w:hint="eastAsia" w:ascii="宋体" w:hAnsi="宋体"/>
          <w:b/>
          <w:szCs w:val="21"/>
        </w:rPr>
        <w:t>【投标须知前附表】</w:t>
      </w:r>
      <w:r>
        <w:rPr>
          <w:rFonts w:hint="eastAsia" w:ascii="宋体" w:hAnsi="宋体"/>
          <w:szCs w:val="21"/>
        </w:rPr>
        <w:t>的规定，</w:t>
      </w:r>
      <w:r>
        <w:rPr>
          <w:rFonts w:hint="eastAsia" w:ascii="宋体" w:hAnsi="宋体"/>
          <w:b/>
          <w:szCs w:val="21"/>
        </w:rPr>
        <w:t>否</w:t>
      </w:r>
      <w:r>
        <w:rPr>
          <w:rFonts w:hint="eastAsia" w:ascii="宋体" w:hAnsi="宋体"/>
          <w:b/>
        </w:rPr>
        <w:t>则投标无效</w:t>
      </w:r>
      <w:r>
        <w:rPr>
          <w:rFonts w:hint="eastAsia" w:ascii="宋体" w:hAnsi="宋体"/>
        </w:rPr>
        <w:t>。</w:t>
      </w:r>
    </w:p>
    <w:p w14:paraId="6B1E24F7">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sz w:val="24"/>
        </w:rPr>
        <w:t>8. 询问</w:t>
      </w:r>
    </w:p>
    <w:p w14:paraId="4FAC177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8.1潜在投标人应仔细阅读和检查招标文件的全部内容。如有疑问，可以向采购人或者采购代理机构提出询问。</w:t>
      </w:r>
    </w:p>
    <w:p w14:paraId="7802ED43">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9. 招标文件的澄清或者修改</w:t>
      </w:r>
    </w:p>
    <w:p w14:paraId="167B394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9.1采购人、采购代理机构对已发出的招标文件进行必要澄清或者修改的，将在</w:t>
      </w:r>
      <w:r>
        <w:rPr>
          <w:rFonts w:hint="eastAsia" w:ascii="宋体" w:hAnsi="宋体"/>
          <w:b/>
          <w:szCs w:val="21"/>
        </w:rPr>
        <w:t>【投标须知前附表】</w:t>
      </w:r>
      <w:r>
        <w:rPr>
          <w:rFonts w:hint="eastAsia" w:ascii="宋体" w:hAnsi="宋体"/>
          <w:szCs w:val="21"/>
        </w:rPr>
        <w:t>规定的</w:t>
      </w:r>
      <w:r>
        <w:rPr>
          <w:rFonts w:hint="eastAsia" w:ascii="宋体" w:hAnsi="宋体"/>
        </w:rPr>
        <w:t>招标公告指定媒体上发布澄清或者修改公告。</w:t>
      </w:r>
    </w:p>
    <w:p w14:paraId="1993B98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cs="宋体"/>
          <w:kern w:val="0"/>
          <w:szCs w:val="21"/>
        </w:rPr>
        <w:t>9.2澄清或者修改</w:t>
      </w:r>
      <w:r>
        <w:rPr>
          <w:rFonts w:hint="eastAsia" w:ascii="宋体" w:hAnsi="宋体"/>
        </w:rPr>
        <w:t>的</w:t>
      </w:r>
      <w:r>
        <w:rPr>
          <w:rFonts w:hint="eastAsia" w:ascii="宋体" w:hAnsi="宋体" w:cs="宋体"/>
          <w:kern w:val="0"/>
          <w:szCs w:val="21"/>
        </w:rPr>
        <w:t>内容可能影响投标文件编制的，采购人、采购代理机构</w:t>
      </w:r>
      <w:r>
        <w:rPr>
          <w:rFonts w:hint="eastAsia" w:ascii="宋体" w:hAnsi="宋体"/>
        </w:rPr>
        <w:t>将</w:t>
      </w:r>
      <w:r>
        <w:rPr>
          <w:rFonts w:hint="eastAsia" w:ascii="宋体" w:hAnsi="宋体" w:cs="宋体"/>
          <w:kern w:val="0"/>
          <w:szCs w:val="21"/>
        </w:rPr>
        <w:t>在提交投标文件截止时间15日前，</w:t>
      </w:r>
      <w:r>
        <w:rPr>
          <w:rFonts w:hint="eastAsia" w:ascii="宋体" w:hAnsi="宋体"/>
        </w:rPr>
        <w:t>以书面形式通知所有获取招标文件的潜在投标人；不足15日的，将相应延长提交投标文件的截止时间。</w:t>
      </w:r>
    </w:p>
    <w:p w14:paraId="3C2190D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9</w:t>
      </w:r>
      <w:r>
        <w:rPr>
          <w:rFonts w:ascii="宋体" w:hAnsi="宋体"/>
        </w:rPr>
        <w:t>.3</w:t>
      </w:r>
      <w:r>
        <w:rPr>
          <w:rFonts w:hint="eastAsia" w:ascii="宋体" w:hAnsi="宋体"/>
        </w:rPr>
        <w:t>招标文件的提供期限届满后，获取招标文件的潜在投标人不足3家的，可以顺延提供期限，并在指定媒体上发布修改公告。</w:t>
      </w:r>
    </w:p>
    <w:p w14:paraId="04585A7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9.4 通过电子招标投标交易平台下载招标文件的，请获取招标文件的潜在投标人及时关注</w:t>
      </w:r>
      <w:r>
        <w:rPr>
          <w:rFonts w:hint="eastAsia" w:ascii="宋体" w:hAnsi="宋体"/>
          <w:szCs w:val="21"/>
        </w:rPr>
        <w:t>招标公告指定媒体</w:t>
      </w:r>
      <w:r>
        <w:rPr>
          <w:rFonts w:hint="eastAsia" w:ascii="宋体" w:hAnsi="宋体"/>
        </w:rPr>
        <w:t>发布的澄清或者修改公告，采购人、采购代理机构不再书面通知。</w:t>
      </w:r>
    </w:p>
    <w:p w14:paraId="043E1B37">
      <w:pPr>
        <w:pStyle w:val="2"/>
        <w:pageBreakBefore w:val="0"/>
        <w:widowControl w:val="0"/>
        <w:kinsoku/>
        <w:wordWrap/>
        <w:overflowPunct/>
        <w:topLinePunct w:val="0"/>
        <w:autoSpaceDE/>
        <w:autoSpaceDN/>
        <w:bidi w:val="0"/>
        <w:adjustRightInd w:val="0"/>
        <w:snapToGrid w:val="0"/>
        <w:spacing w:before="0" w:after="0" w:line="360" w:lineRule="auto"/>
        <w:jc w:val="center"/>
        <w:textAlignment w:val="auto"/>
        <w:rPr>
          <w:rFonts w:ascii="黑体" w:hAnsi="黑体" w:eastAsia="黑体"/>
          <w:sz w:val="28"/>
          <w:szCs w:val="28"/>
        </w:rPr>
      </w:pPr>
      <w:bookmarkStart w:id="32" w:name="_Toc4119"/>
      <w:bookmarkStart w:id="33" w:name="_Toc20717"/>
      <w:r>
        <w:rPr>
          <w:rFonts w:hint="eastAsia" w:ascii="黑体" w:hAnsi="黑体" w:eastAsia="黑体"/>
          <w:sz w:val="28"/>
          <w:szCs w:val="28"/>
        </w:rPr>
        <w:t>三、投标文件</w:t>
      </w:r>
      <w:bookmarkEnd w:id="32"/>
      <w:bookmarkEnd w:id="33"/>
    </w:p>
    <w:p w14:paraId="11924DA7">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10. 投标语言</w:t>
      </w:r>
    </w:p>
    <w:p w14:paraId="03DEEBD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10.1除专用术语外，投标人提交的投标文件及投标人与采购人、采购代理机构就有关投标的所有来往函电均使用中文。投标人可以提交其它语言的资料，但应附有中文注释，有差异时以中文为准。</w:t>
      </w:r>
    </w:p>
    <w:p w14:paraId="11286C9B">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sz w:val="24"/>
        </w:rPr>
      </w:pPr>
      <w:r>
        <w:rPr>
          <w:rFonts w:hint="eastAsia" w:ascii="宋体" w:hAnsi="宋体"/>
          <w:b/>
          <w:bCs/>
          <w:sz w:val="24"/>
        </w:rPr>
        <w:t xml:space="preserve">11. </w:t>
      </w:r>
      <w:r>
        <w:rPr>
          <w:rFonts w:hint="eastAsia" w:ascii="宋体" w:hAnsi="宋体"/>
          <w:b/>
          <w:sz w:val="24"/>
        </w:rPr>
        <w:t>计量单位</w:t>
      </w:r>
    </w:p>
    <w:p w14:paraId="70A576D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11.1所有计量均采用中华人民共和国法定计量单位。</w:t>
      </w:r>
    </w:p>
    <w:p w14:paraId="6825FA21">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sz w:val="24"/>
        </w:rPr>
        <w:t xml:space="preserve">12. </w:t>
      </w:r>
      <w:r>
        <w:rPr>
          <w:rFonts w:hint="eastAsia" w:ascii="宋体" w:hAnsi="宋体"/>
          <w:b/>
          <w:bCs/>
          <w:sz w:val="24"/>
        </w:rPr>
        <w:t>投标文件的组成</w:t>
      </w:r>
    </w:p>
    <w:p w14:paraId="17C5311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12.1投标文件由如下内容组成：</w:t>
      </w:r>
    </w:p>
    <w:p w14:paraId="462ECD10">
      <w:pPr>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ascii="宋体" w:hAnsi="宋体"/>
          <w:b/>
          <w:szCs w:val="21"/>
        </w:rPr>
      </w:pPr>
      <w:r>
        <w:rPr>
          <w:rFonts w:hint="eastAsia" w:ascii="宋体" w:hAnsi="宋体"/>
          <w:b/>
          <w:szCs w:val="21"/>
        </w:rPr>
        <w:t>第一部分 资格证明文件</w:t>
      </w:r>
    </w:p>
    <w:p w14:paraId="019B56E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（1）开标一览表</w:t>
      </w:r>
    </w:p>
    <w:p w14:paraId="68CE964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olor w:val="auto"/>
          <w:szCs w:val="21"/>
        </w:rPr>
      </w:pPr>
      <w:r>
        <w:rPr>
          <w:rFonts w:hint="eastAsia" w:ascii="宋体" w:hAnsi="宋体"/>
          <w:color w:val="auto"/>
          <w:szCs w:val="21"/>
        </w:rPr>
        <w:t>（2）投标保</w:t>
      </w:r>
      <w:r>
        <w:rPr>
          <w:rFonts w:hint="eastAsia" w:ascii="宋体" w:hAnsi="宋体"/>
          <w:bCs/>
          <w:color w:val="auto"/>
          <w:szCs w:val="21"/>
        </w:rPr>
        <w:t>证金（不要求提供保证金）</w:t>
      </w:r>
    </w:p>
    <w:p w14:paraId="1B7C5D9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w:t>
      </w:r>
      <w:r>
        <w:rPr>
          <w:rFonts w:hint="eastAsia" w:ascii="宋体" w:hAnsi="宋体" w:eastAsia="宋体"/>
          <w:szCs w:val="21"/>
        </w:rPr>
        <w:t>法定代表人（单位负责人）身份证明或授权委托书</w:t>
      </w:r>
    </w:p>
    <w:p w14:paraId="173973A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（4）投标人提供的资格证明文件</w:t>
      </w:r>
    </w:p>
    <w:p w14:paraId="15D96338">
      <w:pPr>
        <w:pageBreakBefore w:val="0"/>
        <w:widowControl w:val="0"/>
        <w:kinsoku/>
        <w:wordWrap/>
        <w:overflowPunct/>
        <w:topLinePunct w:val="0"/>
        <w:autoSpaceDE/>
        <w:autoSpaceDN/>
        <w:bidi w:val="0"/>
        <w:adjustRightInd w:val="0"/>
        <w:snapToGrid w:val="0"/>
        <w:spacing w:line="360" w:lineRule="auto"/>
        <w:ind w:firstLine="482" w:firstLineChars="200"/>
        <w:jc w:val="left"/>
        <w:textAlignment w:val="auto"/>
        <w:rPr>
          <w:rFonts w:ascii="宋体" w:hAnsi="宋体"/>
          <w:b/>
          <w:szCs w:val="21"/>
        </w:rPr>
      </w:pPr>
      <w:r>
        <w:rPr>
          <w:rFonts w:hint="eastAsia" w:ascii="宋体" w:hAnsi="宋体"/>
          <w:b/>
          <w:szCs w:val="21"/>
        </w:rPr>
        <w:t>第二部分 商务和技术文件</w:t>
      </w:r>
    </w:p>
    <w:p w14:paraId="1C1167A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（5）投标函</w:t>
      </w:r>
    </w:p>
    <w:p w14:paraId="35FB417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（6）分项报价</w:t>
      </w:r>
    </w:p>
    <w:p w14:paraId="2173485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（7）采购需求响应</w:t>
      </w:r>
    </w:p>
    <w:p w14:paraId="15F8A63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（8）合同条款偏离表</w:t>
      </w:r>
    </w:p>
    <w:p w14:paraId="64EC09D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（9）采购需求偏离表</w:t>
      </w:r>
    </w:p>
    <w:p w14:paraId="7B29BAB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Cs w:val="21"/>
        </w:rPr>
      </w:pPr>
      <w:r>
        <w:rPr>
          <w:rFonts w:hint="eastAsia" w:ascii="宋体" w:hAnsi="宋体"/>
          <w:szCs w:val="21"/>
        </w:rPr>
        <w:t>（10）享受政府采购政策优惠的证明资料</w:t>
      </w:r>
    </w:p>
    <w:p w14:paraId="3AB9573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Cs w:val="21"/>
        </w:rPr>
      </w:pPr>
      <w:r>
        <w:rPr>
          <w:rFonts w:hint="eastAsia" w:ascii="宋体" w:hAnsi="宋体"/>
          <w:szCs w:val="21"/>
        </w:rPr>
        <w:t>（11）投标服务符合招标文件规定的证明文件</w:t>
      </w:r>
    </w:p>
    <w:p w14:paraId="43DB73B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Cs w:val="21"/>
        </w:rPr>
      </w:pPr>
      <w:r>
        <w:rPr>
          <w:rFonts w:hint="eastAsia" w:ascii="宋体" w:hAnsi="宋体"/>
          <w:szCs w:val="21"/>
        </w:rPr>
        <w:t>（12）投标人认为需提供的其他资料</w:t>
      </w:r>
    </w:p>
    <w:p w14:paraId="5F46622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default" w:ascii="宋体" w:hAnsi="宋体"/>
          <w:szCs w:val="21"/>
          <w:lang w:val="en-US" w:eastAsia="zh-CN"/>
        </w:rPr>
      </w:pPr>
      <w:r>
        <w:rPr>
          <w:rFonts w:hint="eastAsia" w:ascii="宋体" w:hAnsi="宋体"/>
          <w:szCs w:val="21"/>
          <w:lang w:eastAsia="zh-CN"/>
        </w:rPr>
        <w:t>（</w:t>
      </w:r>
      <w:r>
        <w:rPr>
          <w:rFonts w:hint="eastAsia" w:ascii="宋体" w:hAnsi="宋体"/>
          <w:szCs w:val="21"/>
          <w:lang w:val="en-US" w:eastAsia="zh-CN"/>
        </w:rPr>
        <w:t>13</w:t>
      </w:r>
      <w:r>
        <w:rPr>
          <w:rFonts w:hint="eastAsia" w:ascii="宋体" w:hAnsi="宋体"/>
          <w:szCs w:val="21"/>
          <w:lang w:eastAsia="zh-CN"/>
        </w:rPr>
        <w:t>）</w:t>
      </w:r>
      <w:r>
        <w:rPr>
          <w:rFonts w:hint="eastAsia" w:ascii="宋体" w:hAnsi="宋体"/>
          <w:szCs w:val="21"/>
          <w:lang w:val="en-US" w:eastAsia="zh-CN"/>
        </w:rPr>
        <w:t>技术部分</w:t>
      </w:r>
    </w:p>
    <w:p w14:paraId="687AAEF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12.2投标人可以编制资格审查索引表、符合性审查索引表、评审索引表，以方便采购人、采购代理机构、评标委员会在资格审查及评审时查阅。</w:t>
      </w:r>
    </w:p>
    <w:p w14:paraId="4806F6C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12.3根据《政府采购法》第四十二条的规定，投标人无论中标与否，其投标文件不予退还。</w:t>
      </w:r>
    </w:p>
    <w:p w14:paraId="6F88377E">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13. 投标报价</w:t>
      </w:r>
    </w:p>
    <w:p w14:paraId="10B6991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13.1投标人应以招标文件规定的供货及服务要求、责任范围和合同条件为基础，按第七章“投标文件的组成”的有关规定进行报价。投标人的报价应包括为完成本项目所要求的全部内容可能发生的全部费用和税费、规费、保险费（如果有）等，采购人将不再支付报价以外的任何费用。</w:t>
      </w:r>
    </w:p>
    <w:p w14:paraId="38A5AF9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ascii="宋体" w:hAnsi="宋体"/>
          <w:szCs w:val="21"/>
        </w:rPr>
        <w:t>1</w:t>
      </w:r>
      <w:r>
        <w:rPr>
          <w:rFonts w:hint="eastAsia" w:ascii="宋体" w:hAnsi="宋体"/>
          <w:szCs w:val="21"/>
        </w:rPr>
        <w:t>3</w:t>
      </w:r>
      <w:r>
        <w:rPr>
          <w:rFonts w:ascii="宋体" w:hAnsi="宋体"/>
          <w:szCs w:val="21"/>
        </w:rPr>
        <w:t>.</w:t>
      </w:r>
      <w:r>
        <w:rPr>
          <w:rFonts w:hint="eastAsia" w:ascii="宋体" w:hAnsi="宋体"/>
          <w:szCs w:val="21"/>
        </w:rPr>
        <w:t>2投标人的投标报价不得超过采购项目预算，也不得超过最高限价(如果设定)，否则其</w:t>
      </w:r>
      <w:r>
        <w:rPr>
          <w:rFonts w:hint="eastAsia" w:ascii="宋体" w:hAnsi="宋体"/>
          <w:b/>
          <w:szCs w:val="21"/>
        </w:rPr>
        <w:t>投标无效</w:t>
      </w:r>
      <w:r>
        <w:rPr>
          <w:rFonts w:hint="eastAsia" w:ascii="宋体" w:hAnsi="宋体"/>
          <w:szCs w:val="21"/>
        </w:rPr>
        <w:t>。采购项目预算、最高限价见</w:t>
      </w:r>
      <w:r>
        <w:rPr>
          <w:rFonts w:hint="eastAsia" w:ascii="宋体" w:hAnsi="宋体"/>
          <w:b/>
          <w:szCs w:val="21"/>
        </w:rPr>
        <w:t>【投标须知前附表】</w:t>
      </w:r>
      <w:r>
        <w:rPr>
          <w:rFonts w:hint="eastAsia" w:ascii="宋体" w:hAnsi="宋体"/>
          <w:szCs w:val="21"/>
        </w:rPr>
        <w:t>。</w:t>
      </w:r>
    </w:p>
    <w:p w14:paraId="3320C42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szCs w:val="21"/>
        </w:rPr>
        <w:t>13.3 投标人应在分项报价明细表中对每项内容给予详细分项</w:t>
      </w:r>
      <w:r>
        <w:rPr>
          <w:rFonts w:hint="eastAsia" w:ascii="宋体" w:hAnsi="宋体"/>
        </w:rPr>
        <w:t>报价。</w:t>
      </w:r>
    </w:p>
    <w:p w14:paraId="38C44C8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13.4投标人对采购项目内容只允许有一个投标报价，否则其</w:t>
      </w:r>
      <w:r>
        <w:rPr>
          <w:rFonts w:hint="eastAsia" w:ascii="宋体" w:hAnsi="宋体"/>
          <w:b/>
        </w:rPr>
        <w:t>投标无效</w:t>
      </w:r>
      <w:r>
        <w:rPr>
          <w:rFonts w:hint="eastAsia" w:ascii="宋体" w:hAnsi="宋体"/>
        </w:rPr>
        <w:t>。</w:t>
      </w:r>
    </w:p>
    <w:p w14:paraId="5F8A6B2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13.5采购人不接受投标人给予的赠品、回扣或者与采购无关的其他商品、服务。如有赠与行为，其</w:t>
      </w:r>
      <w:r>
        <w:rPr>
          <w:rFonts w:hint="eastAsia" w:ascii="宋体" w:hAnsi="宋体"/>
          <w:b/>
        </w:rPr>
        <w:t>投标无效</w:t>
      </w:r>
      <w:r>
        <w:rPr>
          <w:rFonts w:hint="eastAsia" w:ascii="宋体" w:hAnsi="宋体"/>
        </w:rPr>
        <w:t>。</w:t>
      </w:r>
    </w:p>
    <w:p w14:paraId="42B7669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13.6采用固定价格定价方式的采购项目，</w:t>
      </w:r>
      <w:r>
        <w:rPr>
          <w:rFonts w:hint="eastAsia" w:ascii="宋体" w:hAnsi="宋体"/>
        </w:rPr>
        <w:t>投标文件中标明的价格在合同执行过程中是固定不变的，不得以任何理由予以变更。任何包含价格调整要求和条件的投标，其</w:t>
      </w:r>
      <w:r>
        <w:rPr>
          <w:rFonts w:hint="eastAsia" w:ascii="宋体" w:hAnsi="宋体"/>
          <w:b/>
        </w:rPr>
        <w:t>投标无效</w:t>
      </w:r>
      <w:r>
        <w:rPr>
          <w:rFonts w:hint="eastAsia" w:ascii="宋体" w:hAnsi="宋体"/>
        </w:rPr>
        <w:t>。</w:t>
      </w:r>
    </w:p>
    <w:p w14:paraId="0E3644D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13.7投标人在投标截止时间前修改“开标一览表”中的投标报价的，应同时修改投标文件“分项报价明细表”“享受政府采购政策优惠的证明资料”以及“联合体协议书”（如果影响）等相关内容。此修改须符合本章第22.1款的有关要求。</w:t>
      </w:r>
    </w:p>
    <w:p w14:paraId="7D92ADC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rPr>
      </w:pPr>
      <w:r>
        <w:rPr>
          <w:rFonts w:hint="eastAsia" w:ascii="宋体" w:hAnsi="宋体"/>
        </w:rPr>
        <w:t>13.8投标报价的其他要求见</w:t>
      </w:r>
      <w:r>
        <w:rPr>
          <w:rFonts w:hint="eastAsia" w:ascii="宋体" w:hAnsi="宋体"/>
          <w:b/>
          <w:szCs w:val="21"/>
        </w:rPr>
        <w:t>【投标须知前附表】</w:t>
      </w:r>
      <w:r>
        <w:rPr>
          <w:rFonts w:hint="eastAsia" w:ascii="宋体" w:hAnsi="宋体"/>
        </w:rPr>
        <w:t xml:space="preserve">。 </w:t>
      </w:r>
    </w:p>
    <w:p w14:paraId="37BCC8C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lang w:val="en-US" w:eastAsia="zh-CN"/>
        </w:rPr>
      </w:pPr>
      <w:r>
        <w:rPr>
          <w:rFonts w:hint="eastAsia" w:ascii="宋体" w:hAnsi="宋体" w:eastAsia="宋体" w:cs="Times New Roman"/>
          <w:lang w:val="en-US" w:eastAsia="zh-CN"/>
        </w:rPr>
        <w:t>13.9评标评委会应当在符合性审查完成后，根据财政部《关于推动解决政府采购异常低价问题的通知》(财库(2026]2号)文件，按以下要求启动异常低价投标(响应)审查程序：</w:t>
      </w:r>
    </w:p>
    <w:p w14:paraId="5CC8621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lang w:val="en-US" w:eastAsia="zh-CN"/>
        </w:rPr>
      </w:pPr>
      <w:r>
        <w:rPr>
          <w:rFonts w:hint="eastAsia" w:ascii="宋体" w:hAnsi="宋体" w:eastAsia="宋体" w:cs="Times New Roman"/>
          <w:lang w:val="en-US" w:eastAsia="zh-CN"/>
        </w:rPr>
        <w:t>一、本项目评审中出现下列情形之一的，评审委员会应当启动异常低价投标(响应)审查程序：</w:t>
      </w:r>
    </w:p>
    <w:p w14:paraId="329FF2D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lang w:val="en-US" w:eastAsia="zh-CN"/>
        </w:rPr>
      </w:pPr>
      <w:r>
        <w:rPr>
          <w:rFonts w:hint="eastAsia" w:ascii="宋体" w:hAnsi="宋体" w:eastAsia="宋体" w:cs="Times New Roman"/>
          <w:lang w:val="en-US" w:eastAsia="zh-CN"/>
        </w:rPr>
        <w:t>1、投标(响应)报价低于全部通过符合性审查供应商投标(响应)报价平均值65%的，即投标(响应)报价&lt;全部通过符合性审查供应商投标(响应)报价平均值x65%；</w:t>
      </w:r>
    </w:p>
    <w:p w14:paraId="3BD227D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lang w:val="en-US" w:eastAsia="zh-CN"/>
        </w:rPr>
      </w:pPr>
      <w:r>
        <w:rPr>
          <w:rFonts w:hint="eastAsia" w:ascii="宋体" w:hAnsi="宋体" w:eastAsia="宋体" w:cs="Times New Roman"/>
          <w:lang w:val="en-US" w:eastAsia="zh-CN"/>
        </w:rPr>
        <w:t>2、投标(响应)报价低于通过符合性审查的次低报价供应商投标(响应)振价</w:t>
      </w:r>
      <w:r>
        <w:rPr>
          <w:rFonts w:hint="eastAsia" w:ascii="宋体" w:hAnsi="宋体" w:cs="Times New Roman"/>
          <w:lang w:val="en-US" w:eastAsia="zh-CN"/>
        </w:rPr>
        <w:t>6</w:t>
      </w:r>
      <w:r>
        <w:rPr>
          <w:rFonts w:hint="eastAsia" w:ascii="宋体" w:hAnsi="宋体" w:eastAsia="宋体" w:cs="Times New Roman"/>
          <w:lang w:val="en-US" w:eastAsia="zh-CN"/>
        </w:rPr>
        <w:t>5%的，即投标(响应)报价&lt;通过符合性审查的次低报价供应商投标(响应)报价x65%；</w:t>
      </w:r>
    </w:p>
    <w:p w14:paraId="2A46605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lang w:val="en-US" w:eastAsia="zh-CN"/>
        </w:rPr>
      </w:pPr>
      <w:r>
        <w:rPr>
          <w:rFonts w:hint="eastAsia" w:ascii="宋体" w:hAnsi="宋体" w:eastAsia="宋体" w:cs="Times New Roman"/>
          <w:lang w:val="en-US" w:eastAsia="zh-CN"/>
        </w:rPr>
        <w:t>3、投标(响应)报价低于采购项目最高限价65%的，即投标(响应)报价&lt;采购项目最高限价x65%；</w:t>
      </w:r>
    </w:p>
    <w:p w14:paraId="3E66A7C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Times New Roman"/>
          <w:lang w:val="en-US" w:eastAsia="zh-CN"/>
        </w:rPr>
      </w:pPr>
      <w:r>
        <w:rPr>
          <w:rFonts w:hint="eastAsia" w:ascii="宋体" w:hAnsi="宋体" w:eastAsia="宋体" w:cs="Times New Roman"/>
          <w:lang w:val="en-US" w:eastAsia="zh-CN"/>
        </w:rPr>
        <w:t>4、评审委员会基于专业判断，认为供应商报价过低，有可能影响产品质量或者不能诚信履约的其他情形。</w:t>
      </w:r>
    </w:p>
    <w:p w14:paraId="776A193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rPr>
      </w:pPr>
      <w:r>
        <w:rPr>
          <w:rFonts w:hint="eastAsia" w:ascii="宋体" w:hAnsi="宋体" w:eastAsia="宋体" w:cs="Times New Roman"/>
          <w:lang w:val="en-US" w:eastAsia="zh-CN"/>
        </w:rPr>
        <w:t>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为30分钟。其中，属于第3项情形，供应商已随投标(响应)文件一并提交相关书面说明及必要的证明材料的，在评审现场可不再重复提交。三、评审委员会依据专业经验，参考同类项目中标(成交)价格、类似产品市场价格水平、行业人工菱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3422E8C2">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sz w:val="24"/>
        </w:rPr>
        <w:t xml:space="preserve">14. </w:t>
      </w:r>
      <w:r>
        <w:rPr>
          <w:rFonts w:hint="eastAsia" w:ascii="宋体" w:hAnsi="宋体"/>
          <w:b/>
          <w:bCs/>
          <w:sz w:val="24"/>
        </w:rPr>
        <w:t>投标人的资格证明文件（未进行资格预审的）</w:t>
      </w:r>
    </w:p>
    <w:p w14:paraId="39F1DA3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rPr>
      </w:pPr>
      <w:r>
        <w:rPr>
          <w:rFonts w:hint="eastAsia" w:ascii="宋体" w:hAnsi="宋体"/>
        </w:rPr>
        <w:t>14.1</w:t>
      </w:r>
      <w:r>
        <w:rPr>
          <w:rFonts w:hint="eastAsia" w:ascii="宋体" w:hAnsi="宋体"/>
          <w:szCs w:val="21"/>
        </w:rPr>
        <w:t>除</w:t>
      </w:r>
      <w:r>
        <w:rPr>
          <w:rFonts w:hint="eastAsia" w:ascii="宋体" w:hAnsi="宋体"/>
          <w:b/>
          <w:szCs w:val="21"/>
        </w:rPr>
        <w:t>【投标须知前附表】</w:t>
      </w:r>
      <w:r>
        <w:rPr>
          <w:rFonts w:hint="eastAsia" w:ascii="宋体" w:hAnsi="宋体"/>
          <w:szCs w:val="21"/>
        </w:rPr>
        <w:t>另有规</w:t>
      </w:r>
      <w:r>
        <w:rPr>
          <w:rFonts w:hint="eastAsia" w:ascii="宋体" w:hAnsi="宋体"/>
        </w:rPr>
        <w:t>定外，投标人应按下列规定提供资格证明文件。</w:t>
      </w:r>
    </w:p>
    <w:p w14:paraId="4C531F7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rPr>
      </w:pPr>
      <w:r>
        <w:rPr>
          <w:rFonts w:hint="eastAsia" w:ascii="宋体" w:hAnsi="宋体"/>
        </w:rPr>
        <w:t>（1）</w:t>
      </w:r>
      <w:r>
        <w:rPr>
          <w:rFonts w:hint="eastAsia" w:ascii="宋体" w:hAnsi="宋体"/>
          <w:b/>
        </w:rPr>
        <w:t>法人或者其他组织的营业执照等主体资格证明文件，自然人的身份证明</w:t>
      </w:r>
      <w:r>
        <w:rPr>
          <w:rFonts w:hint="eastAsia" w:ascii="宋体" w:hAnsi="宋体"/>
        </w:rPr>
        <w:t>：投标人为法人的，应提交营业执照或法人登记证书的复印件；投标人为非法人组织的，应提交依法登记证书复印件；投标人为个体工商户的，应提交个体工商户营业执照复印件；投标人为自然人的，应提交自然人的身份证明复印件。</w:t>
      </w:r>
    </w:p>
    <w:p w14:paraId="46B4AF95">
      <w:pPr>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b/>
        </w:rPr>
      </w:pPr>
      <w:r>
        <w:rPr>
          <w:rFonts w:hint="eastAsia" w:ascii="宋体" w:hAnsi="宋体"/>
          <w:b/>
        </w:rPr>
        <w:t>（2）湖南省政府采购供应商资格承诺函(格式)</w:t>
      </w:r>
      <w:r>
        <w:rPr>
          <w:rFonts w:hint="eastAsia" w:ascii="宋体" w:hAnsi="宋体"/>
          <w:b/>
          <w:lang w:eastAsia="zh-CN"/>
        </w:rPr>
        <w:t>、</w:t>
      </w:r>
      <w:r>
        <w:rPr>
          <w:rFonts w:hint="eastAsia" w:ascii="宋体" w:hAnsi="宋体"/>
          <w:b/>
        </w:rPr>
        <w:t>投标人资格声明（格式）</w:t>
      </w:r>
    </w:p>
    <w:p w14:paraId="3D63DD63">
      <w:pPr>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ascii="宋体" w:hAnsi="宋体"/>
          <w:b/>
        </w:rPr>
      </w:pPr>
      <w:r>
        <w:rPr>
          <w:rFonts w:hint="eastAsia" w:ascii="宋体" w:hAnsi="宋体"/>
          <w:b/>
        </w:rPr>
        <w:t>（3）符合特定资格条件证明材料或者情况说明。</w:t>
      </w:r>
    </w:p>
    <w:p w14:paraId="03623DDF">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rPr>
      </w:pPr>
      <w:r>
        <w:rPr>
          <w:rFonts w:hint="eastAsia" w:ascii="宋体" w:hAnsi="宋体"/>
        </w:rPr>
        <w:t>14.2投标人以联合体形式投标的，除应提交联合协议(格式)外，参加联合体的各方均应提交上款资格证明材料。</w:t>
      </w:r>
    </w:p>
    <w:p w14:paraId="5890E5B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rPr>
      </w:pPr>
      <w:r>
        <w:rPr>
          <w:rFonts w:hint="eastAsia" w:ascii="宋体" w:hAnsi="宋体"/>
        </w:rPr>
        <w:t>14.3投标人的资格证明文件均应为有效文件并加盖投标人单位章，并按招标文件规定签署。</w:t>
      </w:r>
    </w:p>
    <w:p w14:paraId="5D221A69">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15. 投标货物及服务符合招标文件规定的证明文件</w:t>
      </w:r>
    </w:p>
    <w:p w14:paraId="25D0B1E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15.1投标人应当提交其拟供的合同项下货物及其服务符合招标文件规定的证明文件,该证明文件作为投标文件的一部分。</w:t>
      </w:r>
    </w:p>
    <w:p w14:paraId="03F134B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15.2上述证明文件可以是文字资料、图表、数据、证书等资料，包括但不限于：</w:t>
      </w:r>
    </w:p>
    <w:p w14:paraId="5BE6817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（1）货物主要技术指标和性能的详细说明。对有具体参数要求的指标，投标人应提供具体参数值；</w:t>
      </w:r>
    </w:p>
    <w:p w14:paraId="1BBBBFA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（2）货物的品牌型号、制造商及原产地等说明；</w:t>
      </w:r>
    </w:p>
    <w:p w14:paraId="7C6A619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（3）招标文件第五章“采购需求”要求的其它文件。</w:t>
      </w:r>
    </w:p>
    <w:p w14:paraId="1D85D619">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16. 投标有效期</w:t>
      </w:r>
    </w:p>
    <w:p w14:paraId="2E3DC35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16.1投标有效期从提交投标文件的截止之日起算。投标文件中承诺的投标有效期应当不少于</w:t>
      </w:r>
      <w:r>
        <w:rPr>
          <w:rFonts w:hint="eastAsia" w:ascii="宋体" w:hAnsi="宋体"/>
          <w:b/>
          <w:szCs w:val="21"/>
        </w:rPr>
        <w:t>【投标须知前附表】</w:t>
      </w:r>
      <w:r>
        <w:rPr>
          <w:rFonts w:hint="eastAsia" w:ascii="宋体" w:hAnsi="宋体"/>
          <w:szCs w:val="21"/>
        </w:rPr>
        <w:t>中载明的投标有效期。投标有效期不满足要求的，其</w:t>
      </w:r>
      <w:r>
        <w:rPr>
          <w:rFonts w:hint="eastAsia" w:ascii="宋体" w:hAnsi="宋体"/>
          <w:b/>
          <w:szCs w:val="21"/>
        </w:rPr>
        <w:t>投标无效</w:t>
      </w:r>
      <w:r>
        <w:rPr>
          <w:rFonts w:hint="eastAsia" w:ascii="宋体" w:hAnsi="宋体"/>
          <w:szCs w:val="21"/>
        </w:rPr>
        <w:t>。</w:t>
      </w:r>
    </w:p>
    <w:p w14:paraId="22DAF10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16.2投标有效期内投标人撤销投标文件的，投标人应承担招标文件和法律规定的责任。</w:t>
      </w:r>
    </w:p>
    <w:p w14:paraId="125B8EC7">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17. 投标保证金</w:t>
      </w:r>
    </w:p>
    <w:p w14:paraId="2524314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17.1招标文件要求投标人提交投标保证金的，</w:t>
      </w:r>
      <w:r>
        <w:rPr>
          <w:rFonts w:hint="eastAsia" w:ascii="宋体" w:hAnsi="宋体"/>
          <w:bCs/>
          <w:szCs w:val="21"/>
        </w:rPr>
        <w:t>投标人</w:t>
      </w:r>
      <w:r>
        <w:rPr>
          <w:rFonts w:hint="eastAsia" w:ascii="宋体" w:hAnsi="宋体"/>
          <w:szCs w:val="21"/>
        </w:rPr>
        <w:t>应按</w:t>
      </w:r>
      <w:r>
        <w:rPr>
          <w:rFonts w:hint="eastAsia" w:ascii="宋体" w:hAnsi="宋体"/>
          <w:b/>
          <w:szCs w:val="21"/>
        </w:rPr>
        <w:t>【投标须知前附表】</w:t>
      </w:r>
      <w:r>
        <w:rPr>
          <w:rFonts w:hint="eastAsia" w:ascii="宋体" w:hAnsi="宋体"/>
          <w:szCs w:val="21"/>
        </w:rPr>
        <w:t>规定，</w:t>
      </w:r>
      <w:r>
        <w:rPr>
          <w:rFonts w:hint="eastAsia" w:ascii="宋体" w:hAnsi="宋体"/>
          <w:bCs/>
          <w:szCs w:val="21"/>
        </w:rPr>
        <w:t>在</w:t>
      </w:r>
      <w:r>
        <w:rPr>
          <w:rFonts w:hint="eastAsia" w:ascii="宋体" w:hAnsi="宋体"/>
          <w:szCs w:val="21"/>
        </w:rPr>
        <w:t>提交投标文件的截止时间</w:t>
      </w:r>
      <w:r>
        <w:rPr>
          <w:rFonts w:hint="eastAsia" w:ascii="宋体" w:hAnsi="宋体"/>
          <w:bCs/>
          <w:szCs w:val="21"/>
        </w:rPr>
        <w:t>前提交投标保证金</w:t>
      </w:r>
      <w:r>
        <w:rPr>
          <w:rFonts w:hint="eastAsia" w:ascii="宋体" w:hAnsi="宋体"/>
          <w:szCs w:val="21"/>
        </w:rPr>
        <w:t>。</w:t>
      </w:r>
      <w:r>
        <w:rPr>
          <w:rFonts w:hint="eastAsia" w:ascii="宋体" w:hAnsi="宋体"/>
          <w:bCs/>
          <w:szCs w:val="21"/>
        </w:rPr>
        <w:t>投标人可以保函、电子增信替代投标保证金。</w:t>
      </w:r>
    </w:p>
    <w:p w14:paraId="4AB6645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17.2联合体投标的，可以由联合体中的一方或者共同提交投标保证金。以一方名义提交投标保证金的，对联合体各方均具有约束力。</w:t>
      </w:r>
    </w:p>
    <w:p w14:paraId="7CA04CD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17.3投标保证金的退还按以下规定办理：</w:t>
      </w:r>
    </w:p>
    <w:p w14:paraId="00E07B9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（1）中标投标人的投标保证金，将在政府采购合同签订后5个工作日内退还。</w:t>
      </w:r>
    </w:p>
    <w:p w14:paraId="55786DB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（2）未中标的投标人的投标保证金，将在中标通知书发出后5个工作日内退还。</w:t>
      </w:r>
    </w:p>
    <w:p w14:paraId="5F37F6A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（3）终止招标的。对于已递交投标保证金的，采购人、采购代理机构在终止招标公告发布后5个工作日内退还。</w:t>
      </w:r>
    </w:p>
    <w:p w14:paraId="6DBDFC5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（4）在投标截止日前撤回投标的，对于已递交投标保证金的，采购人、采购代理机构在收到投标人书面撤回投标通知之日起5个工作日内退还。</w:t>
      </w:r>
    </w:p>
    <w:p w14:paraId="5A7323E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17.4有以下情形之一的，投标保证金将不予退还，上缴国库：</w:t>
      </w:r>
      <w:r>
        <w:rPr>
          <w:rFonts w:ascii="宋体" w:hAnsi="宋体"/>
          <w:szCs w:val="21"/>
        </w:rPr>
        <w:t xml:space="preserve"> </w:t>
      </w:r>
    </w:p>
    <w:p w14:paraId="35D1DA9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（1）投标人在招标文件中规定的投标有效期内撤销其投标；</w:t>
      </w:r>
    </w:p>
    <w:p w14:paraId="23C638E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（2）中标人无正当理由不与采购人订立合同，在签订合同时向采购人提出附加条件，或者不按照招标文件要求提交履约保证金。</w:t>
      </w:r>
    </w:p>
    <w:p w14:paraId="5A2EE1EB">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sz w:val="24"/>
        </w:rPr>
      </w:pPr>
      <w:r>
        <w:rPr>
          <w:rFonts w:hint="eastAsia" w:ascii="宋体" w:hAnsi="宋体"/>
          <w:b/>
          <w:sz w:val="24"/>
        </w:rPr>
        <w:t>18.分包</w:t>
      </w:r>
    </w:p>
    <w:p w14:paraId="66F7B6D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18.1</w:t>
      </w:r>
      <w:r>
        <w:rPr>
          <w:rFonts w:hint="eastAsia" w:hAnsi="宋体"/>
          <w:b/>
          <w:bCs/>
        </w:rPr>
        <w:t>【投标须知前附表】</w:t>
      </w:r>
      <w:r>
        <w:rPr>
          <w:rFonts w:hint="eastAsia" w:ascii="宋体" w:hAnsi="宋体"/>
        </w:rPr>
        <w:t>规定投标人分包的，投标人分包承诺不符合招标文件中有关分包规定的，其</w:t>
      </w:r>
      <w:r>
        <w:rPr>
          <w:rFonts w:hint="eastAsia" w:ascii="宋体" w:hAnsi="宋体"/>
          <w:b/>
          <w:bCs/>
        </w:rPr>
        <w:t>投标无效</w:t>
      </w:r>
      <w:r>
        <w:rPr>
          <w:rFonts w:hint="eastAsia" w:ascii="宋体" w:hAnsi="宋体"/>
        </w:rPr>
        <w:t>。</w:t>
      </w:r>
    </w:p>
    <w:p w14:paraId="4E475CC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18.2投标人应在签订政府采购合同前向采购人提供分包合同，否则，采购人有权拒绝签订采购合同。</w:t>
      </w:r>
    </w:p>
    <w:p w14:paraId="3E12D1F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18.3享受中小企业扶持政策获得政府采购合同的，小微企业不得将合同分包给大中型企业，中型企业不得将合同分包给大型企业。</w:t>
      </w:r>
    </w:p>
    <w:p w14:paraId="2590AE7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18.4分包供应商不得再次分包。</w:t>
      </w:r>
    </w:p>
    <w:p w14:paraId="2500EB6B">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19. 投标文件的签署</w:t>
      </w:r>
    </w:p>
    <w:p w14:paraId="5A4DC51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bCs/>
          <w:szCs w:val="21"/>
        </w:rPr>
      </w:pPr>
      <w:r>
        <w:rPr>
          <w:rFonts w:hint="eastAsia" w:ascii="宋体" w:hAnsi="宋体"/>
          <w:szCs w:val="21"/>
        </w:rPr>
        <w:t>19.1</w:t>
      </w:r>
      <w:r>
        <w:rPr>
          <w:rFonts w:ascii="宋体" w:hAnsi="宋体"/>
          <w:b/>
          <w:bCs/>
          <w:szCs w:val="21"/>
        </w:rPr>
        <w:t>本项目为全流程电子标</w:t>
      </w:r>
      <w:r>
        <w:rPr>
          <w:rFonts w:hint="eastAsia" w:ascii="宋体" w:hAnsi="宋体"/>
          <w:b/>
          <w:bCs/>
          <w:szCs w:val="21"/>
        </w:rPr>
        <w:t>。</w:t>
      </w:r>
      <w:r>
        <w:rPr>
          <w:rFonts w:hint="eastAsia" w:ascii="宋体" w:hAnsi="宋体"/>
          <w:szCs w:val="21"/>
        </w:rPr>
        <w:t>投标文件正本按照</w:t>
      </w:r>
      <w:r>
        <w:rPr>
          <w:rFonts w:hint="eastAsia" w:ascii="宋体" w:hAnsi="宋体"/>
          <w:b/>
          <w:szCs w:val="21"/>
        </w:rPr>
        <w:t>【投标须知前附表】</w:t>
      </w:r>
      <w:r>
        <w:rPr>
          <w:rFonts w:hint="eastAsia" w:ascii="宋体" w:hAnsi="宋体"/>
          <w:bCs/>
          <w:szCs w:val="21"/>
        </w:rPr>
        <w:t>要求提供。</w:t>
      </w:r>
    </w:p>
    <w:p w14:paraId="5897C69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Cs w:val="21"/>
        </w:rPr>
      </w:pPr>
      <w:r>
        <w:rPr>
          <w:rFonts w:hint="eastAsia" w:ascii="宋体" w:hAnsi="宋体"/>
          <w:szCs w:val="21"/>
        </w:rPr>
        <w:t>19.2投标文件正本应打印或用不褪色的材料书写，并由投标人和投标人代表按照招标文件规定在投标文件需要签署的位置签署、盖章。投标人代表可为投标人法定代表人(非法人组织为负责人、个体工商户为负责人，以下统称单位负责人)；投标人代表不是投标人的法定代表人（单位负责人）的，应提供授权委托书。</w:t>
      </w:r>
    </w:p>
    <w:p w14:paraId="3A92BE7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19.3投标文件中的任何行间插字、涂改和增删，改动的地方应加盖单位章或由投标人代表签字确认。不按上述要求签署的，</w:t>
      </w:r>
      <w:r>
        <w:rPr>
          <w:rFonts w:hint="eastAsia" w:ascii="宋体" w:hAnsi="宋体"/>
          <w:b/>
          <w:szCs w:val="21"/>
        </w:rPr>
        <w:t>其投标无效</w:t>
      </w:r>
      <w:r>
        <w:rPr>
          <w:rFonts w:hint="eastAsia" w:ascii="宋体" w:hAnsi="宋体"/>
          <w:szCs w:val="21"/>
        </w:rPr>
        <w:t>。</w:t>
      </w:r>
    </w:p>
    <w:p w14:paraId="6785E06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19.4为便于采购文件保存，投标文件电子文档建议为PDF格式，内容应与上传至平台的投标文件正本一致。</w:t>
      </w:r>
    </w:p>
    <w:p w14:paraId="6E15B125">
      <w:pPr>
        <w:pStyle w:val="2"/>
        <w:keepNext w:val="0"/>
        <w:keepLines w:val="0"/>
        <w:pageBreakBefore w:val="0"/>
        <w:widowControl w:val="0"/>
        <w:kinsoku/>
        <w:wordWrap/>
        <w:overflowPunct/>
        <w:topLinePunct w:val="0"/>
        <w:autoSpaceDE/>
        <w:autoSpaceDN/>
        <w:bidi w:val="0"/>
        <w:adjustRightInd w:val="0"/>
        <w:snapToGrid w:val="0"/>
        <w:spacing w:before="0" w:after="0" w:line="360" w:lineRule="auto"/>
        <w:jc w:val="center"/>
        <w:textAlignment w:val="auto"/>
        <w:rPr>
          <w:rFonts w:ascii="黑体" w:hAnsi="黑体" w:eastAsia="黑体"/>
          <w:sz w:val="28"/>
          <w:szCs w:val="28"/>
        </w:rPr>
      </w:pPr>
      <w:bookmarkStart w:id="34" w:name="_Toc12813"/>
      <w:bookmarkStart w:id="35" w:name="_Toc23240"/>
      <w:r>
        <w:rPr>
          <w:rFonts w:hint="eastAsia" w:ascii="黑体" w:hAnsi="黑体" w:eastAsia="黑体"/>
          <w:sz w:val="28"/>
          <w:szCs w:val="28"/>
        </w:rPr>
        <w:t>四、投标</w:t>
      </w:r>
      <w:bookmarkEnd w:id="34"/>
      <w:bookmarkEnd w:id="35"/>
    </w:p>
    <w:p w14:paraId="78D7EA17">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sz w:val="24"/>
        </w:rPr>
        <w:t>20.</w:t>
      </w:r>
      <w:r>
        <w:rPr>
          <w:rFonts w:hint="eastAsia" w:ascii="宋体" w:hAnsi="宋体"/>
          <w:b/>
          <w:bCs/>
          <w:sz w:val="24"/>
        </w:rPr>
        <w:t xml:space="preserve"> 投标文件的密封和标记</w:t>
      </w:r>
    </w:p>
    <w:p w14:paraId="07C6EF4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20.1投标人应按照交易平台要求将投标文件密封上传以保证自己的投标信息在开标前不被透露。</w:t>
      </w:r>
    </w:p>
    <w:p w14:paraId="28B6109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20</w:t>
      </w:r>
      <w:r>
        <w:rPr>
          <w:rFonts w:ascii="宋体" w:hAnsi="宋体"/>
          <w:szCs w:val="21"/>
        </w:rPr>
        <w:t>.2</w:t>
      </w:r>
      <w:r>
        <w:rPr>
          <w:rFonts w:hint="eastAsia" w:ascii="宋体" w:hAnsi="宋体"/>
          <w:szCs w:val="21"/>
        </w:rPr>
        <w:t>投标文件应按照招标文件第七章 投标文件组成 封面格式进行编制，如果采购项目分包招标的，还应注明投标的包号。</w:t>
      </w:r>
    </w:p>
    <w:p w14:paraId="1D50858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Cs w:val="21"/>
        </w:rPr>
      </w:pPr>
      <w:r>
        <w:rPr>
          <w:rFonts w:hint="eastAsia" w:ascii="宋体" w:hAnsi="宋体"/>
          <w:szCs w:val="21"/>
        </w:rPr>
        <w:t>20</w:t>
      </w:r>
      <w:r>
        <w:rPr>
          <w:rFonts w:ascii="宋体" w:hAnsi="宋体"/>
          <w:szCs w:val="21"/>
        </w:rPr>
        <w:t>.</w:t>
      </w:r>
      <w:r>
        <w:rPr>
          <w:rFonts w:hint="eastAsia" w:ascii="宋体" w:hAnsi="宋体"/>
          <w:szCs w:val="21"/>
        </w:rPr>
        <w:t>3为方便开标及进行资格审查，投标人</w:t>
      </w:r>
      <w:r>
        <w:rPr>
          <w:rFonts w:hint="eastAsia" w:ascii="宋体" w:hAnsi="宋体"/>
          <w:szCs w:val="21"/>
          <w:lang w:eastAsia="zh-CN"/>
        </w:rPr>
        <w:t>应</w:t>
      </w:r>
      <w:r>
        <w:rPr>
          <w:rFonts w:hint="eastAsia" w:ascii="宋体" w:hAnsi="宋体"/>
          <w:szCs w:val="21"/>
        </w:rPr>
        <w:t>将第一部分资格证明文件单独密封并上传。</w:t>
      </w:r>
    </w:p>
    <w:p w14:paraId="731907B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20</w:t>
      </w:r>
      <w:r>
        <w:rPr>
          <w:rFonts w:ascii="宋体" w:hAnsi="宋体"/>
          <w:szCs w:val="21"/>
        </w:rPr>
        <w:t>.</w:t>
      </w:r>
      <w:r>
        <w:rPr>
          <w:rFonts w:hint="eastAsia" w:ascii="宋体" w:hAnsi="宋体"/>
          <w:szCs w:val="21"/>
        </w:rPr>
        <w:t>4未按本章第 20.1 款要求密封的投标文件，采购人、采购代理机构</w:t>
      </w:r>
      <w:r>
        <w:rPr>
          <w:rFonts w:hint="eastAsia" w:ascii="宋体" w:hAnsi="宋体"/>
          <w:b/>
          <w:szCs w:val="21"/>
        </w:rPr>
        <w:t>应当拒收</w:t>
      </w:r>
      <w:r>
        <w:rPr>
          <w:rFonts w:hint="eastAsia" w:ascii="宋体" w:hAnsi="宋体"/>
          <w:szCs w:val="21"/>
        </w:rPr>
        <w:t>。</w:t>
      </w:r>
    </w:p>
    <w:p w14:paraId="357E6DF1">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21.投标截止期</w:t>
      </w:r>
    </w:p>
    <w:p w14:paraId="71FD98CF">
      <w:pPr>
        <w:pageBreakBefore w:val="0"/>
        <w:widowControl w:val="0"/>
        <w:kinsoku/>
        <w:wordWrap/>
        <w:overflowPunct/>
        <w:topLinePunct w:val="0"/>
        <w:autoSpaceDE/>
        <w:autoSpaceDN/>
        <w:bidi w:val="0"/>
        <w:adjustRightInd w:val="0"/>
        <w:snapToGrid w:val="0"/>
        <w:spacing w:line="360" w:lineRule="auto"/>
        <w:ind w:left="480" w:leftChars="200" w:firstLine="0" w:firstLineChars="0"/>
        <w:jc w:val="left"/>
        <w:textAlignment w:val="auto"/>
        <w:rPr>
          <w:rFonts w:hint="eastAsia" w:ascii="宋体" w:hAnsi="宋体" w:eastAsia="宋体"/>
          <w:szCs w:val="21"/>
          <w:lang w:eastAsia="zh-CN"/>
        </w:rPr>
      </w:pPr>
      <w:r>
        <w:rPr>
          <w:rFonts w:hint="eastAsia" w:ascii="宋体" w:hAnsi="宋体" w:eastAsia="宋体"/>
          <w:szCs w:val="21"/>
        </w:rPr>
        <w:t>21.1投标人应在</w:t>
      </w:r>
      <w:r>
        <w:rPr>
          <w:rFonts w:hint="eastAsia" w:ascii="宋体" w:hAnsi="宋体" w:eastAsia="宋体"/>
          <w:b/>
          <w:szCs w:val="21"/>
        </w:rPr>
        <w:t>【投标须知前附表】</w:t>
      </w:r>
      <w:r>
        <w:rPr>
          <w:rFonts w:hint="eastAsia" w:ascii="宋体" w:hAnsi="宋体" w:eastAsia="宋体"/>
          <w:szCs w:val="21"/>
        </w:rPr>
        <w:t>规定的投标截止时间前将</w:t>
      </w:r>
      <w:r>
        <w:rPr>
          <w:rFonts w:hint="eastAsia" w:ascii="宋体" w:hAnsi="宋体"/>
          <w:szCs w:val="21"/>
        </w:rPr>
        <w:t>电子投标文件上传投标系</w:t>
      </w:r>
      <w:r>
        <w:rPr>
          <w:rFonts w:hint="eastAsia" w:ascii="宋体" w:hAnsi="宋体"/>
          <w:szCs w:val="21"/>
          <w:lang w:eastAsia="zh-CN"/>
        </w:rPr>
        <w:t>统。</w:t>
      </w:r>
    </w:p>
    <w:p w14:paraId="1253E4A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eastAsia="宋体"/>
          <w:color w:val="auto"/>
          <w:szCs w:val="21"/>
        </w:rPr>
        <w:t>21.2</w:t>
      </w:r>
      <w:r>
        <w:rPr>
          <w:rFonts w:hint="eastAsia" w:ascii="宋体" w:hAnsi="宋体"/>
          <w:szCs w:val="21"/>
        </w:rPr>
        <w:t>逾期上传的投标文件或未上传至指定平台的投标文件，</w:t>
      </w:r>
      <w:r>
        <w:rPr>
          <w:rFonts w:hint="eastAsia" w:ascii="宋体" w:hAnsi="宋体"/>
          <w:b/>
          <w:bCs/>
          <w:szCs w:val="21"/>
        </w:rPr>
        <w:t>投标无效</w:t>
      </w:r>
      <w:r>
        <w:rPr>
          <w:rFonts w:hint="eastAsia" w:ascii="宋体" w:hAnsi="宋体"/>
          <w:szCs w:val="21"/>
        </w:rPr>
        <w:t>。</w:t>
      </w:r>
    </w:p>
    <w:p w14:paraId="23036F51">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22. 投标文件的修改和撤回</w:t>
      </w:r>
    </w:p>
    <w:p w14:paraId="266F301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22.1投标人在投标截止时间前，可以对所提交的投标文件进行修改或者撤回，并书面通知采购人或者采购代理机构。修改或撤回通知应当按招标文件规定编制、签署、密封和标记（在密封袋上注明“修改”字样，以及修改的时间），作为投标文件的组成部分，且只需提供一份，并在提交投标文件的截止时间前（上传）递交。</w:t>
      </w:r>
    </w:p>
    <w:p w14:paraId="01D88DB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Cs w:val="21"/>
        </w:rPr>
      </w:pPr>
      <w:r>
        <w:rPr>
          <w:rFonts w:hint="eastAsia" w:ascii="宋体" w:hAnsi="宋体"/>
          <w:szCs w:val="21"/>
        </w:rPr>
        <w:t>22.2采购人、采购代理机构对投标人提交的投标文件修改或者撤回的书面通知，如实记载、签收保存，并向投标人出具签收回执。</w:t>
      </w:r>
    </w:p>
    <w:p w14:paraId="5F7C471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Cs w:val="21"/>
        </w:rPr>
      </w:pPr>
      <w:r>
        <w:rPr>
          <w:rFonts w:hint="eastAsia" w:ascii="宋体" w:hAnsi="宋体"/>
          <w:szCs w:val="21"/>
        </w:rPr>
        <w:t>（1）项目名称、政府采购计划编号；</w:t>
      </w:r>
    </w:p>
    <w:p w14:paraId="07DA759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（2）投标人名称；</w:t>
      </w:r>
    </w:p>
    <w:p w14:paraId="5BF613D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Cs w:val="21"/>
        </w:rPr>
      </w:pPr>
      <w:r>
        <w:rPr>
          <w:rFonts w:hint="eastAsia" w:ascii="宋体" w:hAnsi="宋体"/>
          <w:szCs w:val="21"/>
        </w:rPr>
        <w:t>（3）投标文件修改或者撤回时间、地址；</w:t>
      </w:r>
    </w:p>
    <w:p w14:paraId="21AE6F5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（4）投标文件密封上传情况；</w:t>
      </w:r>
    </w:p>
    <w:p w14:paraId="7E967C1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szCs w:val="21"/>
        </w:rPr>
      </w:pPr>
      <w:r>
        <w:rPr>
          <w:rFonts w:hint="eastAsia" w:ascii="宋体" w:hAnsi="宋体"/>
          <w:szCs w:val="21"/>
        </w:rPr>
        <w:t>（5）采购代理机构名称；</w:t>
      </w:r>
    </w:p>
    <w:p w14:paraId="35FE263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（6）采购代理机构接收人签字。</w:t>
      </w:r>
    </w:p>
    <w:p w14:paraId="4149ABF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22.3投标人在提交投标文件的截止时间前撤回已提交的投标文件的，采购人、采购代理机构应当自收到投标人书面撤回通知之日</w:t>
      </w:r>
      <w:r>
        <w:rPr>
          <w:rFonts w:hint="eastAsia" w:ascii="宋体" w:hAnsi="宋体"/>
          <w:bCs/>
          <w:szCs w:val="21"/>
        </w:rPr>
        <w:t>起</w:t>
      </w:r>
      <w:r>
        <w:rPr>
          <w:rFonts w:hint="eastAsia"/>
        </w:rPr>
        <w:t>5</w:t>
      </w:r>
      <w:r>
        <w:rPr>
          <w:rFonts w:hint="eastAsia" w:ascii="宋体" w:hAnsi="宋体"/>
          <w:bCs/>
          <w:szCs w:val="21"/>
        </w:rPr>
        <w:t>个</w:t>
      </w:r>
      <w:r>
        <w:rPr>
          <w:rFonts w:hint="eastAsia" w:ascii="宋体" w:hAnsi="宋体"/>
          <w:szCs w:val="21"/>
        </w:rPr>
        <w:t>工作日内，退还已收取的投标保证金，但因投标人自身原因导致无法及时退还的除外。</w:t>
      </w:r>
    </w:p>
    <w:p w14:paraId="30583E45">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cs="Arial"/>
          <w:b/>
          <w:sz w:val="24"/>
        </w:rPr>
      </w:pPr>
      <w:r>
        <w:rPr>
          <w:rFonts w:hint="eastAsia" w:ascii="宋体" w:hAnsi="宋体"/>
          <w:b/>
          <w:bCs/>
          <w:sz w:val="24"/>
        </w:rPr>
        <w:t>23.</w:t>
      </w:r>
      <w:r>
        <w:rPr>
          <w:rFonts w:hint="eastAsia" w:ascii="宋体" w:hAnsi="宋体" w:cs="Arial"/>
          <w:b/>
          <w:sz w:val="24"/>
        </w:rPr>
        <w:t xml:space="preserve"> 串通</w:t>
      </w:r>
      <w:r>
        <w:rPr>
          <w:rFonts w:hint="eastAsia" w:ascii="宋体" w:hAnsi="宋体"/>
          <w:b/>
          <w:sz w:val="24"/>
        </w:rPr>
        <w:t>投标行为</w:t>
      </w:r>
    </w:p>
    <w:p w14:paraId="35412F3C">
      <w:pPr>
        <w:pageBreakBefore w:val="0"/>
        <w:widowControl w:val="0"/>
        <w:kinsoku/>
        <w:wordWrap/>
        <w:overflowPunct/>
        <w:topLinePunct w:val="0"/>
        <w:autoSpaceDE/>
        <w:autoSpaceDN/>
        <w:bidi w:val="0"/>
        <w:adjustRightInd w:val="0"/>
        <w:snapToGrid w:val="0"/>
        <w:spacing w:line="360" w:lineRule="auto"/>
        <w:ind w:firstLine="456" w:firstLineChars="200"/>
        <w:jc w:val="left"/>
        <w:textAlignment w:val="auto"/>
        <w:rPr>
          <w:rFonts w:ascii="宋体" w:hAnsi="宋体"/>
          <w:spacing w:val="-6"/>
          <w:szCs w:val="21"/>
        </w:rPr>
      </w:pPr>
      <w:r>
        <w:rPr>
          <w:rFonts w:hint="eastAsia" w:ascii="宋体" w:hAnsi="宋体"/>
          <w:spacing w:val="-6"/>
          <w:szCs w:val="21"/>
        </w:rPr>
        <w:t>23.1有下列情形之一的，属于恶意串通，对投标人依照政府采购法第七十七条第一款的规定追究法律责任：</w:t>
      </w:r>
    </w:p>
    <w:p w14:paraId="3043C492">
      <w:pPr>
        <w:pageBreakBefore w:val="0"/>
        <w:widowControl w:val="0"/>
        <w:kinsoku/>
        <w:wordWrap/>
        <w:overflowPunct/>
        <w:topLinePunct w:val="0"/>
        <w:autoSpaceDE/>
        <w:autoSpaceDN/>
        <w:bidi w:val="0"/>
        <w:adjustRightInd w:val="0"/>
        <w:snapToGrid w:val="0"/>
        <w:spacing w:line="360" w:lineRule="auto"/>
        <w:ind w:firstLine="456" w:firstLineChars="200"/>
        <w:jc w:val="left"/>
        <w:textAlignment w:val="auto"/>
        <w:rPr>
          <w:rFonts w:ascii="宋体" w:hAnsi="宋体"/>
          <w:spacing w:val="-6"/>
          <w:szCs w:val="21"/>
        </w:rPr>
      </w:pPr>
      <w:r>
        <w:rPr>
          <w:rFonts w:hint="eastAsia" w:ascii="宋体" w:hAnsi="宋体"/>
          <w:spacing w:val="-6"/>
          <w:szCs w:val="21"/>
        </w:rPr>
        <w:t>（1）投标人直接或者间接从采购人或者采购代理机构处获得其他投标人的相关情况并修改其投标文件；</w:t>
      </w:r>
    </w:p>
    <w:p w14:paraId="0FE7433B">
      <w:pPr>
        <w:pageBreakBefore w:val="0"/>
        <w:widowControl w:val="0"/>
        <w:kinsoku/>
        <w:wordWrap/>
        <w:overflowPunct/>
        <w:topLinePunct w:val="0"/>
        <w:autoSpaceDE/>
        <w:autoSpaceDN/>
        <w:bidi w:val="0"/>
        <w:adjustRightInd w:val="0"/>
        <w:snapToGrid w:val="0"/>
        <w:spacing w:line="360" w:lineRule="auto"/>
        <w:ind w:firstLine="456" w:firstLineChars="200"/>
        <w:jc w:val="left"/>
        <w:textAlignment w:val="auto"/>
        <w:rPr>
          <w:rFonts w:ascii="宋体" w:hAnsi="宋体"/>
          <w:spacing w:val="-6"/>
          <w:szCs w:val="21"/>
        </w:rPr>
      </w:pPr>
      <w:r>
        <w:rPr>
          <w:rFonts w:hint="eastAsia" w:ascii="宋体" w:hAnsi="宋体"/>
          <w:spacing w:val="-6"/>
          <w:szCs w:val="21"/>
        </w:rPr>
        <w:t>（2）投标人按照采购人或者采购代理机构的授意撤换、修改投标文件；</w:t>
      </w:r>
    </w:p>
    <w:p w14:paraId="5E6731D0">
      <w:pPr>
        <w:pageBreakBefore w:val="0"/>
        <w:widowControl w:val="0"/>
        <w:kinsoku/>
        <w:wordWrap/>
        <w:overflowPunct/>
        <w:topLinePunct w:val="0"/>
        <w:autoSpaceDE/>
        <w:autoSpaceDN/>
        <w:bidi w:val="0"/>
        <w:adjustRightInd w:val="0"/>
        <w:snapToGrid w:val="0"/>
        <w:spacing w:line="360" w:lineRule="auto"/>
        <w:ind w:firstLine="456" w:firstLineChars="200"/>
        <w:jc w:val="left"/>
        <w:textAlignment w:val="auto"/>
        <w:rPr>
          <w:rFonts w:ascii="宋体" w:hAnsi="宋体"/>
          <w:spacing w:val="-6"/>
          <w:szCs w:val="21"/>
        </w:rPr>
      </w:pPr>
      <w:r>
        <w:rPr>
          <w:rFonts w:hint="eastAsia" w:ascii="宋体" w:hAnsi="宋体"/>
          <w:spacing w:val="-6"/>
          <w:szCs w:val="21"/>
        </w:rPr>
        <w:t>（3）投标人之间协商报价、技术方案等投标文件的实质性内容；</w:t>
      </w:r>
    </w:p>
    <w:p w14:paraId="3EB550B2">
      <w:pPr>
        <w:pageBreakBefore w:val="0"/>
        <w:widowControl w:val="0"/>
        <w:kinsoku/>
        <w:wordWrap/>
        <w:overflowPunct/>
        <w:topLinePunct w:val="0"/>
        <w:autoSpaceDE/>
        <w:autoSpaceDN/>
        <w:bidi w:val="0"/>
        <w:adjustRightInd w:val="0"/>
        <w:snapToGrid w:val="0"/>
        <w:spacing w:line="360" w:lineRule="auto"/>
        <w:ind w:firstLine="456" w:firstLineChars="200"/>
        <w:jc w:val="left"/>
        <w:textAlignment w:val="auto"/>
        <w:rPr>
          <w:rFonts w:ascii="宋体" w:hAnsi="宋体"/>
          <w:spacing w:val="-6"/>
          <w:szCs w:val="21"/>
        </w:rPr>
      </w:pPr>
      <w:r>
        <w:rPr>
          <w:rFonts w:hint="eastAsia" w:ascii="宋体" w:hAnsi="宋体"/>
          <w:spacing w:val="-6"/>
          <w:szCs w:val="21"/>
        </w:rPr>
        <w:t>（4）属于同一集团、协会、商会等组织成员的投标人按照该组织要求协同参加政府采购活动；</w:t>
      </w:r>
    </w:p>
    <w:p w14:paraId="0F3A0A0A">
      <w:pPr>
        <w:pageBreakBefore w:val="0"/>
        <w:widowControl w:val="0"/>
        <w:kinsoku/>
        <w:wordWrap/>
        <w:overflowPunct/>
        <w:topLinePunct w:val="0"/>
        <w:autoSpaceDE/>
        <w:autoSpaceDN/>
        <w:bidi w:val="0"/>
        <w:adjustRightInd w:val="0"/>
        <w:snapToGrid w:val="0"/>
        <w:spacing w:line="360" w:lineRule="auto"/>
        <w:ind w:firstLine="456" w:firstLineChars="200"/>
        <w:jc w:val="left"/>
        <w:textAlignment w:val="auto"/>
        <w:rPr>
          <w:rFonts w:ascii="宋体" w:hAnsi="宋体"/>
          <w:spacing w:val="-6"/>
          <w:szCs w:val="21"/>
        </w:rPr>
      </w:pPr>
      <w:r>
        <w:rPr>
          <w:rFonts w:hint="eastAsia" w:ascii="宋体" w:hAnsi="宋体"/>
          <w:spacing w:val="-6"/>
          <w:szCs w:val="21"/>
        </w:rPr>
        <w:t>（5）投标人之间事先约定由某一特定投标人中标；</w:t>
      </w:r>
    </w:p>
    <w:p w14:paraId="27C7F214">
      <w:pPr>
        <w:pageBreakBefore w:val="0"/>
        <w:widowControl w:val="0"/>
        <w:kinsoku/>
        <w:wordWrap/>
        <w:overflowPunct/>
        <w:topLinePunct w:val="0"/>
        <w:autoSpaceDE/>
        <w:autoSpaceDN/>
        <w:bidi w:val="0"/>
        <w:adjustRightInd w:val="0"/>
        <w:snapToGrid w:val="0"/>
        <w:spacing w:line="360" w:lineRule="auto"/>
        <w:ind w:firstLine="456" w:firstLineChars="200"/>
        <w:jc w:val="left"/>
        <w:textAlignment w:val="auto"/>
        <w:rPr>
          <w:rFonts w:ascii="宋体" w:hAnsi="宋体"/>
          <w:spacing w:val="-6"/>
          <w:szCs w:val="21"/>
        </w:rPr>
      </w:pPr>
      <w:r>
        <w:rPr>
          <w:rFonts w:hint="eastAsia" w:ascii="宋体" w:hAnsi="宋体"/>
          <w:spacing w:val="-6"/>
          <w:szCs w:val="21"/>
        </w:rPr>
        <w:t>（6）投标人之间商定部分投标人放弃参加政府采购活动或者放弃中标；</w:t>
      </w:r>
    </w:p>
    <w:p w14:paraId="38EEF70E">
      <w:pPr>
        <w:pageBreakBefore w:val="0"/>
        <w:widowControl w:val="0"/>
        <w:kinsoku/>
        <w:wordWrap/>
        <w:overflowPunct/>
        <w:topLinePunct w:val="0"/>
        <w:autoSpaceDE/>
        <w:autoSpaceDN/>
        <w:bidi w:val="0"/>
        <w:adjustRightInd w:val="0"/>
        <w:snapToGrid w:val="0"/>
        <w:spacing w:line="360" w:lineRule="auto"/>
        <w:ind w:firstLine="456" w:firstLineChars="200"/>
        <w:jc w:val="left"/>
        <w:textAlignment w:val="auto"/>
        <w:rPr>
          <w:rFonts w:ascii="宋体" w:hAnsi="宋体"/>
          <w:spacing w:val="-6"/>
          <w:szCs w:val="21"/>
        </w:rPr>
      </w:pPr>
      <w:r>
        <w:rPr>
          <w:rFonts w:hint="eastAsia" w:ascii="宋体" w:hAnsi="宋体"/>
          <w:spacing w:val="-6"/>
          <w:szCs w:val="21"/>
        </w:rPr>
        <w:t>（7）投标人与采购人或者采购代理机构之间、投标人相互之间，为谋求特定投标人中标或者排斥其他投标人的其他串通行为。</w:t>
      </w:r>
    </w:p>
    <w:p w14:paraId="08EE0FD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23.2有下列情形之一的，视为投标人串通投标，其</w:t>
      </w:r>
      <w:r>
        <w:rPr>
          <w:rFonts w:hint="eastAsia" w:ascii="宋体" w:hAnsi="宋体"/>
          <w:b/>
          <w:szCs w:val="21"/>
        </w:rPr>
        <w:t>投标无效</w:t>
      </w:r>
      <w:r>
        <w:rPr>
          <w:rFonts w:hint="eastAsia" w:ascii="宋体" w:hAnsi="宋体"/>
          <w:szCs w:val="21"/>
        </w:rPr>
        <w:t>：</w:t>
      </w:r>
    </w:p>
    <w:p w14:paraId="688824C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（1）不同投标人的投标文件由同一单位或者个人编制；</w:t>
      </w:r>
    </w:p>
    <w:p w14:paraId="6A26974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（2）不同投标人委托同一单位或者个人办理投标事宜；</w:t>
      </w:r>
    </w:p>
    <w:p w14:paraId="4D4FFBC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（3）不同投标人的投标文件载明的项目管理成员或者联系人员为同一人；</w:t>
      </w:r>
    </w:p>
    <w:p w14:paraId="35BFAA02">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（4）不同投标人的投标文件异常一致或者投标报价呈规律性差异；</w:t>
      </w:r>
    </w:p>
    <w:p w14:paraId="20D8106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（5）不同投标人的投标文件相互混装；</w:t>
      </w:r>
    </w:p>
    <w:p w14:paraId="1B9B3BC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（6）不同投标人的投标保证金从同一单位或者个人的账户转出。</w:t>
      </w:r>
    </w:p>
    <w:p w14:paraId="4FB7C82D">
      <w:pPr>
        <w:pStyle w:val="2"/>
        <w:pageBreakBefore w:val="0"/>
        <w:widowControl w:val="0"/>
        <w:kinsoku/>
        <w:wordWrap/>
        <w:overflowPunct/>
        <w:topLinePunct w:val="0"/>
        <w:autoSpaceDE/>
        <w:autoSpaceDN/>
        <w:bidi w:val="0"/>
        <w:adjustRightInd w:val="0"/>
        <w:snapToGrid w:val="0"/>
        <w:spacing w:before="0" w:after="0" w:line="360" w:lineRule="auto"/>
        <w:jc w:val="center"/>
        <w:textAlignment w:val="auto"/>
        <w:rPr>
          <w:rFonts w:ascii="黑体" w:hAnsi="黑体" w:eastAsia="黑体"/>
          <w:sz w:val="28"/>
          <w:szCs w:val="28"/>
        </w:rPr>
      </w:pPr>
      <w:bookmarkStart w:id="36" w:name="_Toc12448"/>
      <w:bookmarkStart w:id="37" w:name="_Toc26859"/>
      <w:r>
        <w:rPr>
          <w:rFonts w:hint="eastAsia" w:ascii="黑体" w:hAnsi="黑体" w:eastAsia="黑体"/>
          <w:sz w:val="28"/>
          <w:szCs w:val="28"/>
        </w:rPr>
        <w:t>五、开标，资格审查和评标</w:t>
      </w:r>
      <w:bookmarkEnd w:id="36"/>
      <w:bookmarkEnd w:id="37"/>
    </w:p>
    <w:p w14:paraId="452D4761">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24. 开标</w:t>
      </w:r>
    </w:p>
    <w:p w14:paraId="3CE3479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24.1采购人、采购代理机构在</w:t>
      </w:r>
      <w:r>
        <w:rPr>
          <w:rFonts w:hint="eastAsia" w:ascii="宋体" w:hAnsi="宋体"/>
          <w:b/>
          <w:szCs w:val="21"/>
        </w:rPr>
        <w:t>【投标须知前附表】</w:t>
      </w:r>
      <w:r>
        <w:rPr>
          <w:rFonts w:hint="eastAsia" w:ascii="宋体" w:hAnsi="宋体"/>
          <w:szCs w:val="21"/>
        </w:rPr>
        <w:t>规定的开标地点组织开标，并邀请投标人参加。投标人未参加开标的，视同认可开标结果。</w:t>
      </w:r>
    </w:p>
    <w:p w14:paraId="312E4B9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24.2采购人、采购代理机构公布投标人名称、投标价格和</w:t>
      </w:r>
      <w:r>
        <w:rPr>
          <w:rFonts w:hint="eastAsia" w:ascii="宋体" w:hAnsi="宋体"/>
          <w:b/>
          <w:szCs w:val="21"/>
        </w:rPr>
        <w:t>【投标须知前附表】</w:t>
      </w:r>
      <w:r>
        <w:rPr>
          <w:rFonts w:hint="eastAsia" w:ascii="宋体" w:hAnsi="宋体"/>
          <w:szCs w:val="21"/>
        </w:rPr>
        <w:t>规定需要宣布的其他内容。投标人不足3家的，不得开标。</w:t>
      </w:r>
    </w:p>
    <w:p w14:paraId="2B9580D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24.3开标记录由参加开标的各投标人代表和相关工作人员确认后随采购文件一并存档。</w:t>
      </w:r>
    </w:p>
    <w:p w14:paraId="59F717E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24.4投标人代表对开标过程和开标记录有疑义，以及认为采购人、采购代理机构相关工作人员有《政府采购法实施条例》第九条第一款需要回避的情形的，应当场提出询问或者回避申请。</w:t>
      </w:r>
    </w:p>
    <w:p w14:paraId="44E809F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24.5采购人、采购代理机构对投标人代表当场提出的询问或者回避申请，按《政府采购法实施条例》有关规定及时处理。</w:t>
      </w:r>
    </w:p>
    <w:p w14:paraId="3B52F624">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sz w:val="24"/>
        </w:rPr>
      </w:pPr>
      <w:r>
        <w:rPr>
          <w:rStyle w:val="48"/>
          <w:rFonts w:hint="eastAsia" w:ascii="宋体" w:hAnsi="宋体" w:cs="Arial"/>
          <w:sz w:val="24"/>
        </w:rPr>
        <w:t>25.</w:t>
      </w:r>
      <w:r>
        <w:rPr>
          <w:rFonts w:hint="eastAsia" w:ascii="宋体" w:hAnsi="宋体"/>
          <w:b/>
          <w:sz w:val="24"/>
        </w:rPr>
        <w:t xml:space="preserve"> 资格审查</w:t>
      </w:r>
    </w:p>
    <w:p w14:paraId="7EDDD97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25.1开标结束后，采购人、采购代理机构依法按照第三章</w:t>
      </w:r>
      <w:r>
        <w:rPr>
          <w:rFonts w:hint="eastAsia" w:ascii="华文宋体" w:hAnsi="华文宋体" w:eastAsia="华文宋体"/>
          <w:szCs w:val="21"/>
        </w:rPr>
        <w:t>“</w:t>
      </w:r>
      <w:r>
        <w:rPr>
          <w:rFonts w:hint="eastAsia" w:ascii="宋体" w:hAnsi="宋体"/>
          <w:szCs w:val="21"/>
        </w:rPr>
        <w:t>资格审查</w:t>
      </w:r>
      <w:r>
        <w:rPr>
          <w:rFonts w:hint="eastAsia" w:ascii="华文宋体" w:hAnsi="华文宋体" w:eastAsia="华文宋体"/>
          <w:szCs w:val="21"/>
        </w:rPr>
        <w:t>”</w:t>
      </w:r>
      <w:r>
        <w:rPr>
          <w:rFonts w:hint="eastAsia" w:ascii="宋体" w:hAnsi="宋体"/>
          <w:szCs w:val="21"/>
        </w:rPr>
        <w:t>规定组织资格审查。</w:t>
      </w:r>
    </w:p>
    <w:p w14:paraId="4AD2232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25.2资格审查结束后，采购人、采购代理机构应将资格审查结果告知评标委员会。资格审查不合格投标人不进入评标；资格审查合格投标人少于3家的，不得评标。</w:t>
      </w:r>
    </w:p>
    <w:p w14:paraId="09AA0B06">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sz w:val="24"/>
        </w:rPr>
      </w:pPr>
      <w:r>
        <w:rPr>
          <w:rFonts w:hint="eastAsia" w:ascii="宋体" w:hAnsi="宋体"/>
          <w:b/>
          <w:bCs/>
          <w:sz w:val="24"/>
        </w:rPr>
        <w:t>26.</w:t>
      </w:r>
      <w:r>
        <w:rPr>
          <w:rFonts w:hint="eastAsia" w:ascii="宋体" w:hAnsi="宋体"/>
          <w:b/>
          <w:sz w:val="24"/>
        </w:rPr>
        <w:t xml:space="preserve"> 评标委员会</w:t>
      </w:r>
    </w:p>
    <w:p w14:paraId="0CC693A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26.1评标由依法组建的评标委员会负责，评标委员会</w:t>
      </w:r>
      <w:r>
        <w:rPr>
          <w:rFonts w:hint="eastAsia" w:ascii="宋体" w:hAnsi="宋体" w:eastAsia="宋体"/>
          <w:szCs w:val="21"/>
        </w:rPr>
        <w:t>从湖南省综合评标专家库中随机抽取产生</w:t>
      </w:r>
      <w:r>
        <w:rPr>
          <w:rFonts w:hint="eastAsia" w:ascii="宋体" w:hAnsi="宋体"/>
          <w:szCs w:val="21"/>
        </w:rPr>
        <w:t>。</w:t>
      </w:r>
    </w:p>
    <w:p w14:paraId="7EC29C9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26.2评标委员会成员有下列情形之一的，应当回避：</w:t>
      </w:r>
    </w:p>
    <w:p w14:paraId="391698B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（1）参加采购活动前</w:t>
      </w:r>
      <w:r>
        <w:rPr>
          <w:rFonts w:hint="eastAsia" w:ascii="宋体" w:hAnsi="宋体"/>
          <w:szCs w:val="21"/>
          <w:lang w:eastAsia="zh-CN"/>
        </w:rPr>
        <w:t>两年</w:t>
      </w:r>
      <w:r>
        <w:rPr>
          <w:rFonts w:hint="eastAsia" w:ascii="宋体" w:hAnsi="宋体"/>
          <w:szCs w:val="21"/>
        </w:rPr>
        <w:t>内,与投标人存在劳动关系,或者担任过投标人的董事、监事,或者是投标人的控股股东或实际控制人；</w:t>
      </w:r>
    </w:p>
    <w:p w14:paraId="7001103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（2）与投标人的法定代表人或者负责人有夫妻、直系血亲、三代以内旁系血亲或者近姻亲关系；</w:t>
      </w:r>
    </w:p>
    <w:p w14:paraId="1F69516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（3）与投标人有其他可能影响政府采购活动公平、公正进行的关系。</w:t>
      </w:r>
    </w:p>
    <w:p w14:paraId="18B15EEA">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26.3评标委员会负责具体评标事务，并独立履行下列职责：</w:t>
      </w:r>
    </w:p>
    <w:p w14:paraId="67B260E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（1）审查、评价投标文件是否符合招标文件的商务、技术等实质性要求；</w:t>
      </w:r>
    </w:p>
    <w:p w14:paraId="3D74547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（2）要求投标人对投标文件有关事项作出澄清或者说明；</w:t>
      </w:r>
    </w:p>
    <w:p w14:paraId="652C7D8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（3）对投标文件进行比较和评价；</w:t>
      </w:r>
    </w:p>
    <w:p w14:paraId="2AAF230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（4）确定中标候选人名单，以及根据采购人委托直接确定中标人。</w:t>
      </w:r>
    </w:p>
    <w:p w14:paraId="69707E2B">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sz w:val="24"/>
        </w:rPr>
        <w:t>27.</w:t>
      </w:r>
      <w:r>
        <w:rPr>
          <w:rFonts w:hint="eastAsia" w:ascii="宋体" w:hAnsi="宋体"/>
          <w:b/>
          <w:bCs/>
          <w:sz w:val="24"/>
        </w:rPr>
        <w:t xml:space="preserve"> 评标</w:t>
      </w:r>
    </w:p>
    <w:p w14:paraId="6BE847A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27.1评标委员会按照</w:t>
      </w:r>
      <w:r>
        <w:rPr>
          <w:rFonts w:hint="eastAsia" w:ascii="宋体" w:hAnsi="宋体"/>
          <w:bCs/>
        </w:rPr>
        <w:t>第四章</w:t>
      </w:r>
      <w:r>
        <w:rPr>
          <w:rFonts w:hint="eastAsia" w:ascii="华文宋体" w:hAnsi="华文宋体" w:eastAsia="华文宋体"/>
          <w:bCs/>
        </w:rPr>
        <w:t>“</w:t>
      </w:r>
      <w:r>
        <w:rPr>
          <w:rFonts w:hint="eastAsia" w:ascii="宋体" w:hAnsi="宋体"/>
          <w:bCs/>
        </w:rPr>
        <w:t>评标方法及标准</w:t>
      </w:r>
      <w:r>
        <w:rPr>
          <w:rFonts w:hint="eastAsia" w:ascii="华文宋体" w:hAnsi="华文宋体" w:eastAsia="华文宋体"/>
          <w:bCs/>
        </w:rPr>
        <w:t>”</w:t>
      </w:r>
      <w:r>
        <w:rPr>
          <w:rFonts w:hint="eastAsia" w:ascii="宋体" w:hAnsi="宋体"/>
        </w:rPr>
        <w:t>规定的评标方法、评审因素、标准和程序以及有关法律、法规及规章对投标文件进行评审。</w:t>
      </w:r>
    </w:p>
    <w:p w14:paraId="38653E3D">
      <w:pPr>
        <w:pStyle w:val="2"/>
        <w:pageBreakBefore w:val="0"/>
        <w:widowControl w:val="0"/>
        <w:kinsoku/>
        <w:wordWrap/>
        <w:overflowPunct/>
        <w:topLinePunct w:val="0"/>
        <w:autoSpaceDE/>
        <w:autoSpaceDN/>
        <w:bidi w:val="0"/>
        <w:adjustRightInd w:val="0"/>
        <w:snapToGrid w:val="0"/>
        <w:spacing w:before="0" w:after="0" w:line="360" w:lineRule="auto"/>
        <w:jc w:val="center"/>
        <w:textAlignment w:val="auto"/>
        <w:rPr>
          <w:rFonts w:ascii="黑体" w:hAnsi="黑体" w:eastAsia="黑体"/>
          <w:sz w:val="28"/>
          <w:szCs w:val="28"/>
        </w:rPr>
      </w:pPr>
      <w:bookmarkStart w:id="38" w:name="_Toc28812"/>
      <w:bookmarkStart w:id="39" w:name="_Toc24640"/>
      <w:r>
        <w:rPr>
          <w:rFonts w:hint="eastAsia" w:ascii="黑体" w:hAnsi="黑体" w:eastAsia="黑体"/>
          <w:sz w:val="28"/>
          <w:szCs w:val="28"/>
        </w:rPr>
        <w:t>六、中标信息公布</w:t>
      </w:r>
      <w:bookmarkEnd w:id="38"/>
      <w:bookmarkEnd w:id="39"/>
    </w:p>
    <w:p w14:paraId="4F6742A5">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sz w:val="24"/>
        </w:rPr>
        <w:t>28.</w:t>
      </w:r>
      <w:r>
        <w:rPr>
          <w:rFonts w:hint="eastAsia" w:ascii="宋体" w:hAnsi="宋体"/>
          <w:sz w:val="24"/>
        </w:rPr>
        <w:t xml:space="preserve"> </w:t>
      </w:r>
      <w:r>
        <w:rPr>
          <w:rFonts w:hint="eastAsia" w:ascii="宋体" w:hAnsi="宋体"/>
          <w:b/>
          <w:bCs/>
          <w:sz w:val="24"/>
        </w:rPr>
        <w:t>中标通知书与中标信息公布</w:t>
      </w:r>
    </w:p>
    <w:p w14:paraId="66D74EB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28.1采购代理机构应当在评标结束后2个工作日内将评标报告送采购人。</w:t>
      </w:r>
    </w:p>
    <w:p w14:paraId="2B206A2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28.2采购人应当自收到评标报告之日起5个工作日内，在评标报告确定的中标候选人名单中按顺序确定中标人。中标候选人并列的，按照</w:t>
      </w:r>
      <w:r>
        <w:rPr>
          <w:rFonts w:hint="eastAsia" w:ascii="宋体" w:hAnsi="宋体"/>
          <w:b/>
          <w:szCs w:val="21"/>
        </w:rPr>
        <w:t>【投标须知前附表】</w:t>
      </w:r>
      <w:r>
        <w:rPr>
          <w:rFonts w:hint="eastAsia" w:ascii="宋体" w:hAnsi="宋体"/>
          <w:szCs w:val="21"/>
        </w:rPr>
        <w:t>规定的方式确定中标人；招标文件未规定的，采取随机抽取的方式确定。</w:t>
      </w:r>
    </w:p>
    <w:p w14:paraId="67E7A5B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28.3采购人、采购代理机构应当自采购人确定中标供应商之日起2个工作日内，发出中标通知书，并在招标公告指定媒体上公告中标结果，招标文件随中标结果同时公告，中标结果公告期限为1个工作日。</w:t>
      </w:r>
    </w:p>
    <w:p w14:paraId="65D4D7D5">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29.</w:t>
      </w:r>
      <w:r>
        <w:rPr>
          <w:rFonts w:hint="eastAsia" w:ascii="宋体" w:hAnsi="宋体"/>
          <w:b/>
          <w:sz w:val="24"/>
        </w:rPr>
        <w:t xml:space="preserve"> 投标人询问及</w:t>
      </w:r>
      <w:r>
        <w:rPr>
          <w:rFonts w:hint="eastAsia" w:ascii="宋体" w:hAnsi="宋体"/>
          <w:b/>
          <w:bCs/>
          <w:sz w:val="24"/>
        </w:rPr>
        <w:t>质疑</w:t>
      </w:r>
    </w:p>
    <w:p w14:paraId="6D273AC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29.1投标人对政府采购活动事项有疑问的，可以向采购人、采购代理机构提出询问。采购人或采购代理机构将在3个工作日内作出答复。</w:t>
      </w:r>
    </w:p>
    <w:p w14:paraId="05535E0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szCs w:val="21"/>
        </w:rPr>
      </w:pPr>
      <w:r>
        <w:rPr>
          <w:rFonts w:hint="eastAsia" w:ascii="宋体" w:hAnsi="宋体" w:eastAsia="宋体"/>
          <w:szCs w:val="21"/>
        </w:rPr>
        <w:t>29.2投标人认为招标文件、采购过程和中标结果使自己的权益受到损害的，可以在知道或者应知其权益受到损害之日起7个工作日内，按《湖南省财政厅关于印发＜政府采购质疑答复和投诉处理操作规程＞的通知》〔20</w:t>
      </w:r>
      <w:r>
        <w:rPr>
          <w:rFonts w:hint="eastAsia" w:ascii="宋体" w:hAnsi="宋体" w:eastAsia="宋体"/>
          <w:szCs w:val="21"/>
          <w:lang w:val="en-US" w:eastAsia="zh-CN"/>
        </w:rPr>
        <w:t>24</w:t>
      </w:r>
      <w:r>
        <w:rPr>
          <w:rFonts w:hint="eastAsia" w:ascii="宋体" w:hAnsi="宋体" w:eastAsia="宋体"/>
          <w:szCs w:val="21"/>
        </w:rPr>
        <w:t>〕</w:t>
      </w:r>
      <w:r>
        <w:rPr>
          <w:rFonts w:hint="eastAsia" w:ascii="宋体" w:hAnsi="宋体" w:eastAsia="宋体"/>
          <w:szCs w:val="21"/>
          <w:lang w:val="en-US" w:eastAsia="zh-CN"/>
        </w:rPr>
        <w:t>67</w:t>
      </w:r>
      <w:r>
        <w:rPr>
          <w:rFonts w:hint="eastAsia" w:ascii="宋体" w:hAnsi="宋体" w:eastAsia="宋体"/>
          <w:szCs w:val="21"/>
        </w:rPr>
        <w:t>号))规定，以纸质书面形式向采购人、采购代理机构提出质疑。</w:t>
      </w:r>
    </w:p>
    <w:p w14:paraId="47FFB04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29.3投标人提出质疑的，应按照《湖南省财政厅关于印发＜政府采购质疑答复和投诉处理操作规程＞的通知》规定制作、签署、送达。采购人、采购代理机构接收质疑函的联系部门、联系电话和通讯地址见</w:t>
      </w:r>
      <w:r>
        <w:rPr>
          <w:rFonts w:hint="eastAsia" w:ascii="宋体" w:hAnsi="宋体"/>
          <w:b/>
          <w:szCs w:val="21"/>
        </w:rPr>
        <w:t>【投标须知前附表】</w:t>
      </w:r>
      <w:r>
        <w:rPr>
          <w:rFonts w:hint="eastAsia" w:ascii="宋体" w:hAnsi="宋体"/>
          <w:szCs w:val="21"/>
        </w:rPr>
        <w:t xml:space="preserve">。  </w:t>
      </w:r>
    </w:p>
    <w:p w14:paraId="2B70FE9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29.4采购人、采购代理机构按照《湖南省财政厅关于印发＜政府采购质疑答复和投诉处理操作规程＞的通知》规定进行质疑答复。</w:t>
      </w:r>
    </w:p>
    <w:p w14:paraId="469FACC7">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
          <w:bCs/>
        </w:rPr>
      </w:pPr>
      <w:r>
        <w:rPr>
          <w:rFonts w:hint="eastAsia" w:ascii="宋体" w:hAnsi="宋体"/>
          <w:szCs w:val="21"/>
        </w:rPr>
        <w:t>29</w:t>
      </w:r>
      <w:r>
        <w:rPr>
          <w:rFonts w:ascii="宋体" w:hAnsi="宋体"/>
          <w:szCs w:val="21"/>
        </w:rPr>
        <w:t>.</w:t>
      </w:r>
      <w:r>
        <w:rPr>
          <w:rFonts w:hint="eastAsia" w:ascii="宋体" w:hAnsi="宋体"/>
          <w:szCs w:val="21"/>
        </w:rPr>
        <w:t>5投标人对采购人、采购代理机构的答复不满意，或采购人或采购代理机构未在规定的期限作出答复的，可在答复期满后15个工作日内，按照《湖南省财政厅关于印发＜政府采购质疑答复和投诉处理操作规程＞的通知》规定向采购人同级财政部门提出投诉。</w:t>
      </w:r>
    </w:p>
    <w:p w14:paraId="4D81E428">
      <w:pPr>
        <w:pStyle w:val="2"/>
        <w:pageBreakBefore w:val="0"/>
        <w:widowControl w:val="0"/>
        <w:kinsoku/>
        <w:wordWrap/>
        <w:overflowPunct/>
        <w:topLinePunct w:val="0"/>
        <w:autoSpaceDE/>
        <w:autoSpaceDN/>
        <w:bidi w:val="0"/>
        <w:adjustRightInd w:val="0"/>
        <w:snapToGrid w:val="0"/>
        <w:spacing w:before="0" w:after="0" w:line="360" w:lineRule="auto"/>
        <w:jc w:val="center"/>
        <w:textAlignment w:val="auto"/>
        <w:rPr>
          <w:rFonts w:ascii="黑体" w:hAnsi="黑体" w:eastAsia="黑体"/>
          <w:sz w:val="28"/>
          <w:szCs w:val="28"/>
        </w:rPr>
      </w:pPr>
      <w:bookmarkStart w:id="40" w:name="_Toc23496"/>
      <w:bookmarkStart w:id="41" w:name="_Toc3453"/>
      <w:r>
        <w:rPr>
          <w:rFonts w:hint="eastAsia" w:ascii="黑体" w:hAnsi="黑体" w:eastAsia="黑体"/>
          <w:sz w:val="28"/>
          <w:szCs w:val="28"/>
        </w:rPr>
        <w:t>七、合同签订</w:t>
      </w:r>
      <w:bookmarkEnd w:id="40"/>
      <w:bookmarkEnd w:id="41"/>
    </w:p>
    <w:p w14:paraId="5F784151">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30. 签订合同</w:t>
      </w:r>
    </w:p>
    <w:p w14:paraId="49D21A2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30.1采购人应自中标通知书发出之日起30日内，按中标通知书指定的时间、地点与中标人签订政府采购合同。所签订的合同不得对招标文件确定的事项和中标人投标文件作实质性修改。</w:t>
      </w:r>
    </w:p>
    <w:p w14:paraId="6585228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30.2招标文件、中标人的投标文件均为签订合同的依据。</w:t>
      </w:r>
    </w:p>
    <w:p w14:paraId="5326700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s="微软雅黑"/>
          <w:kern w:val="0"/>
          <w:szCs w:val="21"/>
        </w:rPr>
      </w:pPr>
      <w:r>
        <w:rPr>
          <w:rFonts w:hint="eastAsia" w:ascii="宋体" w:hAnsi="宋体" w:cs="微软雅黑"/>
          <w:kern w:val="0"/>
          <w:szCs w:val="21"/>
        </w:rPr>
        <w:t>30.3联</w:t>
      </w:r>
      <w:r>
        <w:rPr>
          <w:rFonts w:hint="eastAsia" w:ascii="宋体" w:hAnsi="宋体" w:cs="微软雅黑"/>
          <w:spacing w:val="-2"/>
          <w:kern w:val="0"/>
          <w:szCs w:val="21"/>
        </w:rPr>
        <w:t>合</w:t>
      </w:r>
      <w:r>
        <w:rPr>
          <w:rFonts w:hint="eastAsia" w:ascii="宋体" w:hAnsi="宋体" w:cs="微软雅黑"/>
          <w:kern w:val="0"/>
          <w:szCs w:val="21"/>
        </w:rPr>
        <w:t>体</w:t>
      </w:r>
      <w:r>
        <w:rPr>
          <w:rFonts w:hint="eastAsia" w:ascii="宋体" w:hAnsi="宋体" w:cs="微软雅黑"/>
          <w:spacing w:val="-2"/>
          <w:kern w:val="0"/>
          <w:szCs w:val="21"/>
        </w:rPr>
        <w:t>中</w:t>
      </w:r>
      <w:r>
        <w:rPr>
          <w:rFonts w:hint="eastAsia" w:ascii="宋体" w:hAnsi="宋体" w:cs="微软雅黑"/>
          <w:kern w:val="0"/>
          <w:szCs w:val="21"/>
        </w:rPr>
        <w:t>标的</w:t>
      </w:r>
      <w:r>
        <w:rPr>
          <w:rFonts w:hint="eastAsia" w:ascii="宋体" w:hAnsi="宋体" w:cs="微软雅黑"/>
          <w:spacing w:val="-14"/>
          <w:kern w:val="0"/>
          <w:szCs w:val="21"/>
        </w:rPr>
        <w:t>，</w:t>
      </w:r>
      <w:r>
        <w:rPr>
          <w:rFonts w:hint="eastAsia" w:ascii="宋体" w:hAnsi="宋体" w:cs="微软雅黑"/>
          <w:kern w:val="0"/>
          <w:szCs w:val="21"/>
        </w:rPr>
        <w:t>联</w:t>
      </w:r>
      <w:r>
        <w:rPr>
          <w:rFonts w:hint="eastAsia" w:ascii="宋体" w:hAnsi="宋体" w:cs="微软雅黑"/>
          <w:spacing w:val="-2"/>
          <w:kern w:val="0"/>
          <w:szCs w:val="21"/>
        </w:rPr>
        <w:t>合</w:t>
      </w:r>
      <w:r>
        <w:rPr>
          <w:rFonts w:hint="eastAsia" w:ascii="宋体" w:hAnsi="宋体" w:cs="微软雅黑"/>
          <w:kern w:val="0"/>
          <w:szCs w:val="21"/>
        </w:rPr>
        <w:t>体各</w:t>
      </w:r>
      <w:r>
        <w:rPr>
          <w:rFonts w:hint="eastAsia" w:ascii="宋体" w:hAnsi="宋体" w:cs="微软雅黑"/>
          <w:spacing w:val="-2"/>
          <w:kern w:val="0"/>
          <w:szCs w:val="21"/>
        </w:rPr>
        <w:t>方</w:t>
      </w:r>
      <w:r>
        <w:rPr>
          <w:rFonts w:hint="eastAsia" w:ascii="宋体" w:hAnsi="宋体" w:cs="微软雅黑"/>
          <w:kern w:val="0"/>
          <w:szCs w:val="21"/>
        </w:rPr>
        <w:t>应</w:t>
      </w:r>
      <w:r>
        <w:rPr>
          <w:rFonts w:hint="eastAsia" w:ascii="宋体" w:hAnsi="宋体" w:cs="微软雅黑"/>
          <w:spacing w:val="-2"/>
          <w:kern w:val="0"/>
          <w:szCs w:val="21"/>
        </w:rPr>
        <w:t>当</w:t>
      </w:r>
      <w:r>
        <w:rPr>
          <w:rFonts w:hint="eastAsia" w:ascii="宋体" w:hAnsi="宋体" w:cs="微软雅黑"/>
          <w:kern w:val="0"/>
          <w:szCs w:val="21"/>
        </w:rPr>
        <w:t>共</w:t>
      </w:r>
      <w:r>
        <w:rPr>
          <w:rFonts w:hint="eastAsia" w:ascii="宋体" w:hAnsi="宋体" w:cs="微软雅黑"/>
          <w:spacing w:val="-2"/>
          <w:kern w:val="0"/>
          <w:szCs w:val="21"/>
        </w:rPr>
        <w:t>同</w:t>
      </w:r>
      <w:r>
        <w:rPr>
          <w:rFonts w:hint="eastAsia" w:ascii="宋体" w:hAnsi="宋体" w:cs="微软雅黑"/>
          <w:kern w:val="0"/>
          <w:szCs w:val="21"/>
        </w:rPr>
        <w:t>与</w:t>
      </w:r>
      <w:r>
        <w:rPr>
          <w:rFonts w:hint="eastAsia" w:ascii="宋体" w:hAnsi="宋体" w:cs="微软雅黑"/>
          <w:spacing w:val="-2"/>
          <w:kern w:val="0"/>
          <w:szCs w:val="21"/>
        </w:rPr>
        <w:t>采购人</w:t>
      </w:r>
      <w:r>
        <w:rPr>
          <w:rFonts w:hint="eastAsia" w:ascii="宋体" w:hAnsi="宋体" w:cs="微软雅黑"/>
          <w:kern w:val="0"/>
          <w:szCs w:val="21"/>
        </w:rPr>
        <w:t>签订</w:t>
      </w:r>
      <w:r>
        <w:rPr>
          <w:rFonts w:hint="eastAsia" w:ascii="宋体" w:hAnsi="宋体" w:cs="微软雅黑"/>
          <w:spacing w:val="-2"/>
          <w:kern w:val="0"/>
          <w:szCs w:val="21"/>
        </w:rPr>
        <w:t>合</w:t>
      </w:r>
      <w:r>
        <w:rPr>
          <w:rFonts w:hint="eastAsia" w:ascii="宋体" w:hAnsi="宋体" w:cs="微软雅黑"/>
          <w:kern w:val="0"/>
          <w:szCs w:val="21"/>
        </w:rPr>
        <w:t>同</w:t>
      </w:r>
      <w:r>
        <w:rPr>
          <w:rFonts w:hint="eastAsia" w:ascii="宋体" w:hAnsi="宋体" w:cs="微软雅黑"/>
          <w:spacing w:val="-14"/>
          <w:kern w:val="0"/>
          <w:szCs w:val="21"/>
        </w:rPr>
        <w:t>，</w:t>
      </w:r>
      <w:r>
        <w:rPr>
          <w:rFonts w:hint="eastAsia" w:ascii="宋体" w:hAnsi="宋体" w:cs="微软雅黑"/>
          <w:kern w:val="0"/>
          <w:szCs w:val="21"/>
        </w:rPr>
        <w:t>就</w:t>
      </w:r>
      <w:r>
        <w:rPr>
          <w:rFonts w:hint="eastAsia" w:ascii="宋体" w:hAnsi="宋体" w:cs="微软雅黑"/>
          <w:spacing w:val="-2"/>
          <w:kern w:val="0"/>
          <w:szCs w:val="21"/>
        </w:rPr>
        <w:t>中</w:t>
      </w:r>
      <w:r>
        <w:rPr>
          <w:rFonts w:hint="eastAsia" w:ascii="宋体" w:hAnsi="宋体" w:cs="微软雅黑"/>
          <w:kern w:val="0"/>
          <w:szCs w:val="21"/>
        </w:rPr>
        <w:t>标</w:t>
      </w:r>
      <w:r>
        <w:rPr>
          <w:rFonts w:hint="eastAsia" w:ascii="宋体" w:hAnsi="宋体" w:cs="微软雅黑"/>
          <w:spacing w:val="-2"/>
          <w:kern w:val="0"/>
          <w:szCs w:val="21"/>
        </w:rPr>
        <w:t>项</w:t>
      </w:r>
      <w:r>
        <w:rPr>
          <w:rFonts w:hint="eastAsia" w:ascii="宋体" w:hAnsi="宋体" w:cs="微软雅黑"/>
          <w:kern w:val="0"/>
          <w:szCs w:val="21"/>
        </w:rPr>
        <w:t>目</w:t>
      </w:r>
      <w:r>
        <w:rPr>
          <w:rFonts w:hint="eastAsia" w:ascii="宋体" w:hAnsi="宋体" w:cs="微软雅黑"/>
          <w:spacing w:val="-2"/>
          <w:kern w:val="0"/>
          <w:szCs w:val="21"/>
        </w:rPr>
        <w:t>向</w:t>
      </w:r>
      <w:r>
        <w:rPr>
          <w:rFonts w:hint="eastAsia" w:ascii="宋体" w:hAnsi="宋体" w:cs="微软雅黑"/>
          <w:kern w:val="0"/>
          <w:szCs w:val="21"/>
        </w:rPr>
        <w:t>采购人承</w:t>
      </w:r>
      <w:r>
        <w:rPr>
          <w:rFonts w:hint="eastAsia" w:ascii="宋体" w:hAnsi="宋体" w:cs="微软雅黑"/>
          <w:spacing w:val="-2"/>
          <w:kern w:val="0"/>
          <w:szCs w:val="21"/>
        </w:rPr>
        <w:t>担</w:t>
      </w:r>
      <w:r>
        <w:rPr>
          <w:rFonts w:hint="eastAsia" w:ascii="宋体" w:hAnsi="宋体" w:cs="微软雅黑"/>
          <w:kern w:val="0"/>
          <w:szCs w:val="21"/>
        </w:rPr>
        <w:t>连带责</w:t>
      </w:r>
      <w:r>
        <w:rPr>
          <w:rFonts w:hint="eastAsia" w:ascii="宋体" w:hAnsi="宋体" w:cs="微软雅黑"/>
          <w:spacing w:val="-2"/>
          <w:kern w:val="0"/>
          <w:szCs w:val="21"/>
        </w:rPr>
        <w:t>任</w:t>
      </w:r>
      <w:r>
        <w:rPr>
          <w:rFonts w:hint="eastAsia" w:ascii="宋体" w:hAnsi="宋体" w:cs="微软雅黑"/>
          <w:kern w:val="0"/>
          <w:szCs w:val="21"/>
        </w:rPr>
        <w:t>。</w:t>
      </w:r>
    </w:p>
    <w:p w14:paraId="02FC31F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ascii="宋体" w:hAnsi="宋体"/>
          <w:szCs w:val="21"/>
        </w:rPr>
        <w:t>3</w:t>
      </w:r>
      <w:r>
        <w:rPr>
          <w:rFonts w:hint="eastAsia" w:ascii="宋体" w:hAnsi="宋体"/>
          <w:szCs w:val="21"/>
        </w:rPr>
        <w:t>0</w:t>
      </w:r>
      <w:r>
        <w:rPr>
          <w:rFonts w:ascii="宋体" w:hAnsi="宋体"/>
          <w:szCs w:val="21"/>
        </w:rPr>
        <w:t>.4</w:t>
      </w:r>
      <w:r>
        <w:rPr>
          <w:rFonts w:hint="eastAsia" w:ascii="宋体" w:hAnsi="宋体"/>
          <w:szCs w:val="21"/>
        </w:rPr>
        <w:t>中标合同将在招标公告指定媒体上公告，但合同中涉及国家秘密、商业秘密的内容除外。</w:t>
      </w:r>
    </w:p>
    <w:p w14:paraId="5864726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szCs w:val="21"/>
        </w:rPr>
        <w:t>30.5中标人</w:t>
      </w:r>
      <w:r>
        <w:rPr>
          <w:rFonts w:hint="eastAsia" w:ascii="宋体" w:hAnsi="宋体"/>
          <w:bCs/>
          <w:szCs w:val="21"/>
        </w:rPr>
        <w:t>应当按照合同约定依法履行合同义务。政府采购合同的履行、违约责任和解决争议的方法等适用《中华人民共和国民法典》。</w:t>
      </w:r>
    </w:p>
    <w:p w14:paraId="3856E228">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cs="宋体"/>
          <w:b/>
          <w:kern w:val="0"/>
          <w:sz w:val="24"/>
        </w:rPr>
      </w:pPr>
      <w:r>
        <w:rPr>
          <w:rFonts w:hint="eastAsia" w:ascii="宋体" w:hAnsi="宋体"/>
          <w:b/>
          <w:bCs/>
          <w:sz w:val="24"/>
        </w:rPr>
        <w:t>31.</w:t>
      </w:r>
      <w:r>
        <w:rPr>
          <w:rFonts w:hint="eastAsia" w:ascii="宋体" w:hAnsi="宋体" w:cs="宋体"/>
          <w:b/>
          <w:kern w:val="0"/>
          <w:sz w:val="24"/>
        </w:rPr>
        <w:t xml:space="preserve"> 履约担保</w:t>
      </w:r>
    </w:p>
    <w:p w14:paraId="655C9D46">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cs="宋体"/>
          <w:kern w:val="0"/>
          <w:szCs w:val="21"/>
        </w:rPr>
        <w:t>31.1</w:t>
      </w:r>
      <w:r>
        <w:rPr>
          <w:rFonts w:hint="eastAsia" w:ascii="宋体" w:hAnsi="宋体"/>
          <w:szCs w:val="21"/>
        </w:rPr>
        <w:t>招标文件要求中标人向采购人提交履约担保的，中标人应按照</w:t>
      </w:r>
      <w:r>
        <w:rPr>
          <w:rFonts w:hint="eastAsia" w:ascii="宋体" w:hAnsi="宋体"/>
          <w:b/>
          <w:szCs w:val="21"/>
        </w:rPr>
        <w:t>【投标须知前附表】</w:t>
      </w:r>
      <w:r>
        <w:rPr>
          <w:rFonts w:hint="eastAsia" w:ascii="宋体" w:hAnsi="宋体"/>
          <w:szCs w:val="21"/>
        </w:rPr>
        <w:t>的规定提交，</w:t>
      </w:r>
      <w:r>
        <w:rPr>
          <w:rFonts w:hint="eastAsia" w:ascii="宋体" w:hAnsi="宋体"/>
          <w:bCs/>
          <w:szCs w:val="21"/>
        </w:rPr>
        <w:t>投标人可以保函、电子增信替代履约担保。</w:t>
      </w:r>
      <w:r>
        <w:rPr>
          <w:rFonts w:hint="eastAsia" w:ascii="宋体" w:hAnsi="宋体"/>
          <w:szCs w:val="21"/>
        </w:rPr>
        <w:t>联合体中标的，履约担保由联合体各方或联合体中牵头人的名义提交。</w:t>
      </w:r>
    </w:p>
    <w:p w14:paraId="77CC2AB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31.2中标人</w:t>
      </w:r>
      <w:r>
        <w:rPr>
          <w:rFonts w:hint="eastAsia" w:ascii="宋体" w:hAnsi="宋体"/>
          <w:spacing w:val="4"/>
          <w:szCs w:val="21"/>
        </w:rPr>
        <w:t>没有按照本章第31.1</w:t>
      </w:r>
      <w:r>
        <w:rPr>
          <w:rFonts w:hint="eastAsia" w:ascii="宋体" w:hAnsi="宋体" w:cs="宋体"/>
          <w:kern w:val="0"/>
          <w:szCs w:val="21"/>
          <w:lang w:val="zh-CN"/>
        </w:rPr>
        <w:t>款</w:t>
      </w:r>
      <w:r>
        <w:rPr>
          <w:rFonts w:hint="eastAsia" w:ascii="宋体" w:hAnsi="宋体"/>
          <w:spacing w:val="4"/>
          <w:szCs w:val="21"/>
        </w:rPr>
        <w:t>规定</w:t>
      </w:r>
      <w:r>
        <w:rPr>
          <w:rFonts w:hint="eastAsia" w:ascii="宋体" w:hAnsi="宋体"/>
          <w:szCs w:val="21"/>
        </w:rPr>
        <w:t>提交履约担保的</w:t>
      </w:r>
      <w:r>
        <w:rPr>
          <w:rFonts w:hint="eastAsia" w:ascii="宋体" w:hAnsi="宋体"/>
          <w:spacing w:val="4"/>
          <w:szCs w:val="21"/>
        </w:rPr>
        <w:t>，视为</w:t>
      </w:r>
      <w:r>
        <w:rPr>
          <w:rFonts w:hint="eastAsia" w:ascii="宋体" w:hAnsi="宋体"/>
          <w:b/>
          <w:spacing w:val="4"/>
          <w:szCs w:val="21"/>
        </w:rPr>
        <w:t>放弃中标</w:t>
      </w:r>
      <w:r>
        <w:rPr>
          <w:rFonts w:hint="eastAsia" w:ascii="宋体" w:hAnsi="宋体"/>
          <w:spacing w:val="4"/>
          <w:szCs w:val="21"/>
        </w:rPr>
        <w:t>，</w:t>
      </w:r>
      <w:r>
        <w:rPr>
          <w:rFonts w:hint="eastAsia" w:ascii="宋体" w:hAnsi="宋体"/>
          <w:spacing w:val="2"/>
          <w:szCs w:val="21"/>
        </w:rPr>
        <w:t>其投标保证金不予退还。</w:t>
      </w:r>
    </w:p>
    <w:p w14:paraId="1C41F521">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bCs/>
          <w:sz w:val="24"/>
        </w:rPr>
      </w:pPr>
      <w:r>
        <w:rPr>
          <w:rFonts w:hint="eastAsia" w:ascii="宋体" w:hAnsi="宋体"/>
          <w:b/>
          <w:bCs/>
          <w:sz w:val="24"/>
        </w:rPr>
        <w:t>32.</w:t>
      </w:r>
      <w:r>
        <w:rPr>
          <w:rFonts w:hint="eastAsia" w:ascii="宋体" w:hAnsi="宋体"/>
          <w:b/>
          <w:sz w:val="24"/>
        </w:rPr>
        <w:t xml:space="preserve"> 政府采购合同履行中</w:t>
      </w:r>
      <w:r>
        <w:rPr>
          <w:rFonts w:hint="eastAsia" w:ascii="宋体" w:hAnsi="宋体"/>
          <w:b/>
          <w:bCs/>
          <w:sz w:val="24"/>
        </w:rPr>
        <w:t>数量的变更</w:t>
      </w:r>
    </w:p>
    <w:p w14:paraId="27F5B16B">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 w:val="28"/>
          <w:szCs w:val="28"/>
        </w:rPr>
      </w:pPr>
      <w:r>
        <w:rPr>
          <w:rFonts w:hint="eastAsia" w:ascii="宋体" w:hAnsi="宋体"/>
        </w:rPr>
        <w:t>32.1政府采购合同履行中，采购人需追加与合同标的相同的货物服务的，在不改变合同其他条款的前提下，可以与中标人协商签订补充合同，但所有补充合同的采购金额不得超过原合同采购金额的百分之十。</w:t>
      </w:r>
    </w:p>
    <w:p w14:paraId="1306EC47">
      <w:pPr>
        <w:pStyle w:val="2"/>
        <w:pageBreakBefore w:val="0"/>
        <w:widowControl w:val="0"/>
        <w:kinsoku/>
        <w:wordWrap/>
        <w:overflowPunct/>
        <w:topLinePunct w:val="0"/>
        <w:autoSpaceDE/>
        <w:autoSpaceDN/>
        <w:bidi w:val="0"/>
        <w:adjustRightInd w:val="0"/>
        <w:snapToGrid w:val="0"/>
        <w:spacing w:before="0" w:after="0" w:line="360" w:lineRule="auto"/>
        <w:jc w:val="center"/>
        <w:textAlignment w:val="auto"/>
        <w:rPr>
          <w:rFonts w:ascii="黑体" w:hAnsi="黑体" w:eastAsia="黑体"/>
          <w:sz w:val="28"/>
          <w:szCs w:val="28"/>
        </w:rPr>
      </w:pPr>
      <w:bookmarkStart w:id="42" w:name="_Toc25771"/>
      <w:bookmarkStart w:id="43" w:name="_Toc32096"/>
      <w:r>
        <w:rPr>
          <w:rFonts w:hint="eastAsia" w:ascii="黑体" w:hAnsi="黑体" w:eastAsia="黑体"/>
          <w:sz w:val="28"/>
          <w:szCs w:val="28"/>
        </w:rPr>
        <w:t>八、政府采购政策</w:t>
      </w:r>
      <w:bookmarkEnd w:id="42"/>
      <w:bookmarkEnd w:id="43"/>
    </w:p>
    <w:p w14:paraId="3C626F64">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sz w:val="24"/>
        </w:rPr>
      </w:pPr>
      <w:r>
        <w:rPr>
          <w:rFonts w:hint="eastAsia" w:ascii="宋体" w:hAnsi="宋体"/>
          <w:b/>
          <w:bCs/>
          <w:sz w:val="24"/>
        </w:rPr>
        <w:t>33.</w:t>
      </w:r>
      <w:r>
        <w:rPr>
          <w:rFonts w:hint="eastAsia" w:ascii="宋体" w:hAnsi="宋体"/>
          <w:sz w:val="24"/>
        </w:rPr>
        <w:t xml:space="preserve"> </w:t>
      </w:r>
      <w:r>
        <w:rPr>
          <w:rFonts w:hint="eastAsia" w:ascii="宋体" w:hAnsi="宋体"/>
          <w:b/>
          <w:sz w:val="24"/>
        </w:rPr>
        <w:t>政府采购政策</w:t>
      </w:r>
    </w:p>
    <w:p w14:paraId="2644E92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rPr>
      </w:pPr>
      <w:bookmarkStart w:id="44" w:name="_Toc18302"/>
      <w:r>
        <w:rPr>
          <w:rFonts w:hint="eastAsia" w:ascii="宋体" w:hAnsi="宋体" w:eastAsia="宋体" w:cs="宋体"/>
          <w:kern w:val="0"/>
          <w:sz w:val="24"/>
          <w:szCs w:val="24"/>
        </w:rPr>
        <w:t>33.1优先采购：</w:t>
      </w:r>
    </w:p>
    <w:p w14:paraId="298B06E4">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（1）纳入财政部会同国务院有关部门发布的节能产品、环境标志产品政府采购品目清单，实施政府优先采购的，评审时按招标文件第四章第一节有关规定对该部分产品给予一定比例的价格折扣或者加分；</w:t>
      </w:r>
    </w:p>
    <w:p w14:paraId="2A06096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（2）纳入湖南省财政厅等有关部门发布的湖南省两型产品政府采购目录的，实施政府优先采购，评审时按招标文件第四章第一节有关规定对该部分产品给予一定比例的价格折扣或者加分。</w:t>
      </w:r>
    </w:p>
    <w:p w14:paraId="2B3F2294">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33.2强制采购：</w:t>
      </w:r>
    </w:p>
    <w:p w14:paraId="51BC1C71">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kern w:val="0"/>
          <w:sz w:val="24"/>
          <w:szCs w:val="24"/>
        </w:rPr>
      </w:pPr>
      <w:r>
        <w:rPr>
          <w:rFonts w:hint="eastAsia" w:ascii="宋体" w:hAnsi="宋体" w:eastAsia="宋体" w:cs="宋体"/>
          <w:kern w:val="0"/>
          <w:sz w:val="24"/>
          <w:szCs w:val="24"/>
        </w:rPr>
        <w:t>（1）纳入财政部会同国务院有关部门发布的节能产品政府采购品目清单，实施政府强制采购的（品目清单标注</w:t>
      </w:r>
      <w:r>
        <w:rPr>
          <w:rFonts w:hint="eastAsia" w:ascii="宋体" w:hAnsi="宋体" w:eastAsia="宋体" w:cs="宋体"/>
          <w:kern w:val="0"/>
          <w:sz w:val="24"/>
          <w:szCs w:val="24"/>
        </w:rPr>
        <w:sym w:font="Wingdings" w:char="F0AB"/>
      </w:r>
      <w:r>
        <w:rPr>
          <w:rFonts w:hint="eastAsia" w:ascii="宋体" w:hAnsi="宋体" w:eastAsia="宋体" w:cs="宋体"/>
          <w:kern w:val="0"/>
          <w:sz w:val="24"/>
          <w:szCs w:val="24"/>
        </w:rPr>
        <w:t>符号产品），投标人投标产品应当取得国家确定的认证机构出具的、处于有效期之内的节能产品认证证书，否则其</w:t>
      </w:r>
      <w:r>
        <w:rPr>
          <w:rFonts w:hint="eastAsia" w:ascii="宋体" w:hAnsi="宋体" w:eastAsia="宋体" w:cs="宋体"/>
          <w:b/>
          <w:kern w:val="0"/>
          <w:sz w:val="24"/>
          <w:szCs w:val="24"/>
        </w:rPr>
        <w:t>投标无效</w:t>
      </w:r>
      <w:r>
        <w:rPr>
          <w:rFonts w:hint="eastAsia" w:ascii="宋体" w:hAnsi="宋体" w:eastAsia="宋体" w:cs="宋体"/>
          <w:kern w:val="0"/>
          <w:sz w:val="24"/>
          <w:szCs w:val="24"/>
        </w:rPr>
        <w:t>。</w:t>
      </w:r>
    </w:p>
    <w:p w14:paraId="2BA9565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33.3价格评审优惠：</w:t>
      </w:r>
    </w:p>
    <w:p w14:paraId="54181C9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1）在政府采购活动中，供应商提供的货物、工程或者服务符合下列情形的：（一）在货物采购项目中，货物由中小企业制造，即货物由中小企业生产且使用该中小企业商号或者注册商标；（二）在工程采购项目中，工程由中小企业承建，即工程施工单位为中小企业；（三）在服务采购项目中，服务由中小企业承接，即提供服务的人员为中小企业依照《中华人民共和国劳动合同法》订立劳动合同的从业人员；给予一定比例的价格折扣，用扣除后的价格参与评审；</w:t>
      </w:r>
    </w:p>
    <w:p w14:paraId="5A09678A">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2）对于经主管预算单位统筹后未预留份额专门面向中小企业采购的采购项目，以及预留份额项目中的非预留部分采购包，符合小微企业生产的货物或者提供的服务、工程情形的，给予一定比例的价格折扣，用扣除后的价格参与评审。</w:t>
      </w:r>
    </w:p>
    <w:p w14:paraId="7D71F50F">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接受大中型企业与小微企业组成联合体或者允许大中型企业向一家或者多家小微企业分包的采购项目，对于联合协议或者分包意向协议约定小微企业的合同份额占到合同总金额40%以上的，给予一定比例的价格折扣，用扣除后的价格参与评审。以联合体形式参加政府采购活动，联合体各方均为中小企业的，联合体视同中小企业。其中，联合体各方均为小微企业的，联合体视同小微企业；</w:t>
      </w:r>
    </w:p>
    <w:p w14:paraId="38FDF987">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（3）符合中小企业划分标准的个体工商户视同中小企业，享受评审中价格扣除等促进中小企业发展的政府采购政策。</w:t>
      </w:r>
    </w:p>
    <w:p w14:paraId="096785AF">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（4）监狱企业、残疾人福利性单位视同小型、微型企业，享受评审中价格扣除等促进中小企业发展的政府采购政策。</w:t>
      </w:r>
    </w:p>
    <w:p w14:paraId="10DE8085">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（5）与大企业的负责人为同一人，或者与大企业存在直接控股、管理关系的中小企业，不享受评审中价格扣除等促进中小企业发展的政府采购政策。</w:t>
      </w:r>
    </w:p>
    <w:p w14:paraId="451E7E59">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（6）本章第1.2款规定采购项目或者采购包属于“预留采购份额”的，预留部分不再享受本款“价格评审优惠”的小微企业扶持政策。</w:t>
      </w:r>
    </w:p>
    <w:p w14:paraId="1D84C934">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33.4政府采购政策交叉与叠加</w:t>
      </w:r>
    </w:p>
    <w:p w14:paraId="3F9566E5">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（1）投标产品取得两个及以上优先采购产品认证的，评审时只有其中一项产品能享受优先采购优惠（投标人自行选择，并在投标文件中并填报相关信息及数据）</w:t>
      </w:r>
    </w:p>
    <w:p w14:paraId="29591025">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（2）投标人同时符合小型、微型企业及监狱企业、残疾人福利性单位要求的，评审时只有一种类型享受价格评审优惠政策；</w:t>
      </w:r>
    </w:p>
    <w:p w14:paraId="47060AE9">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（3）小型和微型企业的价格评审优惠可以与同时属于“节能产品”、“环境标志产品”及“两型产品”中的一项优先采购优惠累加计算。</w:t>
      </w:r>
    </w:p>
    <w:p w14:paraId="5CDDF3D7">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33.5在货物采购项目中，供应商提供的货物既有中小企业制造货物，也有大型企业制造货物的，不享受政府采购中小企业扶持政策。</w:t>
      </w:r>
    </w:p>
    <w:p w14:paraId="796EFAF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33.6投标人符合本章第33.1款、第33.2款、第33.3款规定的，应提供相关证明资料。</w:t>
      </w:r>
    </w:p>
    <w:p w14:paraId="3F38E87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（1）节能产品、环境标志产品：提供国家确定的认证机构出具的、处于有效期之内的节能产品、环境标志产品认证证书。</w:t>
      </w:r>
    </w:p>
    <w:p w14:paraId="7594BE23">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（2）两型产品：提供《湖南省两型产品政府采购目录》（最新一期）文件首页和投标产品所在页（截图）。</w:t>
      </w:r>
    </w:p>
    <w:p w14:paraId="4EE0A73A">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（3）中小企业：货物类采购项目，按《关于印发＜政府采购促进中小企业发展办法＞的通知》(财库[2020]46号) 和《关于印发中小企业划型标准规定的通知》（工信部联企业〔2011〕300号）文件规定提供中小企业声明函（格式）；服务类采购项目，按《湖南省财政厅关于政府采购促进中小企业发展的有关措施的通知》（湘财购[2022]17号）文件规定提供湖南省政府采购供应商资格承诺函（格式）。</w:t>
      </w:r>
    </w:p>
    <w:p w14:paraId="388A59EE">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（4）监狱企业：按《关于政府采购支持监狱企业发展有关问题的通知》(财库〔2014〕68号)文件规定提供证明文件。</w:t>
      </w:r>
    </w:p>
    <w:p w14:paraId="57F74D87">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（5）残疾人福利性单位：按《关于促进残疾人就业政府采购政策的通知》(财库〔2017〕141号)文件规定提供《残疾人福利性单位声明函》（格式）。</w:t>
      </w:r>
    </w:p>
    <w:p w14:paraId="5279682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33.7执行中小企业预留采购份额政策的规定：</w:t>
      </w:r>
    </w:p>
    <w:p w14:paraId="20CBCB80">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（1）预留份额的采购项目或者采购包，应明确该项目或相关采购包专门面向中小企业采购，并作为供应商资格条件。</w:t>
      </w:r>
    </w:p>
    <w:p w14:paraId="063A0525">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（2）要求以联合体形式参加或者合同分包的，应明确联合协议或者分包意向协议中中小企业合同金额应当达到的比例，并作为供应商资格条件。</w:t>
      </w:r>
    </w:p>
    <w:p w14:paraId="78A1459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（3）组成联合体或者接受分包合同的中小企业与联合体内其他企业(成员)、分包企业(投标人)之间不得存在直接控股、管理关系。</w:t>
      </w:r>
    </w:p>
    <w:p w14:paraId="42D26D8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Times New Roman"/>
          <w:sz w:val="24"/>
          <w:szCs w:val="24"/>
        </w:rPr>
        <w:t>33.8采购进口产品</w:t>
      </w:r>
    </w:p>
    <w:p w14:paraId="252CCB56">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Times New Roman"/>
          <w:sz w:val="24"/>
          <w:szCs w:val="24"/>
        </w:rPr>
      </w:pPr>
      <w:r>
        <w:rPr>
          <w:rFonts w:hint="eastAsia" w:ascii="宋体" w:hAnsi="宋体" w:eastAsia="宋体" w:cs="宋体"/>
          <w:kern w:val="0"/>
          <w:sz w:val="24"/>
          <w:szCs w:val="24"/>
        </w:rPr>
        <w:t>进口产品是指符合《政府采购进口产品管理办法》（财库〔2007〕119号）和《关于政府采购进口产品管理有关问题的通知》（财办库〔2008〕248号）文件规定的产品。除</w:t>
      </w:r>
      <w:r>
        <w:rPr>
          <w:rFonts w:hint="eastAsia" w:ascii="宋体" w:hAnsi="宋体" w:eastAsia="宋体" w:cs="Times New Roman"/>
          <w:b/>
          <w:sz w:val="24"/>
          <w:szCs w:val="24"/>
        </w:rPr>
        <w:t>【投标须知前附表】</w:t>
      </w:r>
      <w:r>
        <w:rPr>
          <w:rFonts w:hint="eastAsia" w:ascii="宋体" w:hAnsi="宋体" w:eastAsia="宋体" w:cs="宋体"/>
          <w:kern w:val="0"/>
          <w:sz w:val="24"/>
          <w:szCs w:val="24"/>
        </w:rPr>
        <w:t>另有规定外，采购项目</w:t>
      </w:r>
      <w:r>
        <w:rPr>
          <w:rFonts w:hint="eastAsia" w:ascii="宋体" w:hAnsi="宋体" w:eastAsia="宋体" w:cs="宋体"/>
          <w:b/>
          <w:kern w:val="0"/>
          <w:sz w:val="24"/>
          <w:szCs w:val="24"/>
        </w:rPr>
        <w:t>拒绝进口产品参加投标</w:t>
      </w:r>
      <w:r>
        <w:rPr>
          <w:rFonts w:hint="eastAsia" w:ascii="宋体" w:hAnsi="宋体" w:eastAsia="宋体" w:cs="宋体"/>
          <w:kern w:val="0"/>
          <w:sz w:val="24"/>
          <w:szCs w:val="24"/>
        </w:rPr>
        <w:t>。本款规定同意购买进口产品的，不限制满足招标文件要求的国内产品参与投标竞争。</w:t>
      </w:r>
    </w:p>
    <w:p w14:paraId="14A9BD7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eastAsia="宋体" w:cs="Times New Roman"/>
          <w:color w:val="000000"/>
          <w:sz w:val="24"/>
          <w:szCs w:val="24"/>
        </w:rPr>
      </w:pPr>
      <w:r>
        <w:rPr>
          <w:rFonts w:hint="eastAsia" w:ascii="宋体" w:hAnsi="宋体" w:eastAsia="宋体" w:cs="Times New Roman"/>
          <w:sz w:val="24"/>
          <w:szCs w:val="24"/>
        </w:rPr>
        <w:t>33.9投标人有融资、担保需求的，可登陆中国湖南政府采购网查询相关银行、担保机构业务。</w:t>
      </w:r>
    </w:p>
    <w:p w14:paraId="57FFF670">
      <w:pPr>
        <w:pStyle w:val="2"/>
        <w:pageBreakBefore w:val="0"/>
        <w:widowControl w:val="0"/>
        <w:kinsoku/>
        <w:wordWrap/>
        <w:overflowPunct/>
        <w:topLinePunct w:val="0"/>
        <w:autoSpaceDE/>
        <w:autoSpaceDN/>
        <w:bidi w:val="0"/>
        <w:adjustRightInd w:val="0"/>
        <w:snapToGrid w:val="0"/>
        <w:spacing w:before="0" w:after="0" w:line="360" w:lineRule="auto"/>
        <w:jc w:val="center"/>
        <w:textAlignment w:val="auto"/>
        <w:rPr>
          <w:rFonts w:ascii="黑体" w:hAnsi="黑体" w:eastAsia="黑体"/>
          <w:sz w:val="28"/>
          <w:szCs w:val="28"/>
        </w:rPr>
      </w:pPr>
      <w:bookmarkStart w:id="45" w:name="_Toc29441"/>
      <w:r>
        <w:rPr>
          <w:rFonts w:hint="eastAsia" w:ascii="黑体" w:hAnsi="黑体" w:eastAsia="黑体"/>
          <w:sz w:val="28"/>
          <w:szCs w:val="28"/>
        </w:rPr>
        <w:t>九、其他规定</w:t>
      </w:r>
      <w:bookmarkEnd w:id="44"/>
      <w:bookmarkEnd w:id="45"/>
    </w:p>
    <w:p w14:paraId="78030632">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sz w:val="24"/>
        </w:rPr>
      </w:pPr>
      <w:r>
        <w:rPr>
          <w:rFonts w:hint="eastAsia" w:ascii="宋体" w:hAnsi="宋体"/>
          <w:b/>
          <w:bCs/>
          <w:sz w:val="24"/>
        </w:rPr>
        <w:t>34.</w:t>
      </w:r>
      <w:r>
        <w:rPr>
          <w:rFonts w:hint="eastAsia" w:ascii="宋体" w:hAnsi="宋体"/>
          <w:sz w:val="24"/>
        </w:rPr>
        <w:t xml:space="preserve"> </w:t>
      </w:r>
      <w:r>
        <w:rPr>
          <w:rFonts w:hint="eastAsia" w:ascii="宋体" w:hAnsi="宋体"/>
          <w:b/>
          <w:sz w:val="24"/>
        </w:rPr>
        <w:t>招标不足三家处理</w:t>
      </w:r>
    </w:p>
    <w:p w14:paraId="1756E9E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34.1公开招标数额标准以上的采购项目，投标截止后投标人不足3家或者通过资格审查或符合性审查的投标人不足3家的，除采购任务取消情形外，按照以下方式处理：</w:t>
      </w:r>
    </w:p>
    <w:p w14:paraId="6BBA1A2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（1）招标文件存在不合理条款或者招标程序不符合规定的，采购人、采购代理机构改正后依法重新招标；</w:t>
      </w:r>
    </w:p>
    <w:p w14:paraId="08B5E02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（2）招标文件没有不合理条款、招标程序符合规定，需要采用其他采购方式采购的，采购人应当依法报财政部门批准。</w:t>
      </w:r>
    </w:p>
    <w:p w14:paraId="44720CF1">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34.2属上款第（2）项情形的，评标委员会应出具的招标文件没有不合理条款的论证意见。</w:t>
      </w:r>
    </w:p>
    <w:p w14:paraId="0B26897A">
      <w:pPr>
        <w:pageBreakBefore w:val="0"/>
        <w:widowControl w:val="0"/>
        <w:kinsoku/>
        <w:wordWrap/>
        <w:overflowPunct/>
        <w:topLinePunct w:val="0"/>
        <w:autoSpaceDE/>
        <w:autoSpaceDN/>
        <w:bidi w:val="0"/>
        <w:adjustRightInd w:val="0"/>
        <w:snapToGrid w:val="0"/>
        <w:spacing w:line="360" w:lineRule="auto"/>
        <w:jc w:val="left"/>
        <w:textAlignment w:val="auto"/>
        <w:rPr>
          <w:rFonts w:ascii="宋体" w:hAnsi="宋体"/>
          <w:b/>
          <w:sz w:val="24"/>
        </w:rPr>
      </w:pPr>
      <w:r>
        <w:rPr>
          <w:rFonts w:hint="eastAsia" w:ascii="宋体" w:hAnsi="宋体"/>
          <w:b/>
          <w:bCs/>
          <w:sz w:val="24"/>
        </w:rPr>
        <w:t>35.</w:t>
      </w:r>
      <w:r>
        <w:rPr>
          <w:rFonts w:hint="eastAsia" w:ascii="宋体" w:hAnsi="宋体"/>
          <w:b/>
          <w:sz w:val="24"/>
        </w:rPr>
        <w:t xml:space="preserve"> 需要补充的其他内容</w:t>
      </w:r>
    </w:p>
    <w:p w14:paraId="3081DDBE">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35.1合同价款支付</w:t>
      </w:r>
    </w:p>
    <w:p w14:paraId="0C34A145">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rPr>
        <w:t>（1）招标文件</w:t>
      </w:r>
      <w:r>
        <w:rPr>
          <w:rFonts w:hint="eastAsia" w:ascii="宋体" w:hAnsi="宋体"/>
          <w:bCs/>
          <w:szCs w:val="21"/>
        </w:rPr>
        <w:t>规定支付合同预付款的，采购人应按</w:t>
      </w:r>
      <w:r>
        <w:rPr>
          <w:rFonts w:hint="eastAsia" w:ascii="宋体" w:hAnsi="宋体"/>
          <w:b/>
          <w:szCs w:val="21"/>
        </w:rPr>
        <w:t>【投标须知前附表】</w:t>
      </w:r>
      <w:r>
        <w:rPr>
          <w:rFonts w:hint="eastAsia" w:ascii="宋体" w:hAnsi="宋体"/>
          <w:bCs/>
          <w:szCs w:val="21"/>
        </w:rPr>
        <w:t>规定的支付比例和支付条件向符合要求的中标供应商及时支付相应款项，并在政府采购合同中进行明确。</w:t>
      </w:r>
    </w:p>
    <w:p w14:paraId="4D3AC749">
      <w:pPr>
        <w:pStyle w:val="63"/>
        <w:pageBreakBefore w:val="0"/>
        <w:widowControl w:val="0"/>
        <w:kinsoku/>
        <w:wordWrap/>
        <w:overflowPunct/>
        <w:topLinePunct w:val="0"/>
        <w:autoSpaceDE/>
        <w:autoSpaceDN/>
        <w:bidi w:val="0"/>
        <w:spacing w:line="360" w:lineRule="auto"/>
        <w:textAlignment w:val="auto"/>
        <w:rPr>
          <w:rFonts w:ascii="宋体" w:hAnsi="宋体"/>
          <w:bCs/>
          <w:sz w:val="24"/>
          <w:szCs w:val="24"/>
        </w:rPr>
      </w:pPr>
      <w:r>
        <w:rPr>
          <w:rFonts w:hint="eastAsia" w:ascii="宋体" w:hAnsi="宋体"/>
          <w:sz w:val="24"/>
          <w:szCs w:val="24"/>
        </w:rPr>
        <w:t>（2）招标文件</w:t>
      </w:r>
      <w:r>
        <w:rPr>
          <w:rFonts w:hint="eastAsia" w:ascii="宋体" w:hAnsi="宋体"/>
          <w:bCs/>
          <w:sz w:val="24"/>
          <w:szCs w:val="24"/>
        </w:rPr>
        <w:t>规定需提交质量保证金的，采购人可以按</w:t>
      </w:r>
      <w:r>
        <w:rPr>
          <w:rFonts w:hint="eastAsia" w:ascii="宋体" w:hAnsi="宋体"/>
          <w:b/>
          <w:sz w:val="24"/>
          <w:szCs w:val="24"/>
        </w:rPr>
        <w:t>【投标须知前附表】</w:t>
      </w:r>
      <w:r>
        <w:rPr>
          <w:rFonts w:hint="eastAsia" w:ascii="宋体" w:hAnsi="宋体"/>
          <w:bCs/>
          <w:sz w:val="24"/>
          <w:szCs w:val="24"/>
        </w:rPr>
        <w:t>规定要求中标供应商提交质量保证金，并在政府采购合同中进行明确。</w:t>
      </w:r>
    </w:p>
    <w:p w14:paraId="619AC960">
      <w:pPr>
        <w:pStyle w:val="63"/>
        <w:pageBreakBefore w:val="0"/>
        <w:widowControl w:val="0"/>
        <w:kinsoku/>
        <w:wordWrap/>
        <w:overflowPunct/>
        <w:topLinePunct w:val="0"/>
        <w:autoSpaceDE/>
        <w:autoSpaceDN/>
        <w:bidi w:val="0"/>
        <w:spacing w:line="360" w:lineRule="auto"/>
        <w:textAlignment w:val="auto"/>
        <w:rPr>
          <w:rFonts w:ascii="宋体" w:hAnsi="宋体"/>
          <w:bCs/>
          <w:sz w:val="24"/>
          <w:szCs w:val="24"/>
        </w:rPr>
      </w:pPr>
      <w:r>
        <w:rPr>
          <w:rFonts w:hint="eastAsia" w:ascii="宋体" w:hAnsi="宋体"/>
          <w:bCs/>
          <w:sz w:val="24"/>
          <w:szCs w:val="24"/>
        </w:rPr>
        <w:t>（3）投标人可以保函、电子增信替代预付款担保、质量保证金。</w:t>
      </w:r>
    </w:p>
    <w:p w14:paraId="5BFDC460">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 w:val="24"/>
          <w:szCs w:val="24"/>
        </w:rPr>
        <w:t>35.2招标文件需要补充的其他内容见</w:t>
      </w:r>
      <w:r>
        <w:rPr>
          <w:rFonts w:hint="eastAsia" w:ascii="宋体" w:hAnsi="宋体"/>
          <w:b/>
          <w:sz w:val="24"/>
          <w:szCs w:val="24"/>
        </w:rPr>
        <w:t>【投标须知前附表】</w:t>
      </w:r>
      <w:r>
        <w:rPr>
          <w:rFonts w:hint="eastAsia" w:ascii="宋体" w:hAnsi="宋体"/>
          <w:sz w:val="24"/>
          <w:szCs w:val="24"/>
        </w:rPr>
        <w:t>。</w:t>
      </w:r>
    </w:p>
    <w:p w14:paraId="2A2314C2">
      <w:r>
        <w:br w:type="page"/>
      </w:r>
    </w:p>
    <w:p w14:paraId="2F3E4B75">
      <w:pPr>
        <w:pStyle w:val="3"/>
        <w:ind w:firstLine="2570" w:firstLineChars="800"/>
        <w:jc w:val="both"/>
        <w:rPr>
          <w:rFonts w:hint="eastAsia" w:ascii="黑体" w:hAnsi="华文中宋" w:eastAsia="黑体"/>
          <w:color w:val="000000"/>
          <w:sz w:val="32"/>
          <w:szCs w:val="32"/>
        </w:rPr>
      </w:pPr>
      <w:bookmarkStart w:id="46" w:name="_Toc13809"/>
      <w:bookmarkStart w:id="47" w:name="_Toc20651205"/>
      <w:r>
        <w:rPr>
          <w:rFonts w:hint="eastAsia" w:ascii="黑体" w:hAnsi="华文中宋" w:eastAsia="黑体"/>
          <w:color w:val="000000"/>
          <w:sz w:val="32"/>
          <w:szCs w:val="32"/>
        </w:rPr>
        <w:t>第三章 资格审查</w:t>
      </w:r>
      <w:bookmarkEnd w:id="46"/>
      <w:bookmarkEnd w:id="47"/>
    </w:p>
    <w:p w14:paraId="7B3C260A">
      <w:pPr>
        <w:pStyle w:val="2"/>
        <w:adjustRightInd w:val="0"/>
        <w:snapToGrid w:val="0"/>
        <w:spacing w:before="156" w:beforeLines="50" w:after="0" w:line="360" w:lineRule="auto"/>
        <w:rPr>
          <w:rFonts w:ascii="黑体" w:hAnsi="黑体" w:eastAsia="黑体"/>
          <w:sz w:val="24"/>
          <w:szCs w:val="24"/>
        </w:rPr>
      </w:pPr>
      <w:bookmarkStart w:id="48" w:name="_Toc12630"/>
      <w:bookmarkStart w:id="49" w:name="_Toc26260"/>
      <w:r>
        <w:rPr>
          <w:rFonts w:hint="eastAsia" w:ascii="黑体" w:hAnsi="黑体" w:eastAsia="黑体"/>
          <w:sz w:val="24"/>
          <w:szCs w:val="24"/>
        </w:rPr>
        <w:t>1．资格审查主体</w:t>
      </w:r>
      <w:bookmarkEnd w:id="48"/>
      <w:bookmarkEnd w:id="49"/>
    </w:p>
    <w:p w14:paraId="6558C926">
      <w:pPr>
        <w:adjustRightInd w:val="0"/>
        <w:snapToGrid w:val="0"/>
        <w:spacing w:before="156" w:beforeLines="50" w:line="360" w:lineRule="auto"/>
        <w:ind w:firstLine="477" w:firstLineChars="199"/>
        <w:jc w:val="left"/>
        <w:rPr>
          <w:rFonts w:ascii="宋体" w:hAnsi="宋体"/>
          <w:szCs w:val="21"/>
        </w:rPr>
      </w:pPr>
      <w:r>
        <w:rPr>
          <w:rFonts w:hint="eastAsia" w:ascii="宋体" w:hAnsi="宋体"/>
          <w:szCs w:val="21"/>
        </w:rPr>
        <w:t>1.1资格审查主体：采购人、采购代理机构负责资格审查。</w:t>
      </w:r>
    </w:p>
    <w:p w14:paraId="13EB6D30">
      <w:pPr>
        <w:pStyle w:val="2"/>
        <w:adjustRightInd w:val="0"/>
        <w:snapToGrid w:val="0"/>
        <w:spacing w:before="156" w:beforeLines="50" w:after="0" w:line="360" w:lineRule="auto"/>
        <w:rPr>
          <w:rFonts w:ascii="黑体" w:hAnsi="黑体" w:eastAsia="黑体"/>
          <w:sz w:val="24"/>
          <w:szCs w:val="24"/>
        </w:rPr>
      </w:pPr>
      <w:bookmarkStart w:id="50" w:name="_Toc31107"/>
      <w:bookmarkStart w:id="51" w:name="_Toc14915"/>
      <w:r>
        <w:rPr>
          <w:rFonts w:hint="eastAsia" w:ascii="黑体" w:hAnsi="黑体" w:eastAsia="黑体"/>
          <w:sz w:val="24"/>
          <w:szCs w:val="24"/>
        </w:rPr>
        <w:t>2．资格审查（未进行资格预审的）</w:t>
      </w:r>
      <w:bookmarkEnd w:id="50"/>
      <w:bookmarkEnd w:id="51"/>
    </w:p>
    <w:p w14:paraId="2109C6B3">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2.1资格审查依据法律法规和招标文件的规定，对投标文件中的资格证明文件、投标保证金、投标报价等进行审查，以确定投标供应商是否具备投标资格。</w:t>
      </w:r>
    </w:p>
    <w:p w14:paraId="7857284B">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2.2采购人、采购代理机构按本章附表1“资格审查表”所列审查项目及审查标准，对投标人资格进行审查。</w:t>
      </w:r>
    </w:p>
    <w:p w14:paraId="303053E1">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2.3在资格审查时，投标人存在下列情况之一的，资格审查不合格，其投标无效：</w:t>
      </w:r>
    </w:p>
    <w:p w14:paraId="4B6F0F77">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（1）不具备招标文件中规定的资格要求的，或提交的资格证明文件不符合招标文件要求的；</w:t>
      </w:r>
    </w:p>
    <w:p w14:paraId="6F09B82E">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（2）联合体投标未提交联合体协议书，或未提交联合体各方资格证明文件的；</w:t>
      </w:r>
    </w:p>
    <w:p w14:paraId="2FDD0D30">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（3）投标文件的资格证明文件未按照招标文件要求签署、盖章的；</w:t>
      </w:r>
    </w:p>
    <w:p w14:paraId="3E24536D">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（4）未按照招标文件的规定提交投标保证金的。</w:t>
      </w:r>
    </w:p>
    <w:p w14:paraId="30997952">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（5）投标报价超过招标文件中规定的预算金额或者最高限价的；</w:t>
      </w:r>
    </w:p>
    <w:p w14:paraId="32B005DE">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（6）法律、法规和招标文件规定的其他投标无效情形的。</w:t>
      </w:r>
    </w:p>
    <w:p w14:paraId="0110C37B">
      <w:pPr>
        <w:adjustRightInd w:val="0"/>
        <w:snapToGrid w:val="0"/>
        <w:spacing w:before="156" w:beforeLines="50" w:line="360" w:lineRule="auto"/>
        <w:ind w:firstLine="480" w:firstLineChars="200"/>
        <w:jc w:val="left"/>
        <w:rPr>
          <w:rFonts w:ascii="宋体" w:hAnsi="宋体"/>
          <w:b/>
          <w:sz w:val="32"/>
          <w:szCs w:val="32"/>
        </w:rPr>
      </w:pPr>
      <w:r>
        <w:rPr>
          <w:rFonts w:hint="eastAsia" w:ascii="宋体" w:hAnsi="宋体"/>
        </w:rPr>
        <w:t>2.4信用记录。开标结束后</w:t>
      </w:r>
      <w:r>
        <w:rPr>
          <w:rFonts w:hint="eastAsia" w:ascii="宋体" w:hAnsi="宋体"/>
          <w:szCs w:val="21"/>
        </w:rPr>
        <w:t>资格审查时，采购人、采购代理机构将对投标人信用记录进行甄别。</w:t>
      </w:r>
    </w:p>
    <w:p w14:paraId="2C64F510">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（1）信用信息查询的查询渠道：信用中国网（www.creditchina.gov.cn）、中国政府采购网（www.ccgp.gov.cn）；</w:t>
      </w:r>
    </w:p>
    <w:p w14:paraId="2E6A6220">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2）不良信用记录是指：投标人在“信用中国”网站被列入失信被执行人和重大税收违法失信主体名单，或在“中国政府采购网”网站被列入政府采购严重违法失信行为记录名单。投标人有上述不良信用记录的，其投标无效，其中，列入政府采购严重违法失信行为记录名单的，按处罚结果执行。</w:t>
      </w:r>
    </w:p>
    <w:p w14:paraId="73EBC0AE">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（3）联合体形式投标的，联合体成员存在不良信用记录的，视同联合体存在不良信用记录。</w:t>
      </w:r>
    </w:p>
    <w:p w14:paraId="1F5F5177">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（4）信用信息查询记录和证据留存具体方式：</w:t>
      </w:r>
      <w:r>
        <w:rPr>
          <w:rFonts w:hint="eastAsia" w:ascii="宋体" w:hAnsi="宋体"/>
          <w:color w:val="auto"/>
          <w:szCs w:val="21"/>
        </w:rPr>
        <w:t>采购人、采购代理机构</w:t>
      </w:r>
      <w:r>
        <w:rPr>
          <w:rFonts w:ascii="宋体" w:hAnsi="宋体"/>
          <w:color w:val="auto"/>
          <w:szCs w:val="21"/>
        </w:rPr>
        <w:t>经办人将查询网页</w:t>
      </w:r>
      <w:r>
        <w:rPr>
          <w:rFonts w:hint="eastAsia" w:ascii="宋体" w:hAnsi="宋体"/>
          <w:color w:val="auto"/>
          <w:szCs w:val="21"/>
        </w:rPr>
        <w:t>截图、</w:t>
      </w:r>
      <w:r>
        <w:rPr>
          <w:rFonts w:ascii="宋体" w:hAnsi="宋体"/>
          <w:color w:val="auto"/>
          <w:szCs w:val="21"/>
        </w:rPr>
        <w:t>打印、签字</w:t>
      </w:r>
      <w:r>
        <w:rPr>
          <w:rFonts w:hint="eastAsia" w:ascii="宋体" w:hAnsi="宋体"/>
          <w:color w:val="auto"/>
          <w:szCs w:val="21"/>
        </w:rPr>
        <w:t>，作为查询记录和证据，与其他采购文件一并保存。</w:t>
      </w:r>
      <w:r>
        <w:rPr>
          <w:rFonts w:ascii="宋体" w:hAnsi="宋体"/>
          <w:color w:val="auto"/>
          <w:szCs w:val="21"/>
        </w:rPr>
        <w:t>投标人不良信用记录以</w:t>
      </w:r>
      <w:r>
        <w:rPr>
          <w:rFonts w:hint="eastAsia" w:ascii="宋体" w:hAnsi="宋体"/>
          <w:color w:val="auto"/>
          <w:szCs w:val="21"/>
        </w:rPr>
        <w:t>采购人、采购代理机构</w:t>
      </w:r>
      <w:r>
        <w:rPr>
          <w:rFonts w:ascii="宋体" w:hAnsi="宋体"/>
          <w:color w:val="auto"/>
          <w:szCs w:val="21"/>
        </w:rPr>
        <w:t>查询结果为准</w:t>
      </w:r>
      <w:r>
        <w:rPr>
          <w:rFonts w:hint="eastAsia" w:ascii="宋体" w:hAnsi="宋体"/>
          <w:color w:val="auto"/>
          <w:szCs w:val="21"/>
        </w:rPr>
        <w:t>。</w:t>
      </w:r>
    </w:p>
    <w:p w14:paraId="2A5C719F">
      <w:pPr>
        <w:pStyle w:val="2"/>
        <w:spacing w:before="156" w:after="156"/>
        <w:rPr>
          <w:rFonts w:ascii="黑体" w:hAnsi="黑体" w:eastAsia="黑体"/>
          <w:sz w:val="24"/>
          <w:szCs w:val="24"/>
        </w:rPr>
      </w:pPr>
      <w:bookmarkStart w:id="52" w:name="_Toc62206176"/>
      <w:bookmarkStart w:id="53" w:name="_Toc48"/>
      <w:bookmarkStart w:id="54" w:name="_Toc24222"/>
      <w:bookmarkStart w:id="55" w:name="_Toc82155400"/>
      <w:r>
        <w:rPr>
          <w:rFonts w:hint="eastAsia" w:ascii="黑体" w:hAnsi="黑体" w:eastAsia="黑体"/>
          <w:sz w:val="24"/>
          <w:szCs w:val="24"/>
        </w:rPr>
        <w:t>2．资格审查（已进行资格预审的）</w:t>
      </w:r>
      <w:bookmarkEnd w:id="52"/>
      <w:bookmarkEnd w:id="53"/>
      <w:bookmarkEnd w:id="54"/>
      <w:bookmarkEnd w:id="55"/>
    </w:p>
    <w:p w14:paraId="2054EFA4">
      <w:pPr>
        <w:adjustRightInd w:val="0"/>
        <w:snapToGrid w:val="0"/>
        <w:spacing w:line="360" w:lineRule="auto"/>
        <w:ind w:firstLine="480" w:firstLineChars="200"/>
        <w:rPr>
          <w:rFonts w:ascii="宋体" w:hAnsi="宋体" w:cs="宋体"/>
          <w:kern w:val="0"/>
          <w:lang w:val="zh-CN"/>
        </w:rPr>
      </w:pPr>
      <w:r>
        <w:rPr>
          <w:rFonts w:hint="eastAsia" w:ascii="宋体" w:hAnsi="宋体"/>
        </w:rPr>
        <w:t>2.1供应商若有第二章第</w:t>
      </w:r>
      <w:r>
        <w:rPr>
          <w:rFonts w:ascii="宋体" w:hAnsi="宋体"/>
        </w:rPr>
        <w:t>1</w:t>
      </w:r>
      <w:r>
        <w:rPr>
          <w:rFonts w:hint="eastAsia" w:ascii="宋体" w:hAnsi="宋体"/>
        </w:rPr>
        <w:t>4</w:t>
      </w:r>
      <w:r>
        <w:rPr>
          <w:rFonts w:ascii="宋体" w:hAnsi="宋体"/>
        </w:rPr>
        <w:t>.1</w:t>
      </w:r>
      <w:r>
        <w:rPr>
          <w:rFonts w:hint="eastAsia" w:ascii="宋体" w:hAnsi="宋体"/>
        </w:rPr>
        <w:t>款规定情形，采购人、采购代理机构按该款规定进行审查。</w:t>
      </w:r>
      <w:r>
        <w:rPr>
          <w:rFonts w:hint="eastAsia" w:ascii="宋体" w:hAnsi="宋体"/>
          <w:szCs w:val="21"/>
        </w:rPr>
        <w:t>除本</w:t>
      </w:r>
      <w:r>
        <w:rPr>
          <w:rFonts w:hint="eastAsia" w:ascii="宋体" w:hAnsi="宋体" w:cs="宋体"/>
          <w:kern w:val="0"/>
          <w:szCs w:val="21"/>
          <w:lang w:val="zh-CN"/>
        </w:rPr>
        <w:t>款规定的</w:t>
      </w:r>
      <w:r>
        <w:rPr>
          <w:rFonts w:hint="eastAsia" w:ascii="宋体" w:hAnsi="宋体"/>
        </w:rPr>
        <w:t>情形外，采购人、采购代理机构</w:t>
      </w:r>
      <w:r>
        <w:rPr>
          <w:rFonts w:hint="eastAsia" w:hAnsi="宋体"/>
        </w:rPr>
        <w:t>不再对供应商进行资格审查。</w:t>
      </w:r>
    </w:p>
    <w:p w14:paraId="2AB738A6">
      <w:pPr>
        <w:pStyle w:val="2"/>
        <w:adjustRightInd w:val="0"/>
        <w:snapToGrid w:val="0"/>
        <w:spacing w:before="156" w:beforeLines="50" w:after="0" w:line="360" w:lineRule="auto"/>
        <w:rPr>
          <w:rFonts w:ascii="黑体" w:hAnsi="黑体" w:eastAsia="黑体"/>
          <w:sz w:val="24"/>
          <w:szCs w:val="24"/>
        </w:rPr>
      </w:pPr>
      <w:bookmarkStart w:id="56" w:name="_Toc2936"/>
      <w:bookmarkStart w:id="57" w:name="_Toc28744"/>
      <w:r>
        <w:rPr>
          <w:rFonts w:hint="eastAsia" w:ascii="黑体" w:hAnsi="黑体" w:eastAsia="黑体"/>
          <w:sz w:val="24"/>
          <w:szCs w:val="24"/>
        </w:rPr>
        <w:t>3．资格审查结果</w:t>
      </w:r>
      <w:bookmarkEnd w:id="56"/>
      <w:bookmarkEnd w:id="57"/>
    </w:p>
    <w:p w14:paraId="1BB1BE21">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3.1未通过资格审查的投标人，采购人、采购代理机构应当告知其未通过的原因。</w:t>
      </w:r>
    </w:p>
    <w:p w14:paraId="1CB8C243">
      <w:pPr>
        <w:adjustRightInd w:val="0"/>
        <w:snapToGrid w:val="0"/>
        <w:spacing w:beforeLines="50" w:line="360" w:lineRule="auto"/>
        <w:ind w:firstLine="480" w:firstLineChars="200"/>
        <w:jc w:val="left"/>
        <w:rPr>
          <w:rFonts w:ascii="华文中宋" w:hAnsi="华文中宋" w:eastAsia="华文中宋"/>
          <w:b/>
          <w:bCs/>
          <w:sz w:val="32"/>
        </w:rPr>
      </w:pPr>
      <w:r>
        <w:rPr>
          <w:rFonts w:hint="eastAsia" w:ascii="宋体" w:hAnsi="宋体"/>
          <w:szCs w:val="21"/>
        </w:rPr>
        <w:t>3.2资格审查结束后，采购人、采购代理机构应将资格审查结果告知评标委员会。</w:t>
      </w:r>
      <w:r>
        <w:rPr>
          <w:rFonts w:ascii="华文中宋" w:hAnsi="华文中宋" w:eastAsia="华文中宋"/>
        </w:rPr>
        <w:br w:type="page"/>
      </w:r>
    </w:p>
    <w:p w14:paraId="58DBEE28">
      <w:pPr>
        <w:keepNext w:val="0"/>
        <w:keepLines w:val="0"/>
        <w:pageBreakBefore w:val="0"/>
        <w:widowControl w:val="0"/>
        <w:kinsoku/>
        <w:wordWrap/>
        <w:overflowPunct/>
        <w:topLinePunct w:val="0"/>
        <w:autoSpaceDE/>
        <w:autoSpaceDN/>
        <w:bidi w:val="0"/>
        <w:adjustRightInd/>
        <w:snapToGrid/>
        <w:textAlignment w:val="auto"/>
        <w:rPr>
          <w:b/>
          <w:bCs/>
        </w:rPr>
      </w:pPr>
      <w:bookmarkStart w:id="58" w:name="_Toc20651210"/>
      <w:bookmarkStart w:id="59" w:name="_Toc12352"/>
      <w:r>
        <w:rPr>
          <w:rFonts w:hint="eastAsia"/>
          <w:b/>
          <w:bCs/>
        </w:rPr>
        <w:t>附表1</w:t>
      </w:r>
      <w:r>
        <w:rPr>
          <w:b/>
          <w:bCs/>
        </w:rPr>
        <w:t>资格审查表</w:t>
      </w:r>
      <w:bookmarkEnd w:id="58"/>
      <w:bookmarkEnd w:id="59"/>
    </w:p>
    <w:p w14:paraId="766B6BAE">
      <w:pPr>
        <w:bidi w:val="0"/>
        <w:jc w:val="center"/>
        <w:rPr>
          <w:b/>
          <w:bCs/>
          <w:sz w:val="24"/>
          <w:szCs w:val="24"/>
        </w:rPr>
      </w:pPr>
      <w:r>
        <w:rPr>
          <w:b/>
          <w:bCs/>
          <w:sz w:val="24"/>
          <w:szCs w:val="24"/>
        </w:rPr>
        <w:t>资格审查表</w:t>
      </w:r>
    </w:p>
    <w:p w14:paraId="4FB4E8F7">
      <w:pPr>
        <w:adjustRightInd w:val="0"/>
        <w:snapToGrid w:val="0"/>
        <w:spacing w:line="360" w:lineRule="auto"/>
        <w:rPr>
          <w:rFonts w:hint="eastAsia" w:ascii="宋体" w:hAnsi="宋体"/>
          <w:szCs w:val="21"/>
        </w:rPr>
      </w:pPr>
      <w:bookmarkStart w:id="60" w:name="_Toc280"/>
      <w:r>
        <w:rPr>
          <w:rFonts w:hint="eastAsia" w:ascii="宋体" w:hAnsi="宋体"/>
          <w:szCs w:val="21"/>
        </w:rPr>
        <w:t xml:space="preserve">项目名称：           </w:t>
      </w:r>
      <w:r>
        <w:rPr>
          <w:rFonts w:hint="eastAsia" w:ascii="宋体" w:hAnsi="宋体"/>
          <w:szCs w:val="21"/>
          <w:lang w:val="en-US" w:eastAsia="zh-CN"/>
        </w:rPr>
        <w:t xml:space="preserve">                             </w:t>
      </w:r>
      <w:r>
        <w:rPr>
          <w:rFonts w:hint="eastAsia" w:ascii="宋体" w:hAnsi="宋体"/>
          <w:szCs w:val="21"/>
        </w:rPr>
        <w:t xml:space="preserve"> </w:t>
      </w:r>
      <w:r>
        <w:rPr>
          <w:rFonts w:hint="eastAsia" w:ascii="宋体" w:hAnsi="宋体" w:eastAsia="宋体" w:cs="Times New Roman"/>
          <w:szCs w:val="21"/>
        </w:rPr>
        <w:t xml:space="preserve">政府采购编号： </w:t>
      </w:r>
    </w:p>
    <w:tbl>
      <w:tblPr>
        <w:tblStyle w:val="45"/>
        <w:tblW w:w="9829" w:type="dxa"/>
        <w:tblInd w:w="-459"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544"/>
        <w:gridCol w:w="4899"/>
        <w:gridCol w:w="558"/>
        <w:gridCol w:w="514"/>
        <w:gridCol w:w="617"/>
      </w:tblGrid>
      <w:tr w14:paraId="4EF77D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61" w:hRule="atLeast"/>
        </w:trPr>
        <w:tc>
          <w:tcPr>
            <w:tcW w:w="697" w:type="dxa"/>
            <w:vMerge w:val="restart"/>
            <w:noWrap w:val="0"/>
            <w:vAlign w:val="center"/>
          </w:tcPr>
          <w:p w14:paraId="7DDBA4FE">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序号</w:t>
            </w:r>
          </w:p>
        </w:tc>
        <w:tc>
          <w:tcPr>
            <w:tcW w:w="2544" w:type="dxa"/>
            <w:vMerge w:val="restart"/>
            <w:noWrap w:val="0"/>
            <w:vAlign w:val="center"/>
          </w:tcPr>
          <w:p w14:paraId="1666B9B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审查项目</w:t>
            </w:r>
          </w:p>
        </w:tc>
        <w:tc>
          <w:tcPr>
            <w:tcW w:w="4899" w:type="dxa"/>
            <w:vMerge w:val="restart"/>
            <w:tcBorders>
              <w:right w:val="single" w:color="auto" w:sz="4" w:space="0"/>
            </w:tcBorders>
            <w:noWrap w:val="0"/>
            <w:vAlign w:val="center"/>
          </w:tcPr>
          <w:p w14:paraId="44E9E0E4">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000000"/>
                <w:kern w:val="0"/>
                <w:sz w:val="21"/>
                <w:szCs w:val="21"/>
              </w:rPr>
            </w:pPr>
            <w:r>
              <w:rPr>
                <w:rFonts w:hint="eastAsia" w:ascii="宋体" w:hAnsi="宋体" w:eastAsia="宋体" w:cs="宋体"/>
                <w:b/>
                <w:color w:val="000000"/>
                <w:kern w:val="0"/>
                <w:sz w:val="21"/>
                <w:szCs w:val="21"/>
              </w:rPr>
              <w:t>审查标准</w:t>
            </w:r>
          </w:p>
        </w:tc>
        <w:tc>
          <w:tcPr>
            <w:tcW w:w="1689" w:type="dxa"/>
            <w:gridSpan w:val="3"/>
            <w:tcBorders>
              <w:left w:val="single" w:color="auto" w:sz="4" w:space="0"/>
              <w:bottom w:val="single" w:color="auto" w:sz="4" w:space="0"/>
            </w:tcBorders>
            <w:noWrap w:val="0"/>
            <w:vAlign w:val="center"/>
          </w:tcPr>
          <w:p w14:paraId="706ADCBD">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000000"/>
                <w:kern w:val="0"/>
                <w:sz w:val="21"/>
                <w:szCs w:val="21"/>
              </w:rPr>
            </w:pPr>
          </w:p>
        </w:tc>
      </w:tr>
      <w:tr w14:paraId="48BF14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79" w:hRule="atLeast"/>
        </w:trPr>
        <w:tc>
          <w:tcPr>
            <w:tcW w:w="697" w:type="dxa"/>
            <w:vMerge w:val="continue"/>
            <w:noWrap w:val="0"/>
            <w:vAlign w:val="center"/>
          </w:tcPr>
          <w:p w14:paraId="59FEA85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000000"/>
                <w:kern w:val="0"/>
                <w:sz w:val="21"/>
                <w:szCs w:val="21"/>
              </w:rPr>
            </w:pPr>
          </w:p>
        </w:tc>
        <w:tc>
          <w:tcPr>
            <w:tcW w:w="2544" w:type="dxa"/>
            <w:vMerge w:val="continue"/>
            <w:noWrap w:val="0"/>
            <w:vAlign w:val="center"/>
          </w:tcPr>
          <w:p w14:paraId="3560C48A">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000000"/>
                <w:kern w:val="0"/>
                <w:sz w:val="21"/>
                <w:szCs w:val="21"/>
              </w:rPr>
            </w:pPr>
          </w:p>
        </w:tc>
        <w:tc>
          <w:tcPr>
            <w:tcW w:w="4899" w:type="dxa"/>
            <w:vMerge w:val="continue"/>
            <w:tcBorders>
              <w:right w:val="single" w:color="auto" w:sz="4" w:space="0"/>
            </w:tcBorders>
            <w:noWrap w:val="0"/>
            <w:vAlign w:val="center"/>
          </w:tcPr>
          <w:p w14:paraId="1D44DEFA">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000000"/>
                <w:kern w:val="0"/>
                <w:sz w:val="21"/>
                <w:szCs w:val="21"/>
              </w:rPr>
            </w:pPr>
          </w:p>
        </w:tc>
        <w:tc>
          <w:tcPr>
            <w:tcW w:w="558" w:type="dxa"/>
            <w:tcBorders>
              <w:top w:val="single" w:color="auto" w:sz="4" w:space="0"/>
              <w:left w:val="single" w:color="auto" w:sz="4" w:space="0"/>
              <w:right w:val="single" w:color="auto" w:sz="4" w:space="0"/>
            </w:tcBorders>
            <w:noWrap w:val="0"/>
            <w:vAlign w:val="center"/>
          </w:tcPr>
          <w:p w14:paraId="06FC1EA6">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宋体" w:hAnsi="宋体" w:eastAsia="宋体" w:cs="宋体"/>
                <w:b/>
                <w:color w:val="000000"/>
                <w:kern w:val="0"/>
                <w:sz w:val="21"/>
                <w:szCs w:val="21"/>
              </w:rPr>
            </w:pPr>
          </w:p>
        </w:tc>
        <w:tc>
          <w:tcPr>
            <w:tcW w:w="514" w:type="dxa"/>
            <w:tcBorders>
              <w:top w:val="single" w:color="auto" w:sz="4" w:space="0"/>
              <w:left w:val="single" w:color="auto" w:sz="4" w:space="0"/>
              <w:right w:val="single" w:color="auto" w:sz="4" w:space="0"/>
            </w:tcBorders>
            <w:noWrap w:val="0"/>
            <w:vAlign w:val="center"/>
          </w:tcPr>
          <w:p w14:paraId="4864836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000000"/>
                <w:kern w:val="0"/>
                <w:sz w:val="21"/>
                <w:szCs w:val="21"/>
              </w:rPr>
            </w:pPr>
          </w:p>
        </w:tc>
        <w:tc>
          <w:tcPr>
            <w:tcW w:w="617" w:type="dxa"/>
            <w:tcBorders>
              <w:top w:val="single" w:color="auto" w:sz="4" w:space="0"/>
              <w:left w:val="single" w:color="auto" w:sz="4" w:space="0"/>
            </w:tcBorders>
            <w:noWrap w:val="0"/>
            <w:vAlign w:val="center"/>
          </w:tcPr>
          <w:p w14:paraId="19CDD8C8">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color w:val="000000"/>
                <w:kern w:val="0"/>
                <w:sz w:val="21"/>
                <w:szCs w:val="21"/>
              </w:rPr>
            </w:pPr>
          </w:p>
        </w:tc>
      </w:tr>
      <w:tr w14:paraId="473B57F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697" w:type="dxa"/>
            <w:noWrap w:val="0"/>
            <w:vAlign w:val="center"/>
          </w:tcPr>
          <w:p w14:paraId="24F94C02">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1</w:t>
            </w:r>
          </w:p>
        </w:tc>
        <w:tc>
          <w:tcPr>
            <w:tcW w:w="2544" w:type="dxa"/>
            <w:noWrap w:val="0"/>
            <w:vAlign w:val="center"/>
          </w:tcPr>
          <w:p w14:paraId="2BCB31A9">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FF0000"/>
                <w:sz w:val="21"/>
                <w:szCs w:val="21"/>
              </w:rPr>
            </w:pPr>
            <w:r>
              <w:rPr>
                <w:rFonts w:hint="eastAsia" w:ascii="宋体" w:hAnsi="宋体" w:eastAsia="宋体" w:cs="宋体"/>
                <w:sz w:val="21"/>
                <w:szCs w:val="21"/>
              </w:rPr>
              <w:t>营业执照或法人登记证书</w:t>
            </w:r>
          </w:p>
        </w:tc>
        <w:tc>
          <w:tcPr>
            <w:tcW w:w="4899" w:type="dxa"/>
            <w:tcBorders>
              <w:right w:val="single" w:color="auto" w:sz="4" w:space="0"/>
            </w:tcBorders>
            <w:noWrap w:val="0"/>
            <w:vAlign w:val="center"/>
          </w:tcPr>
          <w:p w14:paraId="4BB9D9F7">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color w:val="FF0000"/>
                <w:kern w:val="0"/>
                <w:sz w:val="21"/>
                <w:szCs w:val="21"/>
              </w:rPr>
            </w:pPr>
            <w:r>
              <w:rPr>
                <w:rFonts w:hint="eastAsia" w:ascii="宋体" w:hAnsi="宋体" w:eastAsia="宋体" w:cs="宋体"/>
                <w:kern w:val="0"/>
                <w:sz w:val="21"/>
                <w:szCs w:val="21"/>
              </w:rPr>
              <w:t>是否提供</w:t>
            </w:r>
            <w:r>
              <w:rPr>
                <w:rFonts w:hint="eastAsia" w:ascii="宋体" w:hAnsi="宋体" w:eastAsia="宋体" w:cs="宋体"/>
                <w:sz w:val="21"/>
                <w:szCs w:val="21"/>
              </w:rPr>
              <w:t>营业执照或法人登记证书的复印件，</w:t>
            </w:r>
            <w:r>
              <w:rPr>
                <w:rFonts w:hint="eastAsia" w:ascii="宋体" w:hAnsi="宋体" w:eastAsia="宋体" w:cs="宋体"/>
                <w:kern w:val="0"/>
                <w:sz w:val="21"/>
                <w:szCs w:val="21"/>
              </w:rPr>
              <w:t>必须具有法人资格。</w:t>
            </w:r>
          </w:p>
        </w:tc>
        <w:tc>
          <w:tcPr>
            <w:tcW w:w="558" w:type="dxa"/>
            <w:tcBorders>
              <w:left w:val="single" w:color="auto" w:sz="4" w:space="0"/>
              <w:right w:val="single" w:color="auto" w:sz="4" w:space="0"/>
            </w:tcBorders>
            <w:noWrap w:val="0"/>
            <w:vAlign w:val="center"/>
          </w:tcPr>
          <w:p w14:paraId="5134299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c>
          <w:tcPr>
            <w:tcW w:w="514" w:type="dxa"/>
            <w:tcBorders>
              <w:left w:val="single" w:color="auto" w:sz="4" w:space="0"/>
              <w:right w:val="single" w:color="auto" w:sz="4" w:space="0"/>
            </w:tcBorders>
            <w:noWrap w:val="0"/>
            <w:vAlign w:val="center"/>
          </w:tcPr>
          <w:p w14:paraId="30EE5E9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c>
          <w:tcPr>
            <w:tcW w:w="617" w:type="dxa"/>
            <w:tcBorders>
              <w:left w:val="single" w:color="auto" w:sz="4" w:space="0"/>
            </w:tcBorders>
            <w:noWrap w:val="0"/>
            <w:vAlign w:val="center"/>
          </w:tcPr>
          <w:p w14:paraId="3F0E2062">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r>
      <w:tr w14:paraId="10050FD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97" w:hRule="atLeast"/>
        </w:trPr>
        <w:tc>
          <w:tcPr>
            <w:tcW w:w="697" w:type="dxa"/>
            <w:noWrap w:val="0"/>
            <w:vAlign w:val="center"/>
          </w:tcPr>
          <w:p w14:paraId="1FA00013">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2</w:t>
            </w:r>
          </w:p>
        </w:tc>
        <w:tc>
          <w:tcPr>
            <w:tcW w:w="2544" w:type="dxa"/>
            <w:noWrap w:val="0"/>
            <w:vAlign w:val="center"/>
          </w:tcPr>
          <w:p w14:paraId="339836F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sz w:val="21"/>
                <w:szCs w:val="21"/>
              </w:rPr>
              <w:t>法定代表或法人授权委托书原件的扫描件</w:t>
            </w:r>
          </w:p>
        </w:tc>
        <w:tc>
          <w:tcPr>
            <w:tcW w:w="4899" w:type="dxa"/>
            <w:tcBorders>
              <w:right w:val="single" w:color="auto" w:sz="4" w:space="0"/>
            </w:tcBorders>
            <w:noWrap w:val="0"/>
            <w:vAlign w:val="center"/>
          </w:tcPr>
          <w:p w14:paraId="38F0F70C">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 xml:space="preserve">法人提交法定代表人身份证明原件扫描件，或提交法定代表人授权委托书原件扫描件并附法定代表人身份证明扫描件和被授权代理人有效身份证件扫描件。 </w:t>
            </w:r>
          </w:p>
        </w:tc>
        <w:tc>
          <w:tcPr>
            <w:tcW w:w="558" w:type="dxa"/>
            <w:tcBorders>
              <w:left w:val="single" w:color="auto" w:sz="4" w:space="0"/>
              <w:right w:val="single" w:color="auto" w:sz="4" w:space="0"/>
            </w:tcBorders>
            <w:noWrap w:val="0"/>
            <w:vAlign w:val="center"/>
          </w:tcPr>
          <w:p w14:paraId="4A0B2B68">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514" w:type="dxa"/>
            <w:tcBorders>
              <w:left w:val="single" w:color="auto" w:sz="4" w:space="0"/>
              <w:right w:val="single" w:color="auto" w:sz="4" w:space="0"/>
            </w:tcBorders>
            <w:noWrap w:val="0"/>
            <w:vAlign w:val="center"/>
          </w:tcPr>
          <w:p w14:paraId="34456166">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617" w:type="dxa"/>
            <w:tcBorders>
              <w:left w:val="single" w:color="auto" w:sz="4" w:space="0"/>
            </w:tcBorders>
            <w:noWrap w:val="0"/>
            <w:vAlign w:val="center"/>
          </w:tcPr>
          <w:p w14:paraId="38F44957">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r>
      <w:tr w14:paraId="1CAFD91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47" w:hRule="atLeast"/>
        </w:trPr>
        <w:tc>
          <w:tcPr>
            <w:tcW w:w="697" w:type="dxa"/>
            <w:noWrap w:val="0"/>
            <w:vAlign w:val="center"/>
          </w:tcPr>
          <w:p w14:paraId="0C24E4F3">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3</w:t>
            </w:r>
          </w:p>
        </w:tc>
        <w:tc>
          <w:tcPr>
            <w:tcW w:w="2544" w:type="dxa"/>
            <w:noWrap w:val="0"/>
            <w:vAlign w:val="center"/>
          </w:tcPr>
          <w:p w14:paraId="18C74879">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EE0000"/>
                <w:sz w:val="21"/>
                <w:szCs w:val="21"/>
              </w:rPr>
            </w:pPr>
            <w:r>
              <w:rPr>
                <w:rFonts w:hint="eastAsia" w:ascii="宋体" w:hAnsi="宋体" w:eastAsia="宋体" w:cs="宋体"/>
                <w:color w:val="000000"/>
                <w:kern w:val="0"/>
                <w:sz w:val="21"/>
                <w:szCs w:val="21"/>
              </w:rPr>
              <w:t>投标报价</w:t>
            </w:r>
          </w:p>
        </w:tc>
        <w:tc>
          <w:tcPr>
            <w:tcW w:w="4899" w:type="dxa"/>
            <w:tcBorders>
              <w:right w:val="single" w:color="auto" w:sz="4" w:space="0"/>
            </w:tcBorders>
            <w:noWrap w:val="0"/>
            <w:vAlign w:val="center"/>
          </w:tcPr>
          <w:p w14:paraId="26127B79">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投标报价是否超过招标上限价。</w:t>
            </w:r>
          </w:p>
        </w:tc>
        <w:tc>
          <w:tcPr>
            <w:tcW w:w="558" w:type="dxa"/>
            <w:tcBorders>
              <w:left w:val="single" w:color="auto" w:sz="4" w:space="0"/>
              <w:right w:val="single" w:color="auto" w:sz="4" w:space="0"/>
            </w:tcBorders>
            <w:noWrap w:val="0"/>
            <w:vAlign w:val="center"/>
          </w:tcPr>
          <w:p w14:paraId="6258405E">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514" w:type="dxa"/>
            <w:tcBorders>
              <w:left w:val="single" w:color="auto" w:sz="4" w:space="0"/>
              <w:right w:val="single" w:color="auto" w:sz="4" w:space="0"/>
            </w:tcBorders>
            <w:noWrap w:val="0"/>
            <w:vAlign w:val="center"/>
          </w:tcPr>
          <w:p w14:paraId="05248E25">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617" w:type="dxa"/>
            <w:tcBorders>
              <w:left w:val="single" w:color="auto" w:sz="4" w:space="0"/>
            </w:tcBorders>
            <w:noWrap w:val="0"/>
            <w:vAlign w:val="center"/>
          </w:tcPr>
          <w:p w14:paraId="286610C0">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r>
      <w:tr w14:paraId="64E996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0" w:hRule="atLeast"/>
        </w:trPr>
        <w:tc>
          <w:tcPr>
            <w:tcW w:w="697" w:type="dxa"/>
            <w:noWrap w:val="0"/>
            <w:vAlign w:val="center"/>
          </w:tcPr>
          <w:p w14:paraId="3BC07FD1">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4</w:t>
            </w:r>
          </w:p>
        </w:tc>
        <w:tc>
          <w:tcPr>
            <w:tcW w:w="2544" w:type="dxa"/>
            <w:noWrap w:val="0"/>
            <w:vAlign w:val="center"/>
          </w:tcPr>
          <w:p w14:paraId="76D6212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财务状况报告、依法缴纳税收、依法缴纳社会保障资金</w:t>
            </w:r>
          </w:p>
        </w:tc>
        <w:tc>
          <w:tcPr>
            <w:tcW w:w="4899" w:type="dxa"/>
            <w:tcBorders>
              <w:right w:val="single" w:color="auto" w:sz="4" w:space="0"/>
            </w:tcBorders>
            <w:noWrap w:val="0"/>
            <w:vAlign w:val="center"/>
          </w:tcPr>
          <w:p w14:paraId="6B770801">
            <w:pPr>
              <w:pStyle w:val="364"/>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提供2025年度的财务报表或银行资信证明(公司成立不足一年的)复印件。（大型企业或其他组织提供）；</w:t>
            </w:r>
          </w:p>
          <w:p w14:paraId="00205F35">
            <w:pPr>
              <w:pStyle w:val="364"/>
              <w:keepNext w:val="0"/>
              <w:keepLines w:val="0"/>
              <w:pageBreakBefore w:val="0"/>
              <w:kinsoku/>
              <w:wordWrap/>
              <w:overflowPunct/>
              <w:topLinePunct w:val="0"/>
              <w:autoSpaceDE/>
              <w:autoSpaceDN/>
              <w:bidi w:val="0"/>
              <w:spacing w:line="36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提供2025年11月至2026年4月连续6个月依法纳税及依法缴纳社会保障金的相关证明材料复印件。</w:t>
            </w:r>
          </w:p>
          <w:p w14:paraId="2C82BB75">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注：根据《湖南省财政厅关于政府采购促进中小企业发展有关措施的通知》要求，中小微企业参与本项目投标，只需提供“湖南省政府采购投标人资格承诺函”，视同满足上述要求。</w:t>
            </w:r>
          </w:p>
        </w:tc>
        <w:tc>
          <w:tcPr>
            <w:tcW w:w="558" w:type="dxa"/>
            <w:tcBorders>
              <w:left w:val="single" w:color="auto" w:sz="4" w:space="0"/>
              <w:right w:val="single" w:color="auto" w:sz="4" w:space="0"/>
            </w:tcBorders>
            <w:noWrap w:val="0"/>
            <w:vAlign w:val="center"/>
          </w:tcPr>
          <w:p w14:paraId="5A45018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514" w:type="dxa"/>
            <w:tcBorders>
              <w:left w:val="single" w:color="auto" w:sz="4" w:space="0"/>
              <w:right w:val="single" w:color="auto" w:sz="4" w:space="0"/>
            </w:tcBorders>
            <w:noWrap w:val="0"/>
            <w:vAlign w:val="center"/>
          </w:tcPr>
          <w:p w14:paraId="613ED4D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617" w:type="dxa"/>
            <w:tcBorders>
              <w:left w:val="single" w:color="auto" w:sz="4" w:space="0"/>
            </w:tcBorders>
            <w:noWrap w:val="0"/>
            <w:vAlign w:val="center"/>
          </w:tcPr>
          <w:p w14:paraId="6BCBB202">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r>
      <w:tr w14:paraId="04FDAC4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0" w:hRule="atLeast"/>
        </w:trPr>
        <w:tc>
          <w:tcPr>
            <w:tcW w:w="697" w:type="dxa"/>
            <w:noWrap w:val="0"/>
            <w:vAlign w:val="center"/>
          </w:tcPr>
          <w:p w14:paraId="38C0FCB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lang w:eastAsia="zh-CN"/>
              </w:rPr>
            </w:pPr>
            <w:r>
              <w:rPr>
                <w:rFonts w:hint="eastAsia" w:ascii="宋体" w:hAnsi="宋体" w:cs="宋体"/>
                <w:color w:val="000000"/>
                <w:kern w:val="0"/>
                <w:sz w:val="21"/>
                <w:szCs w:val="21"/>
                <w:lang w:val="en-US" w:eastAsia="zh-CN"/>
              </w:rPr>
              <w:t>5</w:t>
            </w:r>
          </w:p>
        </w:tc>
        <w:tc>
          <w:tcPr>
            <w:tcW w:w="2544" w:type="dxa"/>
            <w:noWrap w:val="0"/>
            <w:vAlign w:val="center"/>
          </w:tcPr>
          <w:p w14:paraId="102C775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投标人资格声明(格式)</w:t>
            </w:r>
          </w:p>
        </w:tc>
        <w:tc>
          <w:tcPr>
            <w:tcW w:w="4899" w:type="dxa"/>
            <w:tcBorders>
              <w:right w:val="single" w:color="auto" w:sz="4" w:space="0"/>
            </w:tcBorders>
            <w:noWrap w:val="0"/>
            <w:vAlign w:val="center"/>
          </w:tcPr>
          <w:p w14:paraId="30F70882">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sz w:val="21"/>
                <w:szCs w:val="21"/>
              </w:rPr>
            </w:pPr>
            <w:r>
              <w:rPr>
                <w:rFonts w:hint="eastAsia" w:ascii="宋体" w:hAnsi="宋体" w:eastAsia="宋体" w:cs="宋体"/>
                <w:kern w:val="0"/>
                <w:sz w:val="21"/>
                <w:szCs w:val="21"/>
              </w:rPr>
              <w:t>是否按招标人提供的格式提供。</w:t>
            </w:r>
          </w:p>
        </w:tc>
        <w:tc>
          <w:tcPr>
            <w:tcW w:w="558" w:type="dxa"/>
            <w:tcBorders>
              <w:left w:val="single" w:color="auto" w:sz="4" w:space="0"/>
              <w:right w:val="single" w:color="auto" w:sz="4" w:space="0"/>
            </w:tcBorders>
            <w:noWrap w:val="0"/>
            <w:vAlign w:val="center"/>
          </w:tcPr>
          <w:p w14:paraId="17BAE195">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514" w:type="dxa"/>
            <w:tcBorders>
              <w:left w:val="single" w:color="auto" w:sz="4" w:space="0"/>
              <w:right w:val="single" w:color="auto" w:sz="4" w:space="0"/>
            </w:tcBorders>
            <w:noWrap w:val="0"/>
            <w:vAlign w:val="center"/>
          </w:tcPr>
          <w:p w14:paraId="489DF05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617" w:type="dxa"/>
            <w:tcBorders>
              <w:left w:val="single" w:color="auto" w:sz="4" w:space="0"/>
            </w:tcBorders>
            <w:noWrap w:val="0"/>
            <w:vAlign w:val="center"/>
          </w:tcPr>
          <w:p w14:paraId="7B832C87">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r>
      <w:tr w14:paraId="7C756C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0" w:hRule="atLeast"/>
        </w:trPr>
        <w:tc>
          <w:tcPr>
            <w:tcW w:w="697" w:type="dxa"/>
            <w:noWrap w:val="0"/>
            <w:vAlign w:val="center"/>
          </w:tcPr>
          <w:p w14:paraId="3EB36FD4">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lang w:val="en-US" w:eastAsia="zh-CN"/>
              </w:rPr>
            </w:pPr>
            <w:r>
              <w:rPr>
                <w:rFonts w:hint="eastAsia" w:ascii="宋体" w:hAnsi="宋体" w:cs="宋体"/>
                <w:color w:val="000000"/>
                <w:kern w:val="0"/>
                <w:sz w:val="21"/>
                <w:szCs w:val="21"/>
                <w:lang w:val="en-US" w:eastAsia="zh-CN"/>
              </w:rPr>
              <w:t>6</w:t>
            </w:r>
          </w:p>
        </w:tc>
        <w:tc>
          <w:tcPr>
            <w:tcW w:w="2544" w:type="dxa"/>
            <w:noWrap w:val="0"/>
            <w:vAlign w:val="center"/>
          </w:tcPr>
          <w:p w14:paraId="0A8CB39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特定资格条件</w:t>
            </w:r>
          </w:p>
        </w:tc>
        <w:tc>
          <w:tcPr>
            <w:tcW w:w="4899" w:type="dxa"/>
            <w:tcBorders>
              <w:right w:val="single" w:color="auto" w:sz="4" w:space="0"/>
            </w:tcBorders>
            <w:noWrap w:val="0"/>
            <w:vAlign w:val="center"/>
          </w:tcPr>
          <w:p w14:paraId="4F3F5224">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default" w:ascii="宋体" w:hAnsi="宋体" w:eastAsia="宋体" w:cs="宋体"/>
                <w:kern w:val="0"/>
                <w:sz w:val="21"/>
                <w:szCs w:val="21"/>
                <w:lang w:val="en-US" w:eastAsia="zh-CN"/>
              </w:rPr>
            </w:pPr>
            <w:r>
              <w:rPr>
                <w:rFonts w:hint="eastAsia" w:ascii="宋体" w:hAnsi="宋体" w:eastAsia="宋体" w:cs="宋体"/>
                <w:kern w:val="0"/>
                <w:sz w:val="21"/>
                <w:szCs w:val="21"/>
                <w:lang w:val="en-US" w:eastAsia="zh-CN"/>
              </w:rPr>
              <w:t>是否满足招标文件要求的特定资格条件</w:t>
            </w:r>
          </w:p>
        </w:tc>
        <w:tc>
          <w:tcPr>
            <w:tcW w:w="558" w:type="dxa"/>
            <w:tcBorders>
              <w:left w:val="single" w:color="auto" w:sz="4" w:space="0"/>
              <w:right w:val="single" w:color="auto" w:sz="4" w:space="0"/>
            </w:tcBorders>
            <w:noWrap w:val="0"/>
            <w:vAlign w:val="center"/>
          </w:tcPr>
          <w:p w14:paraId="2778F83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514" w:type="dxa"/>
            <w:tcBorders>
              <w:left w:val="single" w:color="auto" w:sz="4" w:space="0"/>
              <w:right w:val="single" w:color="auto" w:sz="4" w:space="0"/>
            </w:tcBorders>
            <w:noWrap w:val="0"/>
            <w:vAlign w:val="center"/>
          </w:tcPr>
          <w:p w14:paraId="1CA36848">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617" w:type="dxa"/>
            <w:tcBorders>
              <w:left w:val="single" w:color="auto" w:sz="4" w:space="0"/>
            </w:tcBorders>
            <w:noWrap w:val="0"/>
            <w:vAlign w:val="center"/>
          </w:tcPr>
          <w:p w14:paraId="3EFB6609">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r>
      <w:tr w14:paraId="132580E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7" w:hRule="atLeast"/>
        </w:trPr>
        <w:tc>
          <w:tcPr>
            <w:tcW w:w="697" w:type="dxa"/>
            <w:noWrap w:val="0"/>
            <w:vAlign w:val="center"/>
          </w:tcPr>
          <w:p w14:paraId="0B74AEA6">
            <w:pPr>
              <w:keepNext w:val="0"/>
              <w:keepLines w:val="0"/>
              <w:pageBreakBefore w:val="0"/>
              <w:kinsoku/>
              <w:wordWrap/>
              <w:overflowPunct/>
              <w:topLinePunct w:val="0"/>
              <w:autoSpaceDE/>
              <w:autoSpaceDN/>
              <w:bidi w:val="0"/>
              <w:adjustRightInd w:val="0"/>
              <w:snapToGrid w:val="0"/>
              <w:spacing w:line="360" w:lineRule="auto"/>
              <w:jc w:val="center"/>
              <w:textAlignment w:val="auto"/>
              <w:rPr>
                <w:rFonts w:ascii="宋体" w:hAnsi="宋体" w:eastAsia="宋体" w:cs="宋体"/>
                <w:color w:val="000000"/>
                <w:kern w:val="0"/>
                <w:sz w:val="21"/>
                <w:szCs w:val="21"/>
              </w:rPr>
            </w:pPr>
            <w:r>
              <w:rPr>
                <w:rFonts w:hint="eastAsia" w:ascii="宋体" w:hAnsi="宋体" w:eastAsia="宋体" w:cs="宋体"/>
                <w:color w:val="000000"/>
                <w:kern w:val="0"/>
                <w:sz w:val="21"/>
                <w:szCs w:val="21"/>
              </w:rPr>
              <w:t>7</w:t>
            </w:r>
          </w:p>
        </w:tc>
        <w:tc>
          <w:tcPr>
            <w:tcW w:w="2544" w:type="dxa"/>
            <w:noWrap w:val="0"/>
            <w:vAlign w:val="center"/>
          </w:tcPr>
          <w:p w14:paraId="7A219322">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r>
              <w:rPr>
                <w:rFonts w:hint="eastAsia" w:ascii="宋体" w:hAnsi="宋体" w:eastAsia="宋体" w:cs="宋体"/>
                <w:kern w:val="0"/>
                <w:sz w:val="21"/>
                <w:szCs w:val="21"/>
              </w:rPr>
              <w:t>资格证明文件的签署、盖章</w:t>
            </w:r>
          </w:p>
        </w:tc>
        <w:tc>
          <w:tcPr>
            <w:tcW w:w="4899" w:type="dxa"/>
            <w:tcBorders>
              <w:right w:val="single" w:color="auto" w:sz="4" w:space="0"/>
            </w:tcBorders>
            <w:noWrap w:val="0"/>
            <w:vAlign w:val="center"/>
          </w:tcPr>
          <w:p w14:paraId="4E3E5816">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Times New Roman"/>
                <w:sz w:val="21"/>
                <w:szCs w:val="21"/>
              </w:rPr>
            </w:pPr>
            <w:r>
              <w:rPr>
                <w:rFonts w:hint="eastAsia" w:ascii="宋体" w:hAnsi="宋体" w:eastAsia="宋体" w:cs="宋体"/>
                <w:sz w:val="21"/>
                <w:szCs w:val="21"/>
              </w:rPr>
              <w:t>投标人的资格证明文件均应为有效文件并加盖投标人单位章，并按招标文件规定签署。</w:t>
            </w:r>
          </w:p>
        </w:tc>
        <w:tc>
          <w:tcPr>
            <w:tcW w:w="558" w:type="dxa"/>
            <w:tcBorders>
              <w:left w:val="single" w:color="auto" w:sz="4" w:space="0"/>
              <w:right w:val="single" w:color="auto" w:sz="4" w:space="0"/>
            </w:tcBorders>
            <w:noWrap w:val="0"/>
            <w:vAlign w:val="center"/>
          </w:tcPr>
          <w:p w14:paraId="6D40E814">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514" w:type="dxa"/>
            <w:tcBorders>
              <w:left w:val="single" w:color="auto" w:sz="4" w:space="0"/>
              <w:right w:val="single" w:color="auto" w:sz="4" w:space="0"/>
            </w:tcBorders>
            <w:noWrap w:val="0"/>
            <w:vAlign w:val="center"/>
          </w:tcPr>
          <w:p w14:paraId="09FA52C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617" w:type="dxa"/>
            <w:tcBorders>
              <w:left w:val="single" w:color="auto" w:sz="4" w:space="0"/>
            </w:tcBorders>
            <w:noWrap w:val="0"/>
            <w:vAlign w:val="center"/>
          </w:tcPr>
          <w:p w14:paraId="4DC6CC9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r>
      <w:tr w14:paraId="2219FA9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33" w:hRule="atLeast"/>
        </w:trPr>
        <w:tc>
          <w:tcPr>
            <w:tcW w:w="697" w:type="dxa"/>
            <w:noWrap w:val="0"/>
            <w:vAlign w:val="center"/>
          </w:tcPr>
          <w:p w14:paraId="7E53039E">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8</w:t>
            </w:r>
          </w:p>
        </w:tc>
        <w:tc>
          <w:tcPr>
            <w:tcW w:w="2544" w:type="dxa"/>
            <w:noWrap w:val="0"/>
            <w:vAlign w:val="center"/>
          </w:tcPr>
          <w:p w14:paraId="1569634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r>
              <w:rPr>
                <w:rFonts w:hint="eastAsia" w:ascii="宋体" w:hAnsi="宋体" w:eastAsia="宋体" w:cs="宋体"/>
                <w:color w:val="000000"/>
                <w:kern w:val="0"/>
                <w:sz w:val="21"/>
                <w:szCs w:val="21"/>
              </w:rPr>
              <w:t>不良信用记录查询情况</w:t>
            </w:r>
          </w:p>
        </w:tc>
        <w:tc>
          <w:tcPr>
            <w:tcW w:w="4899" w:type="dxa"/>
            <w:tcBorders>
              <w:right w:val="single" w:color="auto" w:sz="4" w:space="0"/>
            </w:tcBorders>
            <w:noWrap w:val="0"/>
            <w:vAlign w:val="center"/>
          </w:tcPr>
          <w:p w14:paraId="32A239E3">
            <w:pPr>
              <w:keepNext w:val="0"/>
              <w:keepLines w:val="0"/>
              <w:pageBreakBefore w:val="0"/>
              <w:kinsoku/>
              <w:wordWrap/>
              <w:overflowPunct/>
              <w:topLinePunct w:val="0"/>
              <w:autoSpaceDE/>
              <w:autoSpaceDN/>
              <w:bidi w:val="0"/>
              <w:adjustRightInd w:val="0"/>
              <w:snapToGrid w:val="0"/>
              <w:spacing w:line="360" w:lineRule="auto"/>
              <w:jc w:val="left"/>
              <w:textAlignment w:val="auto"/>
              <w:rPr>
                <w:rFonts w:hint="eastAsia" w:ascii="宋体" w:hAnsi="宋体" w:eastAsia="宋体" w:cs="宋体"/>
                <w:kern w:val="0"/>
                <w:sz w:val="21"/>
                <w:szCs w:val="21"/>
              </w:rPr>
            </w:pPr>
            <w:r>
              <w:rPr>
                <w:rFonts w:hint="eastAsia" w:ascii="宋体" w:hAnsi="宋体" w:eastAsia="宋体" w:cs="宋体"/>
                <w:color w:val="000000"/>
                <w:sz w:val="21"/>
                <w:szCs w:val="21"/>
              </w:rPr>
              <w:t>按照招标文件第二章第37.1款要求</w:t>
            </w:r>
            <w:r>
              <w:rPr>
                <w:rFonts w:hint="eastAsia" w:ascii="宋体" w:hAnsi="宋体" w:eastAsia="宋体" w:cs="宋体"/>
                <w:color w:val="000000"/>
                <w:kern w:val="0"/>
                <w:sz w:val="21"/>
                <w:szCs w:val="21"/>
                <w:lang w:val="zh-CN"/>
              </w:rPr>
              <w:t>提供各网站截图</w:t>
            </w:r>
          </w:p>
        </w:tc>
        <w:tc>
          <w:tcPr>
            <w:tcW w:w="558" w:type="dxa"/>
            <w:tcBorders>
              <w:left w:val="single" w:color="auto" w:sz="4" w:space="0"/>
              <w:right w:val="single" w:color="auto" w:sz="4" w:space="0"/>
            </w:tcBorders>
            <w:noWrap w:val="0"/>
            <w:vAlign w:val="center"/>
          </w:tcPr>
          <w:p w14:paraId="5985030C">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514" w:type="dxa"/>
            <w:tcBorders>
              <w:left w:val="single" w:color="auto" w:sz="4" w:space="0"/>
              <w:right w:val="single" w:color="auto" w:sz="4" w:space="0"/>
            </w:tcBorders>
            <w:noWrap w:val="0"/>
            <w:vAlign w:val="center"/>
          </w:tcPr>
          <w:p w14:paraId="2C82BFAD">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kern w:val="0"/>
                <w:sz w:val="21"/>
                <w:szCs w:val="21"/>
              </w:rPr>
            </w:pPr>
          </w:p>
        </w:tc>
        <w:tc>
          <w:tcPr>
            <w:tcW w:w="617" w:type="dxa"/>
            <w:tcBorders>
              <w:left w:val="single" w:color="auto" w:sz="4" w:space="0"/>
            </w:tcBorders>
            <w:noWrap w:val="0"/>
            <w:vAlign w:val="center"/>
          </w:tcPr>
          <w:p w14:paraId="3E61DC0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r>
      <w:tr w14:paraId="1A5EA9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15" w:hRule="atLeast"/>
        </w:trPr>
        <w:tc>
          <w:tcPr>
            <w:tcW w:w="697" w:type="dxa"/>
            <w:noWrap w:val="0"/>
            <w:vAlign w:val="center"/>
          </w:tcPr>
          <w:p w14:paraId="288AA36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r>
              <w:rPr>
                <w:rFonts w:hint="eastAsia" w:ascii="宋体" w:hAnsi="宋体" w:eastAsia="宋体" w:cs="宋体"/>
                <w:color w:val="000000"/>
                <w:kern w:val="0"/>
                <w:sz w:val="21"/>
                <w:szCs w:val="21"/>
              </w:rPr>
              <w:t>结论</w:t>
            </w:r>
          </w:p>
        </w:tc>
        <w:tc>
          <w:tcPr>
            <w:tcW w:w="7443" w:type="dxa"/>
            <w:gridSpan w:val="2"/>
            <w:tcBorders>
              <w:right w:val="single" w:color="auto" w:sz="4" w:space="0"/>
            </w:tcBorders>
            <w:noWrap w:val="0"/>
            <w:vAlign w:val="center"/>
          </w:tcPr>
          <w:p w14:paraId="35F31B93">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c>
          <w:tcPr>
            <w:tcW w:w="558" w:type="dxa"/>
            <w:tcBorders>
              <w:left w:val="single" w:color="auto" w:sz="4" w:space="0"/>
              <w:right w:val="single" w:color="auto" w:sz="4" w:space="0"/>
            </w:tcBorders>
            <w:noWrap w:val="0"/>
            <w:vAlign w:val="center"/>
          </w:tcPr>
          <w:p w14:paraId="638827DF">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c>
          <w:tcPr>
            <w:tcW w:w="514" w:type="dxa"/>
            <w:tcBorders>
              <w:left w:val="single" w:color="auto" w:sz="4" w:space="0"/>
              <w:right w:val="single" w:color="auto" w:sz="4" w:space="0"/>
            </w:tcBorders>
            <w:noWrap w:val="0"/>
            <w:vAlign w:val="center"/>
          </w:tcPr>
          <w:p w14:paraId="7D1DC3B5">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c>
          <w:tcPr>
            <w:tcW w:w="617" w:type="dxa"/>
            <w:tcBorders>
              <w:left w:val="single" w:color="auto" w:sz="4" w:space="0"/>
            </w:tcBorders>
            <w:noWrap w:val="0"/>
            <w:vAlign w:val="center"/>
          </w:tcPr>
          <w:p w14:paraId="56680E2B">
            <w:pPr>
              <w:keepNext w:val="0"/>
              <w:keepLines w:val="0"/>
              <w:pageBreakBefore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color w:val="000000"/>
                <w:kern w:val="0"/>
                <w:sz w:val="21"/>
                <w:szCs w:val="21"/>
              </w:rPr>
            </w:pPr>
          </w:p>
        </w:tc>
      </w:tr>
    </w:tbl>
    <w:p w14:paraId="6A80426C">
      <w:pPr>
        <w:bidi w:val="0"/>
        <w:rPr>
          <w:rFonts w:hint="eastAsia"/>
          <w:b/>
          <w:bCs/>
        </w:rPr>
      </w:pPr>
    </w:p>
    <w:p w14:paraId="15A0607F">
      <w:pPr>
        <w:bidi w:val="0"/>
        <w:rPr>
          <w:rFonts w:hint="eastAsia"/>
          <w:b/>
          <w:bCs/>
        </w:rPr>
      </w:pPr>
    </w:p>
    <w:p w14:paraId="2518F503">
      <w:pPr>
        <w:bidi w:val="0"/>
        <w:rPr>
          <w:rFonts w:hint="eastAsia"/>
          <w:b/>
          <w:bCs/>
        </w:rPr>
      </w:pPr>
    </w:p>
    <w:p w14:paraId="6AE36199">
      <w:pPr>
        <w:bidi w:val="0"/>
        <w:rPr>
          <w:b/>
          <w:bCs/>
        </w:rPr>
      </w:pPr>
      <w:r>
        <w:rPr>
          <w:rFonts w:hint="eastAsia"/>
          <w:b/>
          <w:bCs/>
        </w:rPr>
        <w:t>附表2 资格审查结果一览表</w:t>
      </w:r>
      <w:bookmarkEnd w:id="60"/>
    </w:p>
    <w:p w14:paraId="2EDF22EC">
      <w:pPr>
        <w:bidi w:val="0"/>
        <w:jc w:val="center"/>
      </w:pPr>
      <w:r>
        <w:rPr>
          <w:rFonts w:hint="eastAsia"/>
          <w:b/>
          <w:bCs/>
        </w:rPr>
        <w:t>资格审查结果一览表</w:t>
      </w:r>
    </w:p>
    <w:p w14:paraId="2A2AF879">
      <w:pPr>
        <w:adjustRightInd w:val="0"/>
        <w:snapToGrid w:val="0"/>
        <w:spacing w:line="360" w:lineRule="auto"/>
        <w:rPr>
          <w:rFonts w:hint="eastAsia" w:ascii="宋体" w:hAnsi="宋体"/>
          <w:szCs w:val="21"/>
        </w:rPr>
      </w:pPr>
      <w:r>
        <w:rPr>
          <w:rFonts w:hint="eastAsia" w:ascii="宋体" w:hAnsi="宋体"/>
          <w:szCs w:val="21"/>
        </w:rPr>
        <w:t xml:space="preserve">项目名称：            </w:t>
      </w:r>
    </w:p>
    <w:p w14:paraId="70CE13E0">
      <w:pPr>
        <w:adjustRightInd w:val="0"/>
        <w:snapToGrid w:val="0"/>
        <w:spacing w:line="360" w:lineRule="auto"/>
        <w:rPr>
          <w:rFonts w:ascii="黑体" w:hAnsi="黑体"/>
          <w:sz w:val="28"/>
          <w:szCs w:val="28"/>
        </w:rPr>
      </w:pPr>
      <w:r>
        <w:rPr>
          <w:rFonts w:hint="eastAsia" w:ascii="宋体" w:hAnsi="宋体"/>
          <w:szCs w:val="21"/>
        </w:rPr>
        <w:t xml:space="preserve">政府采购编号：  </w:t>
      </w:r>
    </w:p>
    <w:tbl>
      <w:tblPr>
        <w:tblStyle w:val="45"/>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963"/>
        <w:gridCol w:w="2439"/>
        <w:gridCol w:w="2961"/>
      </w:tblGrid>
      <w:tr w14:paraId="1381AA0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center"/>
          </w:tcPr>
          <w:p w14:paraId="00A1B7F0">
            <w:pPr>
              <w:jc w:val="center"/>
              <w:rPr>
                <w:rFonts w:ascii="宋体" w:hAnsi="宋体"/>
                <w:b/>
                <w:kern w:val="0"/>
                <w:szCs w:val="21"/>
              </w:rPr>
            </w:pPr>
            <w:r>
              <w:rPr>
                <w:rFonts w:hint="eastAsia" w:ascii="宋体" w:hAnsi="宋体"/>
                <w:b/>
                <w:kern w:val="0"/>
                <w:szCs w:val="21"/>
              </w:rPr>
              <w:t>序号</w:t>
            </w:r>
          </w:p>
        </w:tc>
        <w:tc>
          <w:tcPr>
            <w:tcW w:w="2963" w:type="dxa"/>
            <w:noWrap w:val="0"/>
            <w:vAlign w:val="center"/>
          </w:tcPr>
          <w:p w14:paraId="3FAB201C">
            <w:pPr>
              <w:jc w:val="center"/>
              <w:rPr>
                <w:rFonts w:ascii="宋体" w:hAnsi="宋体"/>
                <w:b/>
                <w:kern w:val="0"/>
                <w:szCs w:val="21"/>
              </w:rPr>
            </w:pPr>
            <w:r>
              <w:rPr>
                <w:rFonts w:hint="eastAsia" w:ascii="宋体" w:hAnsi="宋体"/>
                <w:b/>
                <w:kern w:val="0"/>
                <w:szCs w:val="21"/>
              </w:rPr>
              <w:t>投标人名称</w:t>
            </w:r>
          </w:p>
        </w:tc>
        <w:tc>
          <w:tcPr>
            <w:tcW w:w="2439" w:type="dxa"/>
            <w:noWrap w:val="0"/>
            <w:vAlign w:val="center"/>
          </w:tcPr>
          <w:p w14:paraId="5357F950">
            <w:pPr>
              <w:jc w:val="center"/>
              <w:rPr>
                <w:rFonts w:ascii="宋体" w:hAnsi="宋体"/>
                <w:b/>
                <w:kern w:val="0"/>
                <w:szCs w:val="21"/>
              </w:rPr>
            </w:pPr>
            <w:r>
              <w:rPr>
                <w:rFonts w:hint="eastAsia" w:ascii="宋体" w:hAnsi="宋体"/>
                <w:b/>
                <w:kern w:val="0"/>
                <w:szCs w:val="21"/>
              </w:rPr>
              <w:t>资格审查结果</w:t>
            </w:r>
          </w:p>
          <w:p w14:paraId="60D7BCAB">
            <w:pPr>
              <w:jc w:val="center"/>
              <w:rPr>
                <w:rFonts w:ascii="宋体" w:hAnsi="宋体"/>
                <w:b/>
                <w:kern w:val="0"/>
                <w:szCs w:val="21"/>
              </w:rPr>
            </w:pPr>
            <w:r>
              <w:rPr>
                <w:rFonts w:hint="eastAsia" w:ascii="宋体" w:hAnsi="宋体"/>
                <w:b/>
                <w:kern w:val="0"/>
                <w:szCs w:val="21"/>
              </w:rPr>
              <w:t>（合格/不合格）</w:t>
            </w:r>
          </w:p>
        </w:tc>
        <w:tc>
          <w:tcPr>
            <w:tcW w:w="2961" w:type="dxa"/>
            <w:noWrap w:val="0"/>
            <w:vAlign w:val="center"/>
          </w:tcPr>
          <w:p w14:paraId="538EB81D">
            <w:pPr>
              <w:jc w:val="center"/>
              <w:rPr>
                <w:rFonts w:ascii="宋体" w:hAnsi="宋体"/>
                <w:b/>
                <w:kern w:val="0"/>
                <w:szCs w:val="21"/>
              </w:rPr>
            </w:pPr>
            <w:r>
              <w:rPr>
                <w:rFonts w:hint="eastAsia" w:ascii="宋体" w:hAnsi="宋体"/>
                <w:b/>
                <w:kern w:val="0"/>
                <w:szCs w:val="21"/>
              </w:rPr>
              <w:t>资格审查不合格原因</w:t>
            </w:r>
          </w:p>
        </w:tc>
      </w:tr>
      <w:tr w14:paraId="3D42CFA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78F48AE2">
            <w:pPr>
              <w:adjustRightInd w:val="0"/>
              <w:snapToGrid w:val="0"/>
              <w:spacing w:line="360" w:lineRule="auto"/>
              <w:rPr>
                <w:rFonts w:ascii="宋体" w:hAnsi="宋体"/>
                <w:kern w:val="0"/>
                <w:sz w:val="24"/>
              </w:rPr>
            </w:pPr>
          </w:p>
        </w:tc>
        <w:tc>
          <w:tcPr>
            <w:tcW w:w="2963" w:type="dxa"/>
            <w:noWrap w:val="0"/>
            <w:vAlign w:val="top"/>
          </w:tcPr>
          <w:p w14:paraId="0B045176">
            <w:pPr>
              <w:adjustRightInd w:val="0"/>
              <w:snapToGrid w:val="0"/>
              <w:spacing w:line="360" w:lineRule="auto"/>
              <w:rPr>
                <w:rFonts w:ascii="宋体" w:hAnsi="宋体"/>
                <w:kern w:val="0"/>
                <w:sz w:val="24"/>
              </w:rPr>
            </w:pPr>
          </w:p>
        </w:tc>
        <w:tc>
          <w:tcPr>
            <w:tcW w:w="2439" w:type="dxa"/>
            <w:noWrap w:val="0"/>
            <w:vAlign w:val="top"/>
          </w:tcPr>
          <w:p w14:paraId="2D4CF892">
            <w:pPr>
              <w:adjustRightInd w:val="0"/>
              <w:snapToGrid w:val="0"/>
              <w:spacing w:line="360" w:lineRule="auto"/>
              <w:rPr>
                <w:rFonts w:ascii="宋体" w:hAnsi="宋体"/>
                <w:kern w:val="0"/>
                <w:sz w:val="24"/>
              </w:rPr>
            </w:pPr>
          </w:p>
        </w:tc>
        <w:tc>
          <w:tcPr>
            <w:tcW w:w="2961" w:type="dxa"/>
            <w:noWrap w:val="0"/>
            <w:vAlign w:val="top"/>
          </w:tcPr>
          <w:p w14:paraId="35A46195">
            <w:pPr>
              <w:adjustRightInd w:val="0"/>
              <w:snapToGrid w:val="0"/>
              <w:spacing w:line="360" w:lineRule="auto"/>
              <w:rPr>
                <w:rFonts w:ascii="宋体" w:hAnsi="宋体"/>
                <w:kern w:val="0"/>
                <w:sz w:val="24"/>
              </w:rPr>
            </w:pPr>
          </w:p>
        </w:tc>
      </w:tr>
      <w:tr w14:paraId="668D7D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61D88F7C">
            <w:pPr>
              <w:adjustRightInd w:val="0"/>
              <w:snapToGrid w:val="0"/>
              <w:spacing w:line="360" w:lineRule="auto"/>
              <w:rPr>
                <w:rFonts w:ascii="宋体" w:hAnsi="宋体"/>
                <w:kern w:val="0"/>
                <w:sz w:val="24"/>
              </w:rPr>
            </w:pPr>
          </w:p>
        </w:tc>
        <w:tc>
          <w:tcPr>
            <w:tcW w:w="2963" w:type="dxa"/>
            <w:noWrap w:val="0"/>
            <w:vAlign w:val="top"/>
          </w:tcPr>
          <w:p w14:paraId="594BA2D9">
            <w:pPr>
              <w:adjustRightInd w:val="0"/>
              <w:snapToGrid w:val="0"/>
              <w:spacing w:line="360" w:lineRule="auto"/>
              <w:rPr>
                <w:rFonts w:ascii="宋体" w:hAnsi="宋体"/>
                <w:kern w:val="0"/>
                <w:sz w:val="24"/>
              </w:rPr>
            </w:pPr>
          </w:p>
        </w:tc>
        <w:tc>
          <w:tcPr>
            <w:tcW w:w="2439" w:type="dxa"/>
            <w:noWrap w:val="0"/>
            <w:vAlign w:val="top"/>
          </w:tcPr>
          <w:p w14:paraId="21A9AE57">
            <w:pPr>
              <w:adjustRightInd w:val="0"/>
              <w:snapToGrid w:val="0"/>
              <w:spacing w:line="360" w:lineRule="auto"/>
              <w:rPr>
                <w:rFonts w:ascii="宋体" w:hAnsi="宋体"/>
                <w:kern w:val="0"/>
                <w:sz w:val="24"/>
              </w:rPr>
            </w:pPr>
          </w:p>
        </w:tc>
        <w:tc>
          <w:tcPr>
            <w:tcW w:w="2961" w:type="dxa"/>
            <w:noWrap w:val="0"/>
            <w:vAlign w:val="top"/>
          </w:tcPr>
          <w:p w14:paraId="3682487D">
            <w:pPr>
              <w:adjustRightInd w:val="0"/>
              <w:snapToGrid w:val="0"/>
              <w:spacing w:line="360" w:lineRule="auto"/>
              <w:rPr>
                <w:rFonts w:ascii="宋体" w:hAnsi="宋体"/>
                <w:kern w:val="0"/>
                <w:sz w:val="24"/>
              </w:rPr>
            </w:pPr>
          </w:p>
        </w:tc>
      </w:tr>
      <w:tr w14:paraId="757E71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5C9B2141">
            <w:pPr>
              <w:adjustRightInd w:val="0"/>
              <w:snapToGrid w:val="0"/>
              <w:spacing w:line="360" w:lineRule="auto"/>
              <w:rPr>
                <w:rFonts w:ascii="宋体" w:hAnsi="宋体"/>
                <w:kern w:val="0"/>
                <w:sz w:val="24"/>
              </w:rPr>
            </w:pPr>
          </w:p>
        </w:tc>
        <w:tc>
          <w:tcPr>
            <w:tcW w:w="2963" w:type="dxa"/>
            <w:noWrap w:val="0"/>
            <w:vAlign w:val="top"/>
          </w:tcPr>
          <w:p w14:paraId="77519F87">
            <w:pPr>
              <w:adjustRightInd w:val="0"/>
              <w:snapToGrid w:val="0"/>
              <w:spacing w:line="360" w:lineRule="auto"/>
              <w:rPr>
                <w:rFonts w:ascii="宋体" w:hAnsi="宋体"/>
                <w:kern w:val="0"/>
                <w:sz w:val="24"/>
              </w:rPr>
            </w:pPr>
          </w:p>
        </w:tc>
        <w:tc>
          <w:tcPr>
            <w:tcW w:w="2439" w:type="dxa"/>
            <w:noWrap w:val="0"/>
            <w:vAlign w:val="top"/>
          </w:tcPr>
          <w:p w14:paraId="30188774">
            <w:pPr>
              <w:adjustRightInd w:val="0"/>
              <w:snapToGrid w:val="0"/>
              <w:spacing w:line="360" w:lineRule="auto"/>
              <w:rPr>
                <w:rFonts w:ascii="宋体" w:hAnsi="宋体"/>
                <w:kern w:val="0"/>
                <w:sz w:val="24"/>
              </w:rPr>
            </w:pPr>
          </w:p>
        </w:tc>
        <w:tc>
          <w:tcPr>
            <w:tcW w:w="2961" w:type="dxa"/>
            <w:noWrap w:val="0"/>
            <w:vAlign w:val="top"/>
          </w:tcPr>
          <w:p w14:paraId="334D578E">
            <w:pPr>
              <w:adjustRightInd w:val="0"/>
              <w:snapToGrid w:val="0"/>
              <w:spacing w:line="360" w:lineRule="auto"/>
              <w:rPr>
                <w:rFonts w:ascii="宋体" w:hAnsi="宋体"/>
                <w:kern w:val="0"/>
                <w:sz w:val="24"/>
              </w:rPr>
            </w:pPr>
          </w:p>
        </w:tc>
      </w:tr>
      <w:tr w14:paraId="07B55C5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78B19147">
            <w:pPr>
              <w:adjustRightInd w:val="0"/>
              <w:snapToGrid w:val="0"/>
              <w:spacing w:line="360" w:lineRule="auto"/>
              <w:rPr>
                <w:rFonts w:ascii="宋体" w:hAnsi="宋体"/>
                <w:kern w:val="0"/>
                <w:sz w:val="24"/>
              </w:rPr>
            </w:pPr>
          </w:p>
        </w:tc>
        <w:tc>
          <w:tcPr>
            <w:tcW w:w="2963" w:type="dxa"/>
            <w:noWrap w:val="0"/>
            <w:vAlign w:val="top"/>
          </w:tcPr>
          <w:p w14:paraId="43F7B5DA">
            <w:pPr>
              <w:adjustRightInd w:val="0"/>
              <w:snapToGrid w:val="0"/>
              <w:spacing w:line="360" w:lineRule="auto"/>
              <w:rPr>
                <w:rFonts w:ascii="宋体" w:hAnsi="宋体"/>
                <w:kern w:val="0"/>
                <w:sz w:val="24"/>
              </w:rPr>
            </w:pPr>
          </w:p>
        </w:tc>
        <w:tc>
          <w:tcPr>
            <w:tcW w:w="2439" w:type="dxa"/>
            <w:noWrap w:val="0"/>
            <w:vAlign w:val="top"/>
          </w:tcPr>
          <w:p w14:paraId="665092EA">
            <w:pPr>
              <w:adjustRightInd w:val="0"/>
              <w:snapToGrid w:val="0"/>
              <w:spacing w:line="360" w:lineRule="auto"/>
              <w:rPr>
                <w:rFonts w:ascii="宋体" w:hAnsi="宋体"/>
                <w:kern w:val="0"/>
                <w:sz w:val="24"/>
              </w:rPr>
            </w:pPr>
          </w:p>
        </w:tc>
        <w:tc>
          <w:tcPr>
            <w:tcW w:w="2961" w:type="dxa"/>
            <w:noWrap w:val="0"/>
            <w:vAlign w:val="top"/>
          </w:tcPr>
          <w:p w14:paraId="1E954222">
            <w:pPr>
              <w:adjustRightInd w:val="0"/>
              <w:snapToGrid w:val="0"/>
              <w:spacing w:line="360" w:lineRule="auto"/>
              <w:rPr>
                <w:rFonts w:ascii="宋体" w:hAnsi="宋体"/>
                <w:kern w:val="0"/>
                <w:sz w:val="24"/>
              </w:rPr>
            </w:pPr>
          </w:p>
        </w:tc>
      </w:tr>
      <w:tr w14:paraId="4CB532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07675020">
            <w:pPr>
              <w:adjustRightInd w:val="0"/>
              <w:snapToGrid w:val="0"/>
              <w:spacing w:line="360" w:lineRule="auto"/>
              <w:rPr>
                <w:rFonts w:ascii="宋体" w:hAnsi="宋体"/>
                <w:kern w:val="0"/>
                <w:sz w:val="24"/>
              </w:rPr>
            </w:pPr>
          </w:p>
        </w:tc>
        <w:tc>
          <w:tcPr>
            <w:tcW w:w="2963" w:type="dxa"/>
            <w:noWrap w:val="0"/>
            <w:vAlign w:val="top"/>
          </w:tcPr>
          <w:p w14:paraId="21AC025B">
            <w:pPr>
              <w:adjustRightInd w:val="0"/>
              <w:snapToGrid w:val="0"/>
              <w:spacing w:line="360" w:lineRule="auto"/>
              <w:rPr>
                <w:rFonts w:ascii="宋体" w:hAnsi="宋体"/>
                <w:kern w:val="0"/>
                <w:sz w:val="24"/>
              </w:rPr>
            </w:pPr>
          </w:p>
        </w:tc>
        <w:tc>
          <w:tcPr>
            <w:tcW w:w="2439" w:type="dxa"/>
            <w:noWrap w:val="0"/>
            <w:vAlign w:val="top"/>
          </w:tcPr>
          <w:p w14:paraId="315D9B78">
            <w:pPr>
              <w:adjustRightInd w:val="0"/>
              <w:snapToGrid w:val="0"/>
              <w:spacing w:line="360" w:lineRule="auto"/>
              <w:rPr>
                <w:rFonts w:ascii="宋体" w:hAnsi="宋体"/>
                <w:kern w:val="0"/>
                <w:sz w:val="24"/>
              </w:rPr>
            </w:pPr>
          </w:p>
        </w:tc>
        <w:tc>
          <w:tcPr>
            <w:tcW w:w="2961" w:type="dxa"/>
            <w:noWrap w:val="0"/>
            <w:vAlign w:val="top"/>
          </w:tcPr>
          <w:p w14:paraId="17F77C0A">
            <w:pPr>
              <w:adjustRightInd w:val="0"/>
              <w:snapToGrid w:val="0"/>
              <w:spacing w:line="360" w:lineRule="auto"/>
              <w:rPr>
                <w:rFonts w:ascii="宋体" w:hAnsi="宋体"/>
                <w:kern w:val="0"/>
                <w:sz w:val="24"/>
              </w:rPr>
            </w:pPr>
          </w:p>
        </w:tc>
      </w:tr>
      <w:tr w14:paraId="3A257EB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4E1D99DA">
            <w:pPr>
              <w:adjustRightInd w:val="0"/>
              <w:snapToGrid w:val="0"/>
              <w:spacing w:line="360" w:lineRule="auto"/>
              <w:rPr>
                <w:rFonts w:ascii="宋体" w:hAnsi="宋体"/>
                <w:kern w:val="0"/>
                <w:sz w:val="24"/>
              </w:rPr>
            </w:pPr>
          </w:p>
        </w:tc>
        <w:tc>
          <w:tcPr>
            <w:tcW w:w="2963" w:type="dxa"/>
            <w:noWrap w:val="0"/>
            <w:vAlign w:val="top"/>
          </w:tcPr>
          <w:p w14:paraId="4A805907">
            <w:pPr>
              <w:adjustRightInd w:val="0"/>
              <w:snapToGrid w:val="0"/>
              <w:spacing w:line="360" w:lineRule="auto"/>
              <w:rPr>
                <w:rFonts w:ascii="宋体" w:hAnsi="宋体"/>
                <w:kern w:val="0"/>
                <w:sz w:val="24"/>
              </w:rPr>
            </w:pPr>
          </w:p>
        </w:tc>
        <w:tc>
          <w:tcPr>
            <w:tcW w:w="2439" w:type="dxa"/>
            <w:noWrap w:val="0"/>
            <w:vAlign w:val="top"/>
          </w:tcPr>
          <w:p w14:paraId="105977E7">
            <w:pPr>
              <w:adjustRightInd w:val="0"/>
              <w:snapToGrid w:val="0"/>
              <w:spacing w:line="360" w:lineRule="auto"/>
              <w:rPr>
                <w:rFonts w:ascii="宋体" w:hAnsi="宋体"/>
                <w:kern w:val="0"/>
                <w:sz w:val="24"/>
              </w:rPr>
            </w:pPr>
          </w:p>
        </w:tc>
        <w:tc>
          <w:tcPr>
            <w:tcW w:w="2961" w:type="dxa"/>
            <w:noWrap w:val="0"/>
            <w:vAlign w:val="top"/>
          </w:tcPr>
          <w:p w14:paraId="1BCB7C5D">
            <w:pPr>
              <w:adjustRightInd w:val="0"/>
              <w:snapToGrid w:val="0"/>
              <w:spacing w:line="360" w:lineRule="auto"/>
              <w:rPr>
                <w:rFonts w:ascii="宋体" w:hAnsi="宋体"/>
                <w:kern w:val="0"/>
                <w:sz w:val="24"/>
              </w:rPr>
            </w:pPr>
          </w:p>
        </w:tc>
      </w:tr>
      <w:tr w14:paraId="2CA6FE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4F091237">
            <w:pPr>
              <w:adjustRightInd w:val="0"/>
              <w:snapToGrid w:val="0"/>
              <w:spacing w:line="360" w:lineRule="auto"/>
              <w:rPr>
                <w:rFonts w:ascii="宋体" w:hAnsi="宋体"/>
                <w:kern w:val="0"/>
                <w:sz w:val="24"/>
              </w:rPr>
            </w:pPr>
          </w:p>
        </w:tc>
        <w:tc>
          <w:tcPr>
            <w:tcW w:w="2963" w:type="dxa"/>
            <w:noWrap w:val="0"/>
            <w:vAlign w:val="top"/>
          </w:tcPr>
          <w:p w14:paraId="3C0A2FCE">
            <w:pPr>
              <w:adjustRightInd w:val="0"/>
              <w:snapToGrid w:val="0"/>
              <w:spacing w:line="360" w:lineRule="auto"/>
              <w:rPr>
                <w:rFonts w:ascii="宋体" w:hAnsi="宋体"/>
                <w:kern w:val="0"/>
                <w:sz w:val="24"/>
              </w:rPr>
            </w:pPr>
          </w:p>
        </w:tc>
        <w:tc>
          <w:tcPr>
            <w:tcW w:w="2439" w:type="dxa"/>
            <w:noWrap w:val="0"/>
            <w:vAlign w:val="top"/>
          </w:tcPr>
          <w:p w14:paraId="052C127A">
            <w:pPr>
              <w:adjustRightInd w:val="0"/>
              <w:snapToGrid w:val="0"/>
              <w:spacing w:line="360" w:lineRule="auto"/>
              <w:rPr>
                <w:rFonts w:ascii="宋体" w:hAnsi="宋体"/>
                <w:kern w:val="0"/>
                <w:sz w:val="24"/>
              </w:rPr>
            </w:pPr>
          </w:p>
        </w:tc>
        <w:tc>
          <w:tcPr>
            <w:tcW w:w="2961" w:type="dxa"/>
            <w:noWrap w:val="0"/>
            <w:vAlign w:val="top"/>
          </w:tcPr>
          <w:p w14:paraId="7EA14092">
            <w:pPr>
              <w:adjustRightInd w:val="0"/>
              <w:snapToGrid w:val="0"/>
              <w:spacing w:line="360" w:lineRule="auto"/>
              <w:rPr>
                <w:rFonts w:ascii="宋体" w:hAnsi="宋体"/>
                <w:kern w:val="0"/>
                <w:sz w:val="24"/>
              </w:rPr>
            </w:pPr>
          </w:p>
        </w:tc>
      </w:tr>
      <w:tr w14:paraId="5B5BF99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3452B84D">
            <w:pPr>
              <w:adjustRightInd w:val="0"/>
              <w:snapToGrid w:val="0"/>
              <w:spacing w:line="360" w:lineRule="auto"/>
              <w:rPr>
                <w:rFonts w:ascii="宋体" w:hAnsi="宋体"/>
                <w:kern w:val="0"/>
                <w:sz w:val="24"/>
              </w:rPr>
            </w:pPr>
          </w:p>
        </w:tc>
        <w:tc>
          <w:tcPr>
            <w:tcW w:w="2963" w:type="dxa"/>
            <w:noWrap w:val="0"/>
            <w:vAlign w:val="top"/>
          </w:tcPr>
          <w:p w14:paraId="282C692E">
            <w:pPr>
              <w:adjustRightInd w:val="0"/>
              <w:snapToGrid w:val="0"/>
              <w:spacing w:line="360" w:lineRule="auto"/>
              <w:rPr>
                <w:rFonts w:ascii="宋体" w:hAnsi="宋体"/>
                <w:kern w:val="0"/>
                <w:sz w:val="24"/>
              </w:rPr>
            </w:pPr>
          </w:p>
        </w:tc>
        <w:tc>
          <w:tcPr>
            <w:tcW w:w="2439" w:type="dxa"/>
            <w:noWrap w:val="0"/>
            <w:vAlign w:val="top"/>
          </w:tcPr>
          <w:p w14:paraId="72D67604">
            <w:pPr>
              <w:adjustRightInd w:val="0"/>
              <w:snapToGrid w:val="0"/>
              <w:spacing w:line="360" w:lineRule="auto"/>
              <w:rPr>
                <w:rFonts w:ascii="宋体" w:hAnsi="宋体"/>
                <w:kern w:val="0"/>
                <w:sz w:val="24"/>
              </w:rPr>
            </w:pPr>
          </w:p>
        </w:tc>
        <w:tc>
          <w:tcPr>
            <w:tcW w:w="2961" w:type="dxa"/>
            <w:noWrap w:val="0"/>
            <w:vAlign w:val="top"/>
          </w:tcPr>
          <w:p w14:paraId="4B36C109">
            <w:pPr>
              <w:adjustRightInd w:val="0"/>
              <w:snapToGrid w:val="0"/>
              <w:spacing w:line="360" w:lineRule="auto"/>
              <w:rPr>
                <w:rFonts w:ascii="宋体" w:hAnsi="宋体"/>
                <w:kern w:val="0"/>
                <w:sz w:val="24"/>
              </w:rPr>
            </w:pPr>
          </w:p>
        </w:tc>
      </w:tr>
      <w:tr w14:paraId="1585F0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7ECE6089">
            <w:pPr>
              <w:adjustRightInd w:val="0"/>
              <w:snapToGrid w:val="0"/>
              <w:spacing w:line="360" w:lineRule="auto"/>
              <w:rPr>
                <w:rFonts w:ascii="宋体" w:hAnsi="宋体"/>
                <w:kern w:val="0"/>
                <w:sz w:val="24"/>
              </w:rPr>
            </w:pPr>
          </w:p>
        </w:tc>
        <w:tc>
          <w:tcPr>
            <w:tcW w:w="2963" w:type="dxa"/>
            <w:noWrap w:val="0"/>
            <w:vAlign w:val="top"/>
          </w:tcPr>
          <w:p w14:paraId="3E9FA1EF">
            <w:pPr>
              <w:adjustRightInd w:val="0"/>
              <w:snapToGrid w:val="0"/>
              <w:spacing w:line="360" w:lineRule="auto"/>
              <w:rPr>
                <w:rFonts w:ascii="宋体" w:hAnsi="宋体"/>
                <w:kern w:val="0"/>
                <w:sz w:val="24"/>
              </w:rPr>
            </w:pPr>
          </w:p>
        </w:tc>
        <w:tc>
          <w:tcPr>
            <w:tcW w:w="2439" w:type="dxa"/>
            <w:noWrap w:val="0"/>
            <w:vAlign w:val="top"/>
          </w:tcPr>
          <w:p w14:paraId="5FDFC9D6">
            <w:pPr>
              <w:adjustRightInd w:val="0"/>
              <w:snapToGrid w:val="0"/>
              <w:spacing w:line="360" w:lineRule="auto"/>
              <w:rPr>
                <w:rFonts w:ascii="宋体" w:hAnsi="宋体"/>
                <w:kern w:val="0"/>
                <w:sz w:val="24"/>
              </w:rPr>
            </w:pPr>
          </w:p>
        </w:tc>
        <w:tc>
          <w:tcPr>
            <w:tcW w:w="2961" w:type="dxa"/>
            <w:noWrap w:val="0"/>
            <w:vAlign w:val="top"/>
          </w:tcPr>
          <w:p w14:paraId="024D9F7F">
            <w:pPr>
              <w:adjustRightInd w:val="0"/>
              <w:snapToGrid w:val="0"/>
              <w:spacing w:line="360" w:lineRule="auto"/>
              <w:rPr>
                <w:rFonts w:ascii="宋体" w:hAnsi="宋体"/>
                <w:kern w:val="0"/>
                <w:sz w:val="24"/>
              </w:rPr>
            </w:pPr>
          </w:p>
        </w:tc>
      </w:tr>
    </w:tbl>
    <w:p w14:paraId="00B0FE29">
      <w:pPr>
        <w:adjustRightInd w:val="0"/>
        <w:snapToGrid w:val="0"/>
        <w:spacing w:line="360" w:lineRule="auto"/>
        <w:rPr>
          <w:rFonts w:hint="eastAsia" w:ascii="宋体" w:hAnsi="宋体"/>
          <w:szCs w:val="21"/>
        </w:rPr>
      </w:pPr>
    </w:p>
    <w:p w14:paraId="3FBC4DBA">
      <w:pPr>
        <w:adjustRightInd w:val="0"/>
        <w:snapToGrid w:val="0"/>
        <w:spacing w:line="360" w:lineRule="auto"/>
        <w:rPr>
          <w:rFonts w:ascii="宋体" w:hAnsi="宋体"/>
          <w:szCs w:val="21"/>
        </w:rPr>
      </w:pPr>
      <w:r>
        <w:rPr>
          <w:rFonts w:hint="eastAsia" w:ascii="宋体" w:hAnsi="宋体"/>
          <w:szCs w:val="21"/>
        </w:rPr>
        <w:t>采购人（签字）：</w:t>
      </w:r>
      <w:r>
        <w:rPr>
          <w:rFonts w:hint="eastAsia" w:ascii="宋体" w:hAnsi="宋体"/>
          <w:szCs w:val="21"/>
          <w:u w:val="single"/>
        </w:rPr>
        <w:t xml:space="preserve">       </w:t>
      </w:r>
      <w:r>
        <w:rPr>
          <w:rFonts w:hint="eastAsia" w:ascii="宋体" w:hAnsi="宋体"/>
          <w:szCs w:val="21"/>
        </w:rPr>
        <w:t xml:space="preserve">                       </w:t>
      </w:r>
    </w:p>
    <w:p w14:paraId="3804E3A0">
      <w:pPr>
        <w:adjustRightInd w:val="0"/>
        <w:snapToGrid w:val="0"/>
        <w:spacing w:line="360" w:lineRule="auto"/>
        <w:rPr>
          <w:rFonts w:ascii="宋体" w:hAnsi="宋体"/>
          <w:szCs w:val="21"/>
        </w:rPr>
      </w:pPr>
      <w:r>
        <w:rPr>
          <w:rFonts w:hint="eastAsia" w:ascii="宋体" w:hAnsi="宋体"/>
          <w:szCs w:val="21"/>
        </w:rPr>
        <w:t>采购代理机构（签字）：</w:t>
      </w:r>
      <w:r>
        <w:rPr>
          <w:rFonts w:hint="eastAsia" w:ascii="宋体" w:hAnsi="宋体"/>
          <w:szCs w:val="21"/>
          <w:u w:val="single"/>
        </w:rPr>
        <w:t xml:space="preserve">       </w:t>
      </w:r>
      <w:r>
        <w:rPr>
          <w:rFonts w:hint="eastAsia" w:ascii="宋体" w:hAnsi="宋体"/>
          <w:szCs w:val="21"/>
        </w:rPr>
        <w:t xml:space="preserve">                               </w:t>
      </w:r>
    </w:p>
    <w:p w14:paraId="12C23457">
      <w:pPr>
        <w:adjustRightInd w:val="0"/>
        <w:snapToGrid w:val="0"/>
        <w:spacing w:line="360" w:lineRule="auto"/>
        <w:rPr>
          <w:rFonts w:ascii="宋体" w:hAnsi="宋体"/>
          <w:color w:val="000000"/>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1A8CA72">
      <w:pPr>
        <w:widowControl/>
        <w:jc w:val="left"/>
        <w:rPr>
          <w:rFonts w:ascii="宋体" w:hAnsi="宋体"/>
          <w:color w:val="000000"/>
          <w:sz w:val="24"/>
        </w:rPr>
      </w:pPr>
      <w:r>
        <w:rPr>
          <w:rFonts w:ascii="宋体" w:hAnsi="宋体"/>
          <w:color w:val="000000"/>
          <w:sz w:val="24"/>
        </w:rPr>
        <w:br w:type="page"/>
      </w:r>
    </w:p>
    <w:p w14:paraId="6A33B474">
      <w:pPr>
        <w:bidi w:val="0"/>
        <w:rPr>
          <w:b/>
          <w:bCs/>
        </w:rPr>
      </w:pPr>
      <w:bookmarkStart w:id="61" w:name="_Toc25252"/>
      <w:r>
        <w:rPr>
          <w:rFonts w:hint="eastAsia"/>
          <w:b/>
          <w:bCs/>
        </w:rPr>
        <w:t>附表3 资格审查合格投标人名单</w:t>
      </w:r>
      <w:bookmarkEnd w:id="61"/>
    </w:p>
    <w:p w14:paraId="2634CA3F">
      <w:pPr>
        <w:bidi w:val="0"/>
        <w:jc w:val="center"/>
        <w:rPr>
          <w:b/>
          <w:bCs/>
        </w:rPr>
      </w:pPr>
      <w:r>
        <w:rPr>
          <w:rFonts w:hint="eastAsia"/>
          <w:b/>
          <w:bCs/>
        </w:rPr>
        <w:t>资格审查合格投标人名单</w:t>
      </w:r>
    </w:p>
    <w:p w14:paraId="5FFDE871">
      <w:pPr>
        <w:adjustRightInd w:val="0"/>
        <w:snapToGrid w:val="0"/>
        <w:spacing w:line="360" w:lineRule="auto"/>
        <w:rPr>
          <w:rFonts w:hint="eastAsia" w:ascii="宋体" w:hAnsi="宋体"/>
          <w:szCs w:val="21"/>
        </w:rPr>
      </w:pPr>
      <w:r>
        <w:rPr>
          <w:rFonts w:hint="eastAsia" w:ascii="宋体" w:hAnsi="宋体"/>
          <w:szCs w:val="21"/>
        </w:rPr>
        <w:t xml:space="preserve">项目名称：            </w:t>
      </w:r>
    </w:p>
    <w:p w14:paraId="2A16BAB4">
      <w:pPr>
        <w:adjustRightInd w:val="0"/>
        <w:snapToGrid w:val="0"/>
        <w:spacing w:line="360" w:lineRule="auto"/>
        <w:rPr>
          <w:rFonts w:ascii="华文中宋" w:hAnsi="华文中宋" w:eastAsia="华文中宋"/>
          <w:sz w:val="32"/>
          <w:szCs w:val="32"/>
        </w:rPr>
      </w:pPr>
      <w:r>
        <w:rPr>
          <w:rFonts w:hint="eastAsia" w:ascii="宋体" w:hAnsi="宋体"/>
          <w:szCs w:val="21"/>
        </w:rPr>
        <w:t xml:space="preserve">政府采购编号：   </w:t>
      </w:r>
    </w:p>
    <w:tbl>
      <w:tblPr>
        <w:tblStyle w:val="45"/>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3"/>
        <w:gridCol w:w="7796"/>
      </w:tblGrid>
      <w:tr w14:paraId="1672D7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center"/>
          </w:tcPr>
          <w:p w14:paraId="4521DA44">
            <w:pPr>
              <w:jc w:val="center"/>
              <w:rPr>
                <w:b/>
                <w:kern w:val="0"/>
                <w:szCs w:val="21"/>
              </w:rPr>
            </w:pPr>
            <w:r>
              <w:rPr>
                <w:rFonts w:hint="eastAsia"/>
                <w:b/>
                <w:kern w:val="0"/>
                <w:szCs w:val="21"/>
              </w:rPr>
              <w:t>序号</w:t>
            </w:r>
          </w:p>
        </w:tc>
        <w:tc>
          <w:tcPr>
            <w:tcW w:w="7796" w:type="dxa"/>
            <w:noWrap w:val="0"/>
            <w:vAlign w:val="center"/>
          </w:tcPr>
          <w:p w14:paraId="0ABB939C">
            <w:pPr>
              <w:jc w:val="center"/>
              <w:rPr>
                <w:b/>
                <w:kern w:val="0"/>
                <w:szCs w:val="21"/>
              </w:rPr>
            </w:pPr>
            <w:r>
              <w:rPr>
                <w:rFonts w:hint="eastAsia"/>
                <w:b/>
                <w:kern w:val="0"/>
                <w:szCs w:val="21"/>
              </w:rPr>
              <w:t>合格投标人名称</w:t>
            </w:r>
          </w:p>
        </w:tc>
      </w:tr>
      <w:tr w14:paraId="63AB66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343536FD">
            <w:pPr>
              <w:adjustRightInd w:val="0"/>
              <w:snapToGrid w:val="0"/>
              <w:spacing w:line="360" w:lineRule="auto"/>
              <w:rPr>
                <w:rFonts w:ascii="宋体" w:hAnsi="宋体"/>
                <w:kern w:val="0"/>
                <w:szCs w:val="21"/>
              </w:rPr>
            </w:pPr>
          </w:p>
        </w:tc>
        <w:tc>
          <w:tcPr>
            <w:tcW w:w="7796" w:type="dxa"/>
            <w:noWrap w:val="0"/>
            <w:vAlign w:val="top"/>
          </w:tcPr>
          <w:p w14:paraId="2537CBC2">
            <w:pPr>
              <w:adjustRightInd w:val="0"/>
              <w:snapToGrid w:val="0"/>
              <w:spacing w:line="360" w:lineRule="auto"/>
              <w:rPr>
                <w:rFonts w:ascii="宋体" w:hAnsi="宋体"/>
                <w:kern w:val="0"/>
                <w:szCs w:val="21"/>
              </w:rPr>
            </w:pPr>
          </w:p>
        </w:tc>
      </w:tr>
      <w:tr w14:paraId="02348A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79718505">
            <w:pPr>
              <w:adjustRightInd w:val="0"/>
              <w:snapToGrid w:val="0"/>
              <w:spacing w:line="360" w:lineRule="auto"/>
              <w:rPr>
                <w:rFonts w:ascii="宋体" w:hAnsi="宋体"/>
                <w:kern w:val="0"/>
                <w:sz w:val="24"/>
              </w:rPr>
            </w:pPr>
          </w:p>
        </w:tc>
        <w:tc>
          <w:tcPr>
            <w:tcW w:w="7796" w:type="dxa"/>
            <w:noWrap w:val="0"/>
            <w:vAlign w:val="top"/>
          </w:tcPr>
          <w:p w14:paraId="6FBDDA4C">
            <w:pPr>
              <w:adjustRightInd w:val="0"/>
              <w:snapToGrid w:val="0"/>
              <w:spacing w:line="360" w:lineRule="auto"/>
              <w:rPr>
                <w:rFonts w:ascii="宋体" w:hAnsi="宋体"/>
                <w:kern w:val="0"/>
                <w:sz w:val="24"/>
              </w:rPr>
            </w:pPr>
          </w:p>
        </w:tc>
      </w:tr>
      <w:tr w14:paraId="64118E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0B12DC4C">
            <w:pPr>
              <w:adjustRightInd w:val="0"/>
              <w:snapToGrid w:val="0"/>
              <w:spacing w:line="360" w:lineRule="auto"/>
              <w:rPr>
                <w:rFonts w:ascii="宋体" w:hAnsi="宋体"/>
                <w:kern w:val="0"/>
                <w:sz w:val="24"/>
              </w:rPr>
            </w:pPr>
          </w:p>
        </w:tc>
        <w:tc>
          <w:tcPr>
            <w:tcW w:w="7796" w:type="dxa"/>
            <w:noWrap w:val="0"/>
            <w:vAlign w:val="top"/>
          </w:tcPr>
          <w:p w14:paraId="5518326E">
            <w:pPr>
              <w:adjustRightInd w:val="0"/>
              <w:snapToGrid w:val="0"/>
              <w:spacing w:line="360" w:lineRule="auto"/>
              <w:rPr>
                <w:rFonts w:ascii="宋体" w:hAnsi="宋体"/>
                <w:kern w:val="0"/>
                <w:sz w:val="24"/>
              </w:rPr>
            </w:pPr>
          </w:p>
        </w:tc>
      </w:tr>
      <w:tr w14:paraId="387EA8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0F535E89">
            <w:pPr>
              <w:adjustRightInd w:val="0"/>
              <w:snapToGrid w:val="0"/>
              <w:spacing w:line="360" w:lineRule="auto"/>
              <w:rPr>
                <w:rFonts w:ascii="宋体" w:hAnsi="宋体"/>
                <w:kern w:val="0"/>
                <w:sz w:val="24"/>
              </w:rPr>
            </w:pPr>
          </w:p>
        </w:tc>
        <w:tc>
          <w:tcPr>
            <w:tcW w:w="7796" w:type="dxa"/>
            <w:noWrap w:val="0"/>
            <w:vAlign w:val="top"/>
          </w:tcPr>
          <w:p w14:paraId="50BCE5F5">
            <w:pPr>
              <w:adjustRightInd w:val="0"/>
              <w:snapToGrid w:val="0"/>
              <w:spacing w:line="360" w:lineRule="auto"/>
              <w:rPr>
                <w:rFonts w:ascii="宋体" w:hAnsi="宋体"/>
                <w:kern w:val="0"/>
                <w:sz w:val="24"/>
              </w:rPr>
            </w:pPr>
          </w:p>
        </w:tc>
      </w:tr>
      <w:tr w14:paraId="0F3E03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16F58859">
            <w:pPr>
              <w:adjustRightInd w:val="0"/>
              <w:snapToGrid w:val="0"/>
              <w:spacing w:line="360" w:lineRule="auto"/>
              <w:rPr>
                <w:rFonts w:ascii="宋体" w:hAnsi="宋体"/>
                <w:kern w:val="0"/>
                <w:sz w:val="24"/>
              </w:rPr>
            </w:pPr>
          </w:p>
        </w:tc>
        <w:tc>
          <w:tcPr>
            <w:tcW w:w="7796" w:type="dxa"/>
            <w:noWrap w:val="0"/>
            <w:vAlign w:val="top"/>
          </w:tcPr>
          <w:p w14:paraId="67A035E4">
            <w:pPr>
              <w:adjustRightInd w:val="0"/>
              <w:snapToGrid w:val="0"/>
              <w:spacing w:line="360" w:lineRule="auto"/>
              <w:rPr>
                <w:rFonts w:ascii="宋体" w:hAnsi="宋体"/>
                <w:kern w:val="0"/>
                <w:sz w:val="24"/>
              </w:rPr>
            </w:pPr>
          </w:p>
        </w:tc>
      </w:tr>
      <w:tr w14:paraId="73528D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73DD9090">
            <w:pPr>
              <w:adjustRightInd w:val="0"/>
              <w:snapToGrid w:val="0"/>
              <w:spacing w:line="360" w:lineRule="auto"/>
              <w:rPr>
                <w:rFonts w:ascii="宋体" w:hAnsi="宋体"/>
                <w:kern w:val="0"/>
                <w:sz w:val="24"/>
              </w:rPr>
            </w:pPr>
          </w:p>
        </w:tc>
        <w:tc>
          <w:tcPr>
            <w:tcW w:w="7796" w:type="dxa"/>
            <w:noWrap w:val="0"/>
            <w:vAlign w:val="top"/>
          </w:tcPr>
          <w:p w14:paraId="6AC630D1">
            <w:pPr>
              <w:adjustRightInd w:val="0"/>
              <w:snapToGrid w:val="0"/>
              <w:spacing w:line="360" w:lineRule="auto"/>
              <w:rPr>
                <w:rFonts w:ascii="宋体" w:hAnsi="宋体"/>
                <w:kern w:val="0"/>
                <w:sz w:val="24"/>
              </w:rPr>
            </w:pPr>
          </w:p>
        </w:tc>
      </w:tr>
    </w:tbl>
    <w:p w14:paraId="289E3C5F">
      <w:pPr>
        <w:adjustRightInd w:val="0"/>
        <w:snapToGrid w:val="0"/>
        <w:spacing w:line="360" w:lineRule="auto"/>
        <w:rPr>
          <w:rFonts w:hint="eastAsia" w:ascii="宋体" w:hAnsi="宋体"/>
          <w:szCs w:val="21"/>
        </w:rPr>
      </w:pPr>
    </w:p>
    <w:p w14:paraId="06C1AA64">
      <w:pPr>
        <w:adjustRightInd w:val="0"/>
        <w:snapToGrid w:val="0"/>
        <w:spacing w:line="360" w:lineRule="auto"/>
        <w:rPr>
          <w:rFonts w:ascii="宋体" w:hAnsi="宋体"/>
          <w:szCs w:val="21"/>
        </w:rPr>
      </w:pPr>
      <w:r>
        <w:rPr>
          <w:rFonts w:hint="eastAsia" w:ascii="宋体" w:hAnsi="宋体"/>
          <w:szCs w:val="21"/>
        </w:rPr>
        <w:t>采购人（签字）：</w:t>
      </w:r>
      <w:r>
        <w:rPr>
          <w:rFonts w:hint="eastAsia" w:ascii="宋体" w:hAnsi="宋体"/>
          <w:szCs w:val="21"/>
          <w:u w:val="single"/>
        </w:rPr>
        <w:t xml:space="preserve">       </w:t>
      </w:r>
      <w:r>
        <w:rPr>
          <w:rFonts w:hint="eastAsia" w:ascii="宋体" w:hAnsi="宋体"/>
          <w:szCs w:val="21"/>
        </w:rPr>
        <w:t xml:space="preserve">                       </w:t>
      </w:r>
    </w:p>
    <w:p w14:paraId="0A8E278C">
      <w:pPr>
        <w:adjustRightInd w:val="0"/>
        <w:snapToGrid w:val="0"/>
        <w:spacing w:line="360" w:lineRule="auto"/>
        <w:rPr>
          <w:rFonts w:ascii="宋体" w:hAnsi="宋体"/>
          <w:szCs w:val="21"/>
        </w:rPr>
      </w:pPr>
      <w:r>
        <w:rPr>
          <w:rFonts w:hint="eastAsia" w:ascii="宋体" w:hAnsi="宋体"/>
          <w:szCs w:val="21"/>
        </w:rPr>
        <w:t>采购代理机构（签字）：</w:t>
      </w:r>
      <w:r>
        <w:rPr>
          <w:rFonts w:hint="eastAsia" w:ascii="宋体" w:hAnsi="宋体"/>
          <w:szCs w:val="21"/>
          <w:u w:val="single"/>
        </w:rPr>
        <w:t xml:space="preserve">       </w:t>
      </w:r>
      <w:r>
        <w:rPr>
          <w:rFonts w:hint="eastAsia" w:ascii="宋体" w:hAnsi="宋体"/>
          <w:szCs w:val="21"/>
        </w:rPr>
        <w:t xml:space="preserve">                               </w:t>
      </w:r>
    </w:p>
    <w:p w14:paraId="077E7A97">
      <w:pPr>
        <w:rPr>
          <w:rFonts w:ascii="黑体" w:hAnsi="华文中宋" w:eastAsia="黑体"/>
          <w:b/>
          <w:color w:val="000000"/>
          <w:sz w:val="32"/>
          <w:szCs w:val="32"/>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ascii="宋体" w:hAnsi="宋体"/>
          <w:color w:val="000000"/>
        </w:rPr>
        <w:br w:type="page"/>
      </w:r>
    </w:p>
    <w:p w14:paraId="6CF87829">
      <w:pPr>
        <w:pStyle w:val="3"/>
        <w:ind w:firstLine="2570" w:firstLineChars="800"/>
        <w:jc w:val="both"/>
        <w:rPr>
          <w:rFonts w:hint="eastAsia" w:ascii="黑体" w:hAnsi="华文中宋" w:eastAsia="黑体"/>
          <w:color w:val="000000"/>
          <w:sz w:val="32"/>
          <w:szCs w:val="32"/>
        </w:rPr>
      </w:pPr>
      <w:bookmarkStart w:id="62" w:name="_Toc26697"/>
      <w:r>
        <w:rPr>
          <w:rFonts w:hint="eastAsia" w:ascii="黑体" w:hAnsi="华文中宋" w:eastAsia="黑体"/>
          <w:color w:val="000000"/>
          <w:sz w:val="32"/>
          <w:szCs w:val="32"/>
        </w:rPr>
        <w:t>第四章 评标方法及标准</w:t>
      </w:r>
      <w:bookmarkEnd w:id="62"/>
    </w:p>
    <w:p w14:paraId="142E61AE">
      <w:pPr>
        <w:keepNext/>
        <w:keepLines/>
        <w:adjustRightInd w:val="0"/>
        <w:snapToGrid w:val="0"/>
        <w:spacing w:line="360" w:lineRule="auto"/>
        <w:jc w:val="center"/>
        <w:outlineLvl w:val="1"/>
        <w:rPr>
          <w:rFonts w:ascii="黑体" w:hAnsi="华文中宋" w:eastAsia="黑体"/>
          <w:b/>
          <w:bCs/>
          <w:sz w:val="28"/>
          <w:szCs w:val="28"/>
        </w:rPr>
      </w:pPr>
      <w:bookmarkStart w:id="63" w:name="_Toc27003"/>
      <w:bookmarkStart w:id="64" w:name="_Toc20651214"/>
      <w:r>
        <w:rPr>
          <w:rFonts w:hint="eastAsia" w:ascii="黑体" w:hAnsi="华文中宋" w:eastAsia="黑体"/>
          <w:b/>
          <w:bCs/>
          <w:sz w:val="28"/>
          <w:szCs w:val="28"/>
        </w:rPr>
        <w:t>第一节 评标方法及标准前附表</w:t>
      </w:r>
      <w:bookmarkEnd w:id="63"/>
      <w:bookmarkEnd w:id="64"/>
    </w:p>
    <w:p w14:paraId="4CC9CA26">
      <w:pPr>
        <w:adjustRightInd w:val="0"/>
        <w:snapToGrid w:val="0"/>
        <w:spacing w:line="360" w:lineRule="auto"/>
        <w:jc w:val="left"/>
        <w:rPr>
          <w:rFonts w:ascii="宋体" w:hAnsi="宋体"/>
          <w:bCs/>
          <w:i/>
          <w:color w:val="000000"/>
          <w:szCs w:val="21"/>
        </w:rPr>
      </w:pPr>
      <w:r>
        <w:rPr>
          <w:rFonts w:hint="eastAsia" w:ascii="宋体" w:hAnsi="宋体"/>
          <w:bCs/>
          <w:i/>
          <w:color w:val="000000"/>
          <w:szCs w:val="21"/>
        </w:rPr>
        <w:t>本项目启用的条款在“编列内容规定”栏内以“■”标注。</w:t>
      </w:r>
    </w:p>
    <w:tbl>
      <w:tblPr>
        <w:tblStyle w:val="45"/>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533"/>
        <w:gridCol w:w="795"/>
        <w:gridCol w:w="1559"/>
        <w:gridCol w:w="4902"/>
      </w:tblGrid>
      <w:tr w14:paraId="2E75F82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33" w:type="dxa"/>
            <w:tcBorders>
              <w:top w:val="double" w:color="auto" w:sz="4" w:space="0"/>
              <w:bottom w:val="single" w:color="auto" w:sz="6" w:space="0"/>
            </w:tcBorders>
            <w:noWrap w:val="0"/>
            <w:vAlign w:val="top"/>
          </w:tcPr>
          <w:p w14:paraId="1E87B4D0">
            <w:pPr>
              <w:keepNext w:val="0"/>
              <w:keepLines w:val="0"/>
              <w:pageBreakBefore w:val="0"/>
              <w:widowControl w:val="0"/>
              <w:kinsoku/>
              <w:wordWrap/>
              <w:overflowPunct/>
              <w:topLinePunct w:val="0"/>
              <w:autoSpaceDE/>
              <w:autoSpaceDN/>
              <w:bidi w:val="0"/>
              <w:adjustRightInd w:val="0"/>
              <w:snapToGrid w:val="0"/>
              <w:spacing w:line="240" w:lineRule="auto"/>
              <w:jc w:val="center"/>
              <w:rPr>
                <w:b/>
              </w:rPr>
            </w:pPr>
            <w:r>
              <w:rPr>
                <w:rFonts w:hint="eastAsia"/>
                <w:b/>
              </w:rPr>
              <w:t>条款号</w:t>
            </w:r>
          </w:p>
        </w:tc>
        <w:tc>
          <w:tcPr>
            <w:tcW w:w="2354" w:type="dxa"/>
            <w:gridSpan w:val="2"/>
            <w:tcBorders>
              <w:top w:val="double" w:color="auto" w:sz="4" w:space="0"/>
              <w:bottom w:val="single" w:color="auto" w:sz="6" w:space="0"/>
            </w:tcBorders>
            <w:noWrap w:val="0"/>
            <w:vAlign w:val="top"/>
          </w:tcPr>
          <w:p w14:paraId="675917AE">
            <w:pPr>
              <w:keepNext w:val="0"/>
              <w:keepLines w:val="0"/>
              <w:pageBreakBefore w:val="0"/>
              <w:widowControl w:val="0"/>
              <w:kinsoku/>
              <w:wordWrap/>
              <w:overflowPunct/>
              <w:topLinePunct w:val="0"/>
              <w:autoSpaceDE/>
              <w:autoSpaceDN/>
              <w:bidi w:val="0"/>
              <w:adjustRightInd w:val="0"/>
              <w:snapToGrid w:val="0"/>
              <w:spacing w:line="240" w:lineRule="auto"/>
              <w:jc w:val="center"/>
              <w:rPr>
                <w:b/>
              </w:rPr>
            </w:pPr>
            <w:r>
              <w:rPr>
                <w:rFonts w:hint="eastAsia"/>
                <w:b/>
              </w:rPr>
              <w:t>条款名称</w:t>
            </w:r>
          </w:p>
        </w:tc>
        <w:tc>
          <w:tcPr>
            <w:tcW w:w="4902" w:type="dxa"/>
            <w:tcBorders>
              <w:top w:val="double" w:color="auto" w:sz="4" w:space="0"/>
              <w:bottom w:val="single" w:color="auto" w:sz="6" w:space="0"/>
            </w:tcBorders>
            <w:noWrap w:val="0"/>
            <w:vAlign w:val="top"/>
          </w:tcPr>
          <w:p w14:paraId="097F00BE">
            <w:pPr>
              <w:keepNext w:val="0"/>
              <w:keepLines w:val="0"/>
              <w:pageBreakBefore w:val="0"/>
              <w:widowControl w:val="0"/>
              <w:kinsoku/>
              <w:wordWrap/>
              <w:overflowPunct/>
              <w:topLinePunct w:val="0"/>
              <w:autoSpaceDE/>
              <w:autoSpaceDN/>
              <w:bidi w:val="0"/>
              <w:adjustRightInd w:val="0"/>
              <w:snapToGrid w:val="0"/>
              <w:spacing w:line="240" w:lineRule="auto"/>
              <w:jc w:val="center"/>
              <w:rPr>
                <w:b/>
              </w:rPr>
            </w:pPr>
            <w:r>
              <w:rPr>
                <w:rFonts w:hint="eastAsia"/>
                <w:b/>
              </w:rPr>
              <w:t>编列内容规定</w:t>
            </w:r>
          </w:p>
        </w:tc>
      </w:tr>
      <w:tr w14:paraId="7E5289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33" w:type="dxa"/>
            <w:tcBorders>
              <w:top w:val="single" w:color="auto" w:sz="6" w:space="0"/>
              <w:bottom w:val="single" w:color="auto" w:sz="6" w:space="0"/>
            </w:tcBorders>
            <w:noWrap w:val="0"/>
            <w:vAlign w:val="center"/>
          </w:tcPr>
          <w:p w14:paraId="3C28F794">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r>
              <w:rPr>
                <w:rFonts w:hint="eastAsia" w:ascii="宋体" w:hAnsi="宋体"/>
                <w:szCs w:val="21"/>
              </w:rPr>
              <w:t>第1.3</w:t>
            </w:r>
            <w:r>
              <w:rPr>
                <w:rFonts w:hint="eastAsia" w:ascii="宋体" w:hAnsi="宋体" w:cs="宋体"/>
                <w:kern w:val="0"/>
                <w:szCs w:val="21"/>
                <w:lang w:val="zh-CN"/>
              </w:rPr>
              <w:t>款</w:t>
            </w:r>
          </w:p>
        </w:tc>
        <w:tc>
          <w:tcPr>
            <w:tcW w:w="2354" w:type="dxa"/>
            <w:gridSpan w:val="2"/>
            <w:tcBorders>
              <w:top w:val="single" w:color="auto" w:sz="6" w:space="0"/>
              <w:bottom w:val="single" w:color="auto" w:sz="6" w:space="0"/>
            </w:tcBorders>
            <w:noWrap w:val="0"/>
            <w:vAlign w:val="center"/>
          </w:tcPr>
          <w:p w14:paraId="4B3043B3">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r>
              <w:rPr>
                <w:rFonts w:hint="eastAsia" w:ascii="宋体" w:hAnsi="宋体"/>
                <w:szCs w:val="21"/>
              </w:rPr>
              <w:t>评标方法</w:t>
            </w:r>
          </w:p>
        </w:tc>
        <w:tc>
          <w:tcPr>
            <w:tcW w:w="4902" w:type="dxa"/>
            <w:tcBorders>
              <w:top w:val="single" w:color="auto" w:sz="6" w:space="0"/>
              <w:bottom w:val="single" w:color="auto" w:sz="6" w:space="0"/>
            </w:tcBorders>
            <w:noWrap w:val="0"/>
            <w:vAlign w:val="center"/>
          </w:tcPr>
          <w:p w14:paraId="33EBC637">
            <w:pPr>
              <w:keepNext w:val="0"/>
              <w:keepLines w:val="0"/>
              <w:pageBreakBefore w:val="0"/>
              <w:widowControl w:val="0"/>
              <w:kinsoku/>
              <w:wordWrap/>
              <w:overflowPunct/>
              <w:topLinePunct w:val="0"/>
              <w:autoSpaceDE/>
              <w:autoSpaceDN/>
              <w:bidi w:val="0"/>
              <w:snapToGrid w:val="0"/>
              <w:spacing w:line="240" w:lineRule="auto"/>
              <w:textAlignment w:val="baseline"/>
            </w:pPr>
            <w:r>
              <w:rPr>
                <w:rFonts w:hint="eastAsia"/>
              </w:rPr>
              <w:t>■综合评分法</w:t>
            </w:r>
          </w:p>
          <w:p w14:paraId="04C5E0D0">
            <w:pPr>
              <w:keepNext w:val="0"/>
              <w:keepLines w:val="0"/>
              <w:pageBreakBefore w:val="0"/>
              <w:widowControl w:val="0"/>
              <w:kinsoku/>
              <w:wordWrap/>
              <w:overflowPunct/>
              <w:topLinePunct w:val="0"/>
              <w:autoSpaceDE/>
              <w:autoSpaceDN/>
              <w:bidi w:val="0"/>
              <w:adjustRightInd w:val="0"/>
              <w:snapToGrid w:val="0"/>
              <w:spacing w:line="240" w:lineRule="auto"/>
              <w:rPr>
                <w:rFonts w:ascii="宋体" w:hAnsi="宋体"/>
                <w:szCs w:val="21"/>
              </w:rPr>
            </w:pPr>
            <w:r>
              <w:rPr>
                <w:rFonts w:hint="eastAsia" w:ascii="MS Gothic" w:hAnsi="MS Gothic" w:eastAsia="MS Gothic" w:cs="MS Gothic"/>
                <w:szCs w:val="21"/>
              </w:rPr>
              <w:t>☐</w:t>
            </w:r>
            <w:r>
              <w:rPr>
                <w:rFonts w:hint="eastAsia"/>
              </w:rPr>
              <w:t>最低评标价法</w:t>
            </w:r>
          </w:p>
        </w:tc>
      </w:tr>
      <w:tr w14:paraId="07671A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33" w:type="dxa"/>
            <w:tcBorders>
              <w:top w:val="single" w:color="auto" w:sz="6" w:space="0"/>
              <w:bottom w:val="single" w:color="auto" w:sz="6" w:space="0"/>
            </w:tcBorders>
            <w:noWrap w:val="0"/>
            <w:vAlign w:val="center"/>
          </w:tcPr>
          <w:p w14:paraId="4DEABAF3">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r>
              <w:rPr>
                <w:rFonts w:hint="eastAsia" w:ascii="宋体" w:hAnsi="宋体"/>
                <w:szCs w:val="21"/>
              </w:rPr>
              <w:t>第4.2</w:t>
            </w:r>
            <w:r>
              <w:rPr>
                <w:rFonts w:hint="eastAsia" w:ascii="宋体" w:hAnsi="宋体" w:cs="宋体"/>
                <w:kern w:val="0"/>
                <w:szCs w:val="21"/>
                <w:lang w:val="zh-CN"/>
              </w:rPr>
              <w:t>款</w:t>
            </w:r>
          </w:p>
        </w:tc>
        <w:tc>
          <w:tcPr>
            <w:tcW w:w="2354" w:type="dxa"/>
            <w:gridSpan w:val="2"/>
            <w:tcBorders>
              <w:top w:val="single" w:color="auto" w:sz="6" w:space="0"/>
              <w:bottom w:val="single" w:color="auto" w:sz="6" w:space="0"/>
            </w:tcBorders>
            <w:noWrap w:val="0"/>
            <w:vAlign w:val="center"/>
          </w:tcPr>
          <w:p w14:paraId="4D06FE7B">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r>
              <w:rPr>
                <w:rFonts w:hint="eastAsia" w:ascii="宋体" w:hAnsi="宋体"/>
                <w:szCs w:val="21"/>
              </w:rPr>
              <w:t>投标文件报价出现前后不一致的修正</w:t>
            </w:r>
          </w:p>
        </w:tc>
        <w:tc>
          <w:tcPr>
            <w:tcW w:w="4902" w:type="dxa"/>
            <w:tcBorders>
              <w:top w:val="single" w:color="auto" w:sz="6" w:space="0"/>
              <w:bottom w:val="single" w:color="auto" w:sz="6" w:space="0"/>
            </w:tcBorders>
            <w:noWrap w:val="0"/>
            <w:vAlign w:val="center"/>
          </w:tcPr>
          <w:p w14:paraId="037B314D">
            <w:pPr>
              <w:keepNext w:val="0"/>
              <w:keepLines w:val="0"/>
              <w:pageBreakBefore w:val="0"/>
              <w:widowControl w:val="0"/>
              <w:kinsoku/>
              <w:wordWrap/>
              <w:overflowPunct/>
              <w:topLinePunct w:val="0"/>
              <w:autoSpaceDE/>
              <w:autoSpaceDN/>
              <w:bidi w:val="0"/>
              <w:snapToGrid w:val="0"/>
              <w:spacing w:line="240" w:lineRule="auto"/>
              <w:textAlignment w:val="baseline"/>
              <w:rPr>
                <w:sz w:val="20"/>
              </w:rPr>
            </w:pPr>
            <w:r>
              <w:rPr>
                <w:rFonts w:hint="eastAsia"/>
              </w:rPr>
              <w:t>■按正文部分规定修正</w:t>
            </w:r>
          </w:p>
          <w:p w14:paraId="4FB5B9B3">
            <w:pPr>
              <w:keepNext w:val="0"/>
              <w:keepLines w:val="0"/>
              <w:pageBreakBefore w:val="0"/>
              <w:widowControl w:val="0"/>
              <w:kinsoku/>
              <w:wordWrap/>
              <w:overflowPunct/>
              <w:topLinePunct w:val="0"/>
              <w:autoSpaceDE/>
              <w:autoSpaceDN/>
              <w:bidi w:val="0"/>
              <w:adjustRightInd w:val="0"/>
              <w:snapToGrid w:val="0"/>
              <w:spacing w:line="240" w:lineRule="auto"/>
              <w:jc w:val="left"/>
              <w:rPr>
                <w:rFonts w:ascii="宋体" w:hAnsi="宋体"/>
                <w:szCs w:val="21"/>
              </w:rPr>
            </w:pPr>
            <w:r>
              <w:rPr>
                <w:rFonts w:hint="eastAsia" w:ascii="MS Gothic" w:hAnsi="MS Gothic" w:eastAsia="MS Gothic" w:cs="MS Gothic"/>
                <w:szCs w:val="21"/>
              </w:rPr>
              <w:t>☐</w:t>
            </w:r>
            <w:r>
              <w:rPr>
                <w:rFonts w:hint="eastAsia"/>
              </w:rPr>
              <w:t>不按正文部分规定修正，具体修正规定为：</w:t>
            </w:r>
          </w:p>
        </w:tc>
      </w:tr>
      <w:tr w14:paraId="14DD800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1533" w:type="dxa"/>
            <w:vMerge w:val="restart"/>
            <w:tcBorders>
              <w:top w:val="single" w:color="auto" w:sz="6" w:space="0"/>
            </w:tcBorders>
            <w:noWrap w:val="0"/>
            <w:vAlign w:val="center"/>
          </w:tcPr>
          <w:p w14:paraId="0B8D9B4B">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r>
              <w:rPr>
                <w:rFonts w:hint="eastAsia" w:ascii="宋体" w:hAnsi="宋体"/>
                <w:szCs w:val="21"/>
              </w:rPr>
              <w:t>第5.4（1）</w:t>
            </w:r>
            <w:r>
              <w:rPr>
                <w:rFonts w:hint="eastAsia" w:ascii="宋体" w:hAnsi="宋体" w:cs="宋体"/>
                <w:kern w:val="0"/>
                <w:szCs w:val="21"/>
                <w:lang w:val="zh-CN"/>
              </w:rPr>
              <w:t>项</w:t>
            </w:r>
          </w:p>
        </w:tc>
        <w:tc>
          <w:tcPr>
            <w:tcW w:w="2354" w:type="dxa"/>
            <w:gridSpan w:val="2"/>
            <w:vMerge w:val="restart"/>
            <w:tcBorders>
              <w:top w:val="single" w:color="auto" w:sz="6" w:space="0"/>
            </w:tcBorders>
            <w:noWrap w:val="0"/>
            <w:vAlign w:val="center"/>
          </w:tcPr>
          <w:p w14:paraId="71642075">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r>
              <w:rPr>
                <w:rFonts w:hint="eastAsia" w:ascii="宋体" w:hAnsi="宋体"/>
                <w:szCs w:val="21"/>
              </w:rPr>
              <w:t>价格评审优惠</w:t>
            </w:r>
          </w:p>
        </w:tc>
        <w:tc>
          <w:tcPr>
            <w:tcW w:w="4902" w:type="dxa"/>
            <w:tcBorders>
              <w:top w:val="single" w:color="auto" w:sz="6" w:space="0"/>
              <w:bottom w:val="single" w:color="auto" w:sz="6" w:space="0"/>
            </w:tcBorders>
            <w:noWrap w:val="0"/>
            <w:vAlign w:val="center"/>
          </w:tcPr>
          <w:p w14:paraId="26B25A0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本项目中小企业划分标准所属行业：详见第一章投标邀请</w:t>
            </w:r>
          </w:p>
          <w:p w14:paraId="04DAF9E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（一）农、林、牧、渔业</w:t>
            </w:r>
          </w:p>
          <w:p w14:paraId="0FC118AF">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（二）工业</w:t>
            </w:r>
          </w:p>
          <w:p w14:paraId="1D7CA09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（三）建筑业</w:t>
            </w:r>
          </w:p>
          <w:p w14:paraId="5D192D2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（四）批发业</w:t>
            </w:r>
          </w:p>
          <w:p w14:paraId="1089DA89">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（五）零售业</w:t>
            </w:r>
          </w:p>
          <w:p w14:paraId="0124A8D3">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（六）交通运输业</w:t>
            </w:r>
          </w:p>
          <w:p w14:paraId="21CCB4DC">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（七）仓储业</w:t>
            </w:r>
          </w:p>
          <w:p w14:paraId="45B073B4">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（八）邮政业</w:t>
            </w:r>
          </w:p>
          <w:p w14:paraId="623F469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（九）住宿业</w:t>
            </w:r>
          </w:p>
          <w:p w14:paraId="72779D3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（十）餐饮业</w:t>
            </w:r>
          </w:p>
          <w:p w14:paraId="3381F79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（十一）信息传输业</w:t>
            </w:r>
          </w:p>
          <w:p w14:paraId="40C994A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（十二）软件和信息技术服务业</w:t>
            </w:r>
          </w:p>
          <w:p w14:paraId="35960B97">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（十三）房地产开发经营</w:t>
            </w:r>
          </w:p>
          <w:p w14:paraId="55908CCE">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（十四）物业管理</w:t>
            </w:r>
          </w:p>
          <w:p w14:paraId="2486720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default"/>
                <w:lang w:val="en-US" w:eastAsia="zh-CN"/>
              </w:rPr>
            </w:pPr>
            <w:r>
              <w:rPr>
                <w:rFonts w:hint="eastAsia"/>
                <w:lang w:eastAsia="zh-CN"/>
              </w:rPr>
              <w:t>（十五）</w:t>
            </w:r>
            <w:r>
              <w:rPr>
                <w:rFonts w:hint="eastAsia"/>
                <w:lang w:val="en-US" w:eastAsia="zh-CN"/>
              </w:rPr>
              <w:t>租赁和商务服务业</w:t>
            </w:r>
          </w:p>
          <w:p w14:paraId="36281501">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MS Gothic" w:hAnsi="MS Gothic" w:eastAsia="MS Gothic" w:cs="MS Gothic"/>
                <w:szCs w:val="21"/>
              </w:rPr>
            </w:pPr>
            <w:r>
              <w:rPr>
                <w:rFonts w:hint="eastAsia"/>
                <w:lang w:eastAsia="zh-CN"/>
              </w:rPr>
              <w:t>（十六）其他未列明行业</w:t>
            </w:r>
          </w:p>
        </w:tc>
      </w:tr>
      <w:tr w14:paraId="420895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10" w:hRule="atLeast"/>
        </w:trPr>
        <w:tc>
          <w:tcPr>
            <w:tcW w:w="1533" w:type="dxa"/>
            <w:vMerge w:val="continue"/>
            <w:noWrap w:val="0"/>
            <w:vAlign w:val="center"/>
          </w:tcPr>
          <w:p w14:paraId="62FB1851">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p>
        </w:tc>
        <w:tc>
          <w:tcPr>
            <w:tcW w:w="2354" w:type="dxa"/>
            <w:gridSpan w:val="2"/>
            <w:vMerge w:val="continue"/>
            <w:noWrap w:val="0"/>
            <w:vAlign w:val="center"/>
          </w:tcPr>
          <w:p w14:paraId="22A5AA32">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p>
        </w:tc>
        <w:tc>
          <w:tcPr>
            <w:tcW w:w="4902" w:type="dxa"/>
            <w:tcBorders>
              <w:top w:val="single" w:color="auto" w:sz="6" w:space="0"/>
              <w:bottom w:val="single" w:color="auto" w:sz="6" w:space="0"/>
            </w:tcBorders>
            <w:noWrap w:val="0"/>
            <w:vAlign w:val="center"/>
          </w:tcPr>
          <w:p w14:paraId="0CC1E5FB">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扶持中小、微企业</w:t>
            </w:r>
          </w:p>
          <w:p w14:paraId="27A56D1A">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t>□专门面向中小企业采购（专门面向中小企业采购的项目或者采购包，不再执行价格评审优惠的扶持政策。）</w:t>
            </w:r>
          </w:p>
          <w:p w14:paraId="64CB1EC2">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lang w:eastAsia="zh-CN"/>
              </w:rPr>
            </w:pPr>
            <w:r>
              <w:rPr>
                <w:rFonts w:hint="eastAsia"/>
                <w:lang w:eastAsia="zh-CN"/>
              </w:rPr>
              <w:sym w:font="Wingdings 2" w:char="0052"/>
            </w:r>
            <w:r>
              <w:rPr>
                <w:rFonts w:hint="eastAsia"/>
                <w:lang w:eastAsia="zh-CN"/>
              </w:rPr>
              <w:t>非专门面向中小企业采购：</w:t>
            </w:r>
          </w:p>
          <w:p w14:paraId="1EBA74FD">
            <w:pPr>
              <w:keepNext w:val="0"/>
              <w:keepLines w:val="0"/>
              <w:pageBreakBefore w:val="0"/>
              <w:widowControl w:val="0"/>
              <w:kinsoku/>
              <w:wordWrap/>
              <w:overflowPunct/>
              <w:topLinePunct w:val="0"/>
              <w:autoSpaceDE/>
              <w:autoSpaceDN/>
              <w:bidi w:val="0"/>
              <w:adjustRightInd w:val="0"/>
              <w:snapToGrid w:val="0"/>
              <w:spacing w:line="240" w:lineRule="auto"/>
              <w:rPr>
                <w:rFonts w:ascii="宋体" w:hAnsi="宋体" w:eastAsia="宋体"/>
                <w:szCs w:val="21"/>
              </w:rPr>
            </w:pPr>
            <w:r>
              <w:rPr>
                <w:rFonts w:hint="eastAsia"/>
                <w:lang w:eastAsia="zh-CN"/>
              </w:rPr>
              <w:sym w:font="Wingdings 2" w:char="0052"/>
            </w:r>
            <w:r>
              <w:rPr>
                <w:rFonts w:hint="eastAsia" w:ascii="宋体" w:hAnsi="宋体" w:eastAsia="宋体"/>
                <w:szCs w:val="21"/>
              </w:rPr>
              <w:t>小型和微型企业产品的价格给予</w:t>
            </w:r>
            <w:r>
              <w:rPr>
                <w:rFonts w:hint="eastAsia" w:ascii="宋体" w:hAnsi="宋体"/>
                <w:szCs w:val="21"/>
                <w:u w:val="single"/>
                <w:lang w:val="en-US" w:eastAsia="zh-CN"/>
              </w:rPr>
              <w:t>10</w:t>
            </w:r>
            <w:r>
              <w:rPr>
                <w:rFonts w:hint="eastAsia" w:ascii="宋体" w:hAnsi="宋体" w:eastAsia="宋体"/>
                <w:szCs w:val="21"/>
              </w:rPr>
              <w:t>%</w:t>
            </w:r>
            <w:r>
              <w:rPr>
                <w:rFonts w:hint="eastAsia" w:ascii="宋体" w:hAnsi="宋体" w:eastAsia="宋体" w:cs="Cambria"/>
                <w:szCs w:val="21"/>
              </w:rPr>
              <w:t>（</w:t>
            </w:r>
            <w:r>
              <w:rPr>
                <w:rFonts w:hint="eastAsia" w:ascii="宋体" w:hAnsi="宋体" w:eastAsia="宋体" w:cs="Cambria"/>
                <w:szCs w:val="21"/>
                <w:lang w:val="en-US" w:eastAsia="zh-CN"/>
              </w:rPr>
              <w:t>10</w:t>
            </w:r>
            <w:r>
              <w:rPr>
                <w:rFonts w:hint="eastAsia" w:ascii="宋体" w:hAnsi="宋体" w:eastAsia="宋体" w:cs="Cambria"/>
                <w:szCs w:val="21"/>
              </w:rPr>
              <w:t>%-</w:t>
            </w:r>
            <w:r>
              <w:rPr>
                <w:rFonts w:hint="eastAsia" w:ascii="宋体" w:hAnsi="宋体" w:eastAsia="宋体" w:cs="Cambria"/>
                <w:szCs w:val="21"/>
                <w:lang w:val="en-US" w:eastAsia="zh-CN"/>
              </w:rPr>
              <w:t>2</w:t>
            </w:r>
            <w:r>
              <w:rPr>
                <w:rFonts w:hint="eastAsia" w:ascii="宋体" w:hAnsi="宋体" w:eastAsia="宋体" w:cs="Cambria"/>
                <w:szCs w:val="21"/>
              </w:rPr>
              <w:t>0%）的</w:t>
            </w:r>
            <w:r>
              <w:rPr>
                <w:rFonts w:hint="eastAsia" w:ascii="宋体" w:hAnsi="宋体" w:eastAsia="宋体"/>
                <w:szCs w:val="21"/>
              </w:rPr>
              <w:t>扣除比例，用扣除后的价格参与评审。</w:t>
            </w:r>
          </w:p>
          <w:p w14:paraId="2C2924BD">
            <w:pPr>
              <w:keepNext w:val="0"/>
              <w:keepLines w:val="0"/>
              <w:pageBreakBefore w:val="0"/>
              <w:widowControl w:val="0"/>
              <w:kinsoku/>
              <w:wordWrap/>
              <w:overflowPunct/>
              <w:topLinePunct w:val="0"/>
              <w:autoSpaceDE/>
              <w:autoSpaceDN/>
              <w:bidi w:val="0"/>
              <w:adjustRightInd w:val="0"/>
              <w:snapToGrid w:val="0"/>
              <w:spacing w:line="240" w:lineRule="auto"/>
              <w:textAlignment w:val="auto"/>
              <w:rPr>
                <w:rFonts w:hint="eastAsia" w:ascii="宋体" w:hAnsi="宋体"/>
              </w:rPr>
            </w:pPr>
            <w:r>
              <w:rPr>
                <w:rFonts w:ascii="Segoe UI Symbol" w:hAnsi="Segoe UI Symbol" w:eastAsia="宋体" w:cs="Segoe UI Symbol"/>
                <w:szCs w:val="21"/>
              </w:rPr>
              <w:t>☐</w:t>
            </w:r>
            <w:r>
              <w:rPr>
                <w:rFonts w:hint="eastAsia" w:ascii="宋体" w:hAnsi="宋体" w:eastAsia="宋体" w:cs="Cambria"/>
                <w:szCs w:val="21"/>
              </w:rPr>
              <w:t>允许联合体投标，</w:t>
            </w:r>
            <w:r>
              <w:rPr>
                <w:rFonts w:hint="eastAsia" w:ascii="宋体" w:hAnsi="宋体" w:eastAsia="宋体"/>
                <w:szCs w:val="21"/>
              </w:rPr>
              <w:t>联合协议中约定，小型、微型企业的协议合同金额占到联合体协议合同总金额30%以上的，给予联合体</w:t>
            </w:r>
            <w:r>
              <w:rPr>
                <w:rFonts w:hint="eastAsia" w:ascii="宋体" w:hAnsi="宋体" w:eastAsia="宋体"/>
                <w:szCs w:val="21"/>
                <w:u w:val="single"/>
              </w:rPr>
              <w:t xml:space="preserve"> / </w:t>
            </w:r>
            <w:r>
              <w:rPr>
                <w:rFonts w:hint="eastAsia" w:ascii="宋体" w:hAnsi="宋体" w:eastAsia="宋体"/>
                <w:szCs w:val="21"/>
              </w:rPr>
              <w:t>%（2%-3%）的价格扣除。</w:t>
            </w:r>
          </w:p>
        </w:tc>
      </w:tr>
      <w:tr w14:paraId="5C8802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1" w:hRule="atLeast"/>
        </w:trPr>
        <w:tc>
          <w:tcPr>
            <w:tcW w:w="1533" w:type="dxa"/>
            <w:vMerge w:val="restart"/>
            <w:tcBorders>
              <w:top w:val="single" w:color="auto" w:sz="6" w:space="0"/>
              <w:bottom w:val="single" w:color="auto" w:sz="6" w:space="0"/>
              <w:right w:val="single" w:color="auto" w:sz="6" w:space="0"/>
            </w:tcBorders>
            <w:noWrap w:val="0"/>
            <w:vAlign w:val="center"/>
          </w:tcPr>
          <w:p w14:paraId="59C02E8D">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r>
              <w:rPr>
                <w:rFonts w:hint="eastAsia" w:ascii="宋体" w:hAnsi="宋体"/>
                <w:szCs w:val="21"/>
              </w:rPr>
              <w:t>第5.4（2）</w:t>
            </w:r>
            <w:r>
              <w:rPr>
                <w:rFonts w:hint="eastAsia" w:ascii="宋体" w:hAnsi="宋体" w:cs="宋体"/>
                <w:kern w:val="0"/>
                <w:szCs w:val="21"/>
                <w:lang w:val="zh-CN"/>
              </w:rPr>
              <w:t>项</w:t>
            </w:r>
          </w:p>
        </w:tc>
        <w:tc>
          <w:tcPr>
            <w:tcW w:w="795" w:type="dxa"/>
            <w:vMerge w:val="restart"/>
            <w:tcBorders>
              <w:top w:val="single" w:color="auto" w:sz="6" w:space="0"/>
              <w:left w:val="single" w:color="auto" w:sz="6" w:space="0"/>
              <w:bottom w:val="single" w:color="auto" w:sz="6" w:space="0"/>
              <w:right w:val="single" w:color="auto" w:sz="6" w:space="0"/>
            </w:tcBorders>
            <w:noWrap w:val="0"/>
            <w:vAlign w:val="center"/>
          </w:tcPr>
          <w:p w14:paraId="6206B042">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r>
              <w:rPr>
                <w:rFonts w:hint="eastAsia" w:ascii="宋体" w:hAnsi="宋体"/>
                <w:szCs w:val="21"/>
              </w:rPr>
              <w:t>优先采购</w:t>
            </w:r>
          </w:p>
        </w:tc>
        <w:tc>
          <w:tcPr>
            <w:tcW w:w="1559" w:type="dxa"/>
            <w:vMerge w:val="restart"/>
            <w:tcBorders>
              <w:top w:val="single" w:color="auto" w:sz="6" w:space="0"/>
              <w:left w:val="single" w:color="auto" w:sz="6" w:space="0"/>
              <w:right w:val="single" w:color="auto" w:sz="6" w:space="0"/>
            </w:tcBorders>
            <w:noWrap w:val="0"/>
            <w:vAlign w:val="center"/>
          </w:tcPr>
          <w:p w14:paraId="75EFABB5">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r>
              <w:rPr>
                <w:rFonts w:hint="eastAsia" w:ascii="宋体" w:hAnsi="宋体"/>
                <w:szCs w:val="21"/>
              </w:rPr>
              <w:t>节能产品或环境标志产品或两型产品</w:t>
            </w:r>
          </w:p>
        </w:tc>
        <w:tc>
          <w:tcPr>
            <w:tcW w:w="4902" w:type="dxa"/>
            <w:tcBorders>
              <w:top w:val="single" w:color="auto" w:sz="6" w:space="0"/>
              <w:left w:val="single" w:color="auto" w:sz="6" w:space="0"/>
              <w:bottom w:val="single" w:color="auto" w:sz="6" w:space="0"/>
            </w:tcBorders>
            <w:noWrap w:val="0"/>
            <w:vAlign w:val="center"/>
          </w:tcPr>
          <w:p w14:paraId="595E5A21">
            <w:pPr>
              <w:keepNext w:val="0"/>
              <w:keepLines w:val="0"/>
              <w:pageBreakBefore w:val="0"/>
              <w:widowControl w:val="0"/>
              <w:kinsoku/>
              <w:wordWrap/>
              <w:overflowPunct/>
              <w:topLinePunct w:val="0"/>
              <w:autoSpaceDE/>
              <w:autoSpaceDN/>
              <w:bidi w:val="0"/>
              <w:spacing w:line="240" w:lineRule="auto"/>
              <w:rPr>
                <w:rFonts w:hint="eastAsia" w:ascii="宋体" w:hAnsi="宋体" w:eastAsia="宋体"/>
                <w:color w:val="auto"/>
                <w:lang w:eastAsia="zh-CN"/>
              </w:rPr>
            </w:pPr>
            <w:r>
              <w:rPr>
                <w:rFonts w:hint="eastAsia" w:ascii="宋体" w:hAnsi="宋体"/>
                <w:color w:val="auto"/>
                <w:lang w:val="en-US" w:eastAsia="zh-CN"/>
              </w:rPr>
              <w:t>/</w:t>
            </w:r>
          </w:p>
        </w:tc>
      </w:tr>
      <w:tr w14:paraId="704B7B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533" w:type="dxa"/>
            <w:vMerge w:val="continue"/>
            <w:tcBorders>
              <w:top w:val="single" w:color="auto" w:sz="6" w:space="0"/>
              <w:bottom w:val="single" w:color="auto" w:sz="6" w:space="0"/>
              <w:right w:val="single" w:color="auto" w:sz="6" w:space="0"/>
            </w:tcBorders>
            <w:noWrap w:val="0"/>
            <w:vAlign w:val="center"/>
          </w:tcPr>
          <w:p w14:paraId="3C94B65E">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p>
        </w:tc>
        <w:tc>
          <w:tcPr>
            <w:tcW w:w="795" w:type="dxa"/>
            <w:vMerge w:val="continue"/>
            <w:tcBorders>
              <w:top w:val="single" w:color="auto" w:sz="6" w:space="0"/>
              <w:left w:val="single" w:color="auto" w:sz="6" w:space="0"/>
              <w:bottom w:val="single" w:color="auto" w:sz="6" w:space="0"/>
              <w:right w:val="single" w:color="auto" w:sz="6" w:space="0"/>
            </w:tcBorders>
            <w:noWrap w:val="0"/>
            <w:vAlign w:val="center"/>
          </w:tcPr>
          <w:p w14:paraId="40148812">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p>
        </w:tc>
        <w:tc>
          <w:tcPr>
            <w:tcW w:w="1559" w:type="dxa"/>
            <w:vMerge w:val="continue"/>
            <w:tcBorders>
              <w:left w:val="single" w:color="auto" w:sz="6" w:space="0"/>
              <w:bottom w:val="single" w:color="auto" w:sz="6" w:space="0"/>
              <w:right w:val="single" w:color="auto" w:sz="6" w:space="0"/>
            </w:tcBorders>
            <w:noWrap w:val="0"/>
            <w:vAlign w:val="center"/>
          </w:tcPr>
          <w:p w14:paraId="70BC69DF">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p>
        </w:tc>
        <w:tc>
          <w:tcPr>
            <w:tcW w:w="4902" w:type="dxa"/>
            <w:tcBorders>
              <w:top w:val="single" w:color="auto" w:sz="6" w:space="0"/>
              <w:left w:val="single" w:color="auto" w:sz="6" w:space="0"/>
              <w:bottom w:val="single" w:color="auto" w:sz="6" w:space="0"/>
              <w:right w:val="double" w:color="auto" w:sz="4" w:space="0"/>
            </w:tcBorders>
            <w:noWrap w:val="0"/>
            <w:vAlign w:val="center"/>
          </w:tcPr>
          <w:p w14:paraId="6CB30BD1">
            <w:pPr>
              <w:keepNext w:val="0"/>
              <w:keepLines w:val="0"/>
              <w:pageBreakBefore w:val="0"/>
              <w:widowControl w:val="0"/>
              <w:kinsoku/>
              <w:wordWrap/>
              <w:overflowPunct/>
              <w:topLinePunct w:val="0"/>
              <w:autoSpaceDE/>
              <w:autoSpaceDN/>
              <w:bidi w:val="0"/>
              <w:spacing w:line="240" w:lineRule="auto"/>
              <w:rPr>
                <w:rFonts w:hint="eastAsia" w:ascii="宋体" w:hAnsi="宋体" w:eastAsia="宋体"/>
                <w:color w:val="auto"/>
                <w:lang w:eastAsia="zh-CN"/>
              </w:rPr>
            </w:pPr>
            <w:r>
              <w:rPr>
                <w:rFonts w:hint="eastAsia" w:ascii="宋体" w:hAnsi="宋体"/>
                <w:color w:val="auto"/>
                <w:lang w:val="en-US" w:eastAsia="zh-CN"/>
              </w:rPr>
              <w:t>/</w:t>
            </w:r>
          </w:p>
        </w:tc>
      </w:tr>
      <w:tr w14:paraId="39928F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7" w:hRule="atLeast"/>
        </w:trPr>
        <w:tc>
          <w:tcPr>
            <w:tcW w:w="1533" w:type="dxa"/>
            <w:tcBorders>
              <w:top w:val="single" w:color="auto" w:sz="6" w:space="0"/>
              <w:bottom w:val="double" w:color="auto" w:sz="4" w:space="0"/>
            </w:tcBorders>
            <w:noWrap w:val="0"/>
            <w:vAlign w:val="center"/>
          </w:tcPr>
          <w:p w14:paraId="367FEB33">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r>
              <w:rPr>
                <w:rFonts w:hint="eastAsia" w:ascii="宋体" w:hAnsi="宋体"/>
                <w:szCs w:val="21"/>
              </w:rPr>
              <w:t>第6.2</w:t>
            </w:r>
            <w:r>
              <w:rPr>
                <w:rFonts w:hint="eastAsia" w:ascii="宋体" w:hAnsi="宋体" w:cs="宋体"/>
                <w:kern w:val="0"/>
                <w:szCs w:val="21"/>
                <w:lang w:val="zh-CN"/>
              </w:rPr>
              <w:t>款</w:t>
            </w:r>
          </w:p>
        </w:tc>
        <w:tc>
          <w:tcPr>
            <w:tcW w:w="2354" w:type="dxa"/>
            <w:gridSpan w:val="2"/>
            <w:tcBorders>
              <w:top w:val="single" w:color="auto" w:sz="6" w:space="0"/>
              <w:bottom w:val="double" w:color="auto" w:sz="4" w:space="0"/>
              <w:right w:val="single" w:color="auto" w:sz="6" w:space="0"/>
            </w:tcBorders>
            <w:noWrap w:val="0"/>
            <w:vAlign w:val="center"/>
          </w:tcPr>
          <w:p w14:paraId="78C3CEAF">
            <w:pPr>
              <w:keepNext w:val="0"/>
              <w:keepLines w:val="0"/>
              <w:pageBreakBefore w:val="0"/>
              <w:widowControl w:val="0"/>
              <w:kinsoku/>
              <w:wordWrap/>
              <w:overflowPunct/>
              <w:topLinePunct w:val="0"/>
              <w:autoSpaceDE/>
              <w:autoSpaceDN/>
              <w:bidi w:val="0"/>
              <w:adjustRightInd w:val="0"/>
              <w:snapToGrid w:val="0"/>
              <w:spacing w:line="240" w:lineRule="auto"/>
              <w:jc w:val="center"/>
              <w:rPr>
                <w:rFonts w:ascii="宋体" w:hAnsi="宋体"/>
                <w:szCs w:val="21"/>
              </w:rPr>
            </w:pPr>
            <w:r>
              <w:rPr>
                <w:rFonts w:hint="eastAsia" w:ascii="宋体" w:hAnsi="宋体"/>
                <w:szCs w:val="21"/>
              </w:rPr>
              <w:t>中标候选人并列的确定中标人的方式</w:t>
            </w:r>
          </w:p>
        </w:tc>
        <w:tc>
          <w:tcPr>
            <w:tcW w:w="4902" w:type="dxa"/>
            <w:tcBorders>
              <w:top w:val="single" w:color="auto" w:sz="6" w:space="0"/>
              <w:left w:val="single" w:color="auto" w:sz="6" w:space="0"/>
              <w:bottom w:val="double" w:color="auto" w:sz="4" w:space="0"/>
              <w:right w:val="double" w:color="auto" w:sz="4" w:space="0"/>
            </w:tcBorders>
            <w:noWrap w:val="0"/>
            <w:vAlign w:val="center"/>
          </w:tcPr>
          <w:p w14:paraId="4E9CF8CF">
            <w:pPr>
              <w:keepNext w:val="0"/>
              <w:keepLines w:val="0"/>
              <w:pageBreakBefore w:val="0"/>
              <w:widowControl w:val="0"/>
              <w:kinsoku/>
              <w:wordWrap/>
              <w:overflowPunct/>
              <w:topLinePunct w:val="0"/>
              <w:autoSpaceDE/>
              <w:autoSpaceDN/>
              <w:bidi w:val="0"/>
              <w:adjustRightInd w:val="0"/>
              <w:snapToGrid w:val="0"/>
              <w:spacing w:line="240" w:lineRule="auto"/>
              <w:rPr>
                <w:rFonts w:hint="eastAsia" w:ascii="宋体" w:hAnsi="宋体"/>
                <w:color w:val="000000"/>
              </w:rPr>
            </w:pPr>
            <w:r>
              <w:rPr>
                <w:rFonts w:hint="eastAsia" w:ascii="宋体" w:hAnsi="宋体"/>
                <w:color w:val="000000"/>
              </w:rPr>
              <w:t>完全满足采购文件实质性需求且综合得分最高的单位为中标单位，得分相同的，按投标报价由低到高顺序排列；得分且投标报价相同的，按技术指标优劣顺序排列。</w:t>
            </w:r>
            <w:r>
              <w:rPr>
                <w:rFonts w:hint="eastAsia" w:ascii="宋体" w:hAnsi="宋体"/>
                <w:bCs/>
              </w:rPr>
              <w:t>若总分相同、报价相同且技术也相同时则按抽签决定排名顺序。</w:t>
            </w:r>
          </w:p>
        </w:tc>
      </w:tr>
    </w:tbl>
    <w:p w14:paraId="45C75FCC">
      <w:pPr>
        <w:adjustRightInd w:val="0"/>
        <w:snapToGrid w:val="0"/>
        <w:spacing w:beforeLines="50" w:line="360" w:lineRule="auto"/>
        <w:ind w:firstLine="2880" w:firstLineChars="1200"/>
        <w:jc w:val="left"/>
        <w:rPr>
          <w:rFonts w:ascii="黑体" w:hAnsi="华文中宋" w:eastAsia="黑体"/>
          <w:b/>
          <w:bCs/>
          <w:sz w:val="28"/>
          <w:szCs w:val="28"/>
        </w:rPr>
      </w:pPr>
      <w:r>
        <w:rPr>
          <w:rFonts w:ascii="宋体" w:hAnsi="宋体"/>
          <w:color w:val="000000"/>
        </w:rPr>
        <w:br w:type="page"/>
      </w:r>
      <w:bookmarkStart w:id="65" w:name="_Toc20651215"/>
      <w:r>
        <w:rPr>
          <w:rFonts w:hint="eastAsia" w:ascii="黑体" w:hAnsi="华文中宋" w:eastAsia="黑体"/>
          <w:b/>
          <w:bCs/>
          <w:sz w:val="28"/>
          <w:szCs w:val="28"/>
        </w:rPr>
        <w:t>第二节 评标方法及标准</w:t>
      </w:r>
      <w:bookmarkEnd w:id="65"/>
    </w:p>
    <w:p w14:paraId="417BC829">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ascii="黑体" w:hAnsi="黑体" w:eastAsia="黑体"/>
          <w:b/>
          <w:bCs/>
          <w:sz w:val="24"/>
        </w:rPr>
      </w:pPr>
      <w:bookmarkStart w:id="66" w:name="_Toc6583"/>
      <w:bookmarkStart w:id="67" w:name="_Toc20651216"/>
      <w:r>
        <w:rPr>
          <w:rFonts w:hint="eastAsia" w:ascii="黑体" w:hAnsi="黑体" w:eastAsia="黑体"/>
          <w:b/>
          <w:bCs/>
          <w:sz w:val="24"/>
        </w:rPr>
        <w:t>1．评标方法</w:t>
      </w:r>
      <w:bookmarkEnd w:id="66"/>
      <w:bookmarkEnd w:id="67"/>
    </w:p>
    <w:p w14:paraId="108BC34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1.1综合评分法，指投标文件满足招标文件全部实质性要求，且按照评审因素的量化指标评审得分最高的投标人为中标候选人的评标方法。</w:t>
      </w:r>
    </w:p>
    <w:p w14:paraId="35CB2044">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bCs/>
          <w:szCs w:val="21"/>
        </w:rPr>
        <w:t>1.2最低评标价，是指投标文件满足招标文件全部实质性要求，且投标报价最低的投标人为中标候选人的评标方法。</w:t>
      </w:r>
    </w:p>
    <w:p w14:paraId="49DAC2F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bCs/>
          <w:szCs w:val="21"/>
        </w:rPr>
        <w:t>1.3本采购项目评标方法见本章第一节“评标规范前附表”</w:t>
      </w:r>
      <w:r>
        <w:rPr>
          <w:rFonts w:hint="eastAsia" w:ascii="华文中宋" w:hAnsi="华文中宋" w:eastAsia="华文中宋"/>
          <w:bCs/>
          <w:szCs w:val="21"/>
        </w:rPr>
        <w:t>（</w:t>
      </w:r>
      <w:r>
        <w:rPr>
          <w:rFonts w:hint="eastAsia" w:ascii="宋体" w:hAnsi="宋体"/>
          <w:bCs/>
          <w:szCs w:val="21"/>
        </w:rPr>
        <w:t>以下简称</w:t>
      </w:r>
      <w:r>
        <w:rPr>
          <w:rFonts w:hint="eastAsia" w:ascii="宋体" w:hAnsi="宋体"/>
          <w:b/>
          <w:szCs w:val="21"/>
        </w:rPr>
        <w:t>【评标方法及标准前附表】）</w:t>
      </w:r>
      <w:r>
        <w:rPr>
          <w:rFonts w:hint="eastAsia" w:ascii="宋体" w:hAnsi="宋体"/>
          <w:szCs w:val="21"/>
        </w:rPr>
        <w:t>。</w:t>
      </w:r>
    </w:p>
    <w:p w14:paraId="29BA82CC">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ascii="黑体" w:hAnsi="黑体" w:eastAsia="黑体"/>
          <w:b/>
          <w:sz w:val="24"/>
        </w:rPr>
      </w:pPr>
      <w:bookmarkStart w:id="68" w:name="_Toc20651217"/>
      <w:bookmarkStart w:id="69" w:name="_Toc24384"/>
      <w:r>
        <w:rPr>
          <w:rFonts w:hint="eastAsia" w:ascii="黑体" w:hAnsi="黑体" w:eastAsia="黑体"/>
          <w:b/>
          <w:sz w:val="24"/>
        </w:rPr>
        <w:t>2．评标程序</w:t>
      </w:r>
      <w:bookmarkEnd w:id="68"/>
      <w:bookmarkEnd w:id="69"/>
    </w:p>
    <w:p w14:paraId="7F9A0AD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bCs/>
          <w:szCs w:val="21"/>
        </w:rPr>
        <w:t>2.1评标程序分为投标文件符合性审查、澄清有关问题、比较和评价、推荐中标候选人。</w:t>
      </w:r>
    </w:p>
    <w:p w14:paraId="17FDEE78">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ascii="黑体" w:hAnsi="黑体" w:eastAsia="黑体"/>
          <w:b/>
          <w:sz w:val="24"/>
        </w:rPr>
      </w:pPr>
      <w:bookmarkStart w:id="70" w:name="_Toc30425"/>
      <w:bookmarkStart w:id="71" w:name="_Toc20651218"/>
      <w:r>
        <w:rPr>
          <w:rFonts w:hint="eastAsia" w:ascii="黑体" w:hAnsi="黑体" w:eastAsia="黑体"/>
          <w:b/>
          <w:sz w:val="24"/>
        </w:rPr>
        <w:t>3．投标文件的符合性审查</w:t>
      </w:r>
      <w:bookmarkEnd w:id="70"/>
      <w:bookmarkEnd w:id="71"/>
    </w:p>
    <w:p w14:paraId="54A6963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3.1资格审查结束后，评标委员会依法按照本章第三节“投标文件的符合性审查”规定进行投标文件符合性。</w:t>
      </w:r>
    </w:p>
    <w:p w14:paraId="3ABCEE6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3.2符合性审查合格投标人少于3家的，应予废标。</w:t>
      </w:r>
    </w:p>
    <w:p w14:paraId="1424D76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3.3单一产品采购项目：提供相同品牌产品的不同投标人参加同一合同项下投标的，按一家投标人计算。提供不同品牌产品的投标人不足三家的，应予废标。</w:t>
      </w:r>
    </w:p>
    <w:p w14:paraId="0EE3D61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3.4非单一产品采购项目：采购人或者采购代理机构将在</w:t>
      </w:r>
      <w:r>
        <w:rPr>
          <w:rFonts w:hint="eastAsia" w:ascii="宋体" w:hAnsi="宋体"/>
          <w:b/>
          <w:szCs w:val="21"/>
        </w:rPr>
        <w:t>【评标方法及标准前附表】</w:t>
      </w:r>
      <w:r>
        <w:rPr>
          <w:rFonts w:hint="eastAsia" w:ascii="宋体" w:hAnsi="宋体"/>
          <w:szCs w:val="21"/>
        </w:rPr>
        <w:t>中载明核心产品。多家投标人提供的核心产品品牌相同的，视为相同品牌，按本章本节第3.3款规定处理。</w:t>
      </w:r>
    </w:p>
    <w:p w14:paraId="32043A6A">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ascii="黑体" w:hAnsi="黑体" w:eastAsia="黑体"/>
          <w:b/>
          <w:sz w:val="24"/>
        </w:rPr>
      </w:pPr>
      <w:bookmarkStart w:id="72" w:name="_Toc30364"/>
      <w:bookmarkStart w:id="73" w:name="_Toc20651219"/>
      <w:r>
        <w:rPr>
          <w:rFonts w:hint="eastAsia" w:ascii="黑体" w:hAnsi="黑体" w:eastAsia="黑体"/>
          <w:b/>
          <w:sz w:val="24"/>
        </w:rPr>
        <w:t>4．投标文件的澄清</w:t>
      </w:r>
      <w:bookmarkEnd w:id="72"/>
      <w:bookmarkEnd w:id="73"/>
    </w:p>
    <w:p w14:paraId="3380BB4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4.1对于投标文件中含义不明确、同类问题表述不一致或者有明显文字和计算错误的内容，评标委员会应当以书面形式要求投标人作出必要的澄清、说明或者补正。</w:t>
      </w:r>
    </w:p>
    <w:p w14:paraId="27FD401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4.2投标文件的投标报价出现前后不一致的，除</w:t>
      </w:r>
      <w:r>
        <w:rPr>
          <w:rFonts w:hint="eastAsia" w:ascii="宋体" w:hAnsi="宋体"/>
          <w:b/>
          <w:szCs w:val="21"/>
        </w:rPr>
        <w:t>【评标方法及标准前附表】</w:t>
      </w:r>
      <w:r>
        <w:rPr>
          <w:rFonts w:hint="eastAsia" w:ascii="宋体" w:hAnsi="宋体"/>
          <w:szCs w:val="21"/>
        </w:rPr>
        <w:t>另有规定外，按照下列规定修正：</w:t>
      </w:r>
    </w:p>
    <w:p w14:paraId="543707F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（1）投标文件中开标一览表内容与投标文件中相应内容不一致的，以开标一览表为准；</w:t>
      </w:r>
    </w:p>
    <w:p w14:paraId="64A1D04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（2）大写金额和小写金额不一致的，以大写金额为准；</w:t>
      </w:r>
    </w:p>
    <w:p w14:paraId="67D9FD9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（3）单价金额小数点或者百分比有明显错位的，以开标一览表的总价为准，并修改单价；</w:t>
      </w:r>
    </w:p>
    <w:p w14:paraId="234FA6E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 xml:space="preserve">（4）总价金额与按单价汇总金额不一致的，以单价金额计算结果为准。  </w:t>
      </w:r>
    </w:p>
    <w:p w14:paraId="6270654F">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4.3投标文件报价同时出现两种以上不一致的，按照前款规定的顺序修正。修正后的报价由投标人代表签字或者加盖单位章确认后产生约束力，投标人不确认的，其投标无效。</w:t>
      </w:r>
    </w:p>
    <w:p w14:paraId="3321485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4.4投标人的澄清、说明或者补正应当采用书面形式，并加盖公章，或者由法定代表人或其授权的代表签字，并按评标委员会的通知要求递交。投标人的澄清、说明或者补正不得超出投标文件的范围或者改变投标文件的实质性内容。</w:t>
      </w:r>
    </w:p>
    <w:p w14:paraId="6D1920D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4.5有效的书面澄清材料，是投标文件的补充材料，成为投标文件的组成部分。</w:t>
      </w:r>
    </w:p>
    <w:p w14:paraId="1B85598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4.6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投标无效处理。</w:t>
      </w:r>
    </w:p>
    <w:p w14:paraId="3BB4EBEA">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ascii="黑体" w:hAnsi="黑体" w:eastAsia="黑体"/>
          <w:b/>
          <w:sz w:val="24"/>
        </w:rPr>
      </w:pPr>
      <w:bookmarkStart w:id="74" w:name="_Toc26139"/>
      <w:bookmarkStart w:id="75" w:name="_Toc20651220"/>
      <w:r>
        <w:rPr>
          <w:rFonts w:hint="eastAsia" w:ascii="黑体" w:hAnsi="黑体" w:eastAsia="黑体"/>
          <w:b/>
          <w:sz w:val="24"/>
        </w:rPr>
        <w:t>5．投标文件的比较与评价</w:t>
      </w:r>
      <w:bookmarkEnd w:id="74"/>
      <w:bookmarkEnd w:id="75"/>
    </w:p>
    <w:p w14:paraId="6E13EED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bCs/>
          <w:szCs w:val="21"/>
        </w:rPr>
        <w:t>5.1评标委员会依法按照本章第三节“投标文件的比较与评价”规定，对资格性检查和符合性检查合格的投标文件进行比较和评价。</w:t>
      </w:r>
    </w:p>
    <w:p w14:paraId="2F40EC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bCs/>
          <w:szCs w:val="21"/>
        </w:rPr>
        <w:t>5.2单一产品采购项目：</w:t>
      </w:r>
    </w:p>
    <w:p w14:paraId="511B698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szCs w:val="21"/>
        </w:rPr>
        <w:t>（1）最低评标价法：</w:t>
      </w:r>
      <w:r>
        <w:rPr>
          <w:rFonts w:hint="eastAsia" w:ascii="宋体" w:hAnsi="宋体"/>
          <w:bCs/>
          <w:szCs w:val="21"/>
        </w:rPr>
        <w:t>提供相同品牌产品的不同投标人参加同一合同项下投标的，以其中通过资格审查、符合性审查且报价最低的参加评标，其他投标无效；报价相同的，按照</w:t>
      </w:r>
      <w:r>
        <w:rPr>
          <w:rFonts w:hint="eastAsia" w:ascii="宋体" w:hAnsi="宋体"/>
          <w:b/>
          <w:bCs/>
          <w:szCs w:val="21"/>
        </w:rPr>
        <w:t>【评标方法及标准前附表】</w:t>
      </w:r>
      <w:r>
        <w:rPr>
          <w:rFonts w:hint="eastAsia" w:ascii="宋体" w:hAnsi="宋体"/>
          <w:bCs/>
          <w:szCs w:val="21"/>
        </w:rPr>
        <w:t>规定的方式确定一个参加评标的投标人，招标文件未规定的采取随机抽取方式确定，其他</w:t>
      </w:r>
      <w:r>
        <w:rPr>
          <w:rFonts w:hint="eastAsia" w:ascii="宋体" w:hAnsi="宋体"/>
          <w:b/>
          <w:bCs/>
          <w:szCs w:val="21"/>
        </w:rPr>
        <w:t>投标无效</w:t>
      </w:r>
      <w:r>
        <w:rPr>
          <w:rFonts w:hint="eastAsia" w:ascii="宋体" w:hAnsi="宋体"/>
          <w:bCs/>
          <w:szCs w:val="21"/>
        </w:rPr>
        <w:t>。</w:t>
      </w:r>
    </w:p>
    <w:p w14:paraId="11A8E29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（2）综合评分法：提供相同品牌产品且通过资格审查、符合性审查的不同投标人参加同一合同项下投标的，评审后得分最高的同品牌投标人获得中标人推荐资格；评审得分相同的，按照</w:t>
      </w:r>
      <w:r>
        <w:rPr>
          <w:rFonts w:hint="eastAsia" w:ascii="宋体" w:hAnsi="宋体"/>
          <w:b/>
          <w:szCs w:val="21"/>
        </w:rPr>
        <w:t>【评标方法及标准前附表】</w:t>
      </w:r>
      <w:r>
        <w:rPr>
          <w:rFonts w:hint="eastAsia" w:ascii="宋体" w:hAnsi="宋体"/>
          <w:szCs w:val="21"/>
        </w:rPr>
        <w:t>规定的方式确定一个投标人获得中标人推荐资格，招标文件未规定的采取随机抽取方式确定，其他同品牌投标人</w:t>
      </w:r>
      <w:r>
        <w:rPr>
          <w:rFonts w:hint="eastAsia" w:ascii="宋体" w:hAnsi="宋体"/>
          <w:b/>
          <w:szCs w:val="21"/>
        </w:rPr>
        <w:t>不作为中标候选人</w:t>
      </w:r>
      <w:r>
        <w:rPr>
          <w:rFonts w:hint="eastAsia" w:ascii="宋体" w:hAnsi="宋体"/>
          <w:szCs w:val="21"/>
        </w:rPr>
        <w:t>。</w:t>
      </w:r>
    </w:p>
    <w:p w14:paraId="42768E4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bCs/>
          <w:szCs w:val="21"/>
        </w:rPr>
        <w:t>5.3非单一产品采购项目：多家投标人提供的核心产品品牌相同的，视为相同品牌，按本章本节第 5.2 款规定处理。</w:t>
      </w:r>
    </w:p>
    <w:p w14:paraId="7D59D5B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bCs/>
          <w:szCs w:val="21"/>
        </w:rPr>
        <w:t>5.</w:t>
      </w:r>
      <w:r>
        <w:rPr>
          <w:rFonts w:hint="eastAsia" w:ascii="宋体" w:hAnsi="宋体"/>
          <w:bCs/>
          <w:szCs w:val="21"/>
          <w:lang w:val="en-US" w:eastAsia="zh-CN"/>
        </w:rPr>
        <w:t>4</w:t>
      </w:r>
      <w:r>
        <w:rPr>
          <w:rFonts w:hint="eastAsia" w:ascii="宋体" w:hAnsi="宋体"/>
          <w:bCs/>
          <w:szCs w:val="21"/>
        </w:rPr>
        <w:t>政府采购政策：</w:t>
      </w:r>
    </w:p>
    <w:p w14:paraId="31506433">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szCs w:val="21"/>
        </w:rPr>
        <w:t>（1）</w:t>
      </w:r>
      <w:r>
        <w:rPr>
          <w:rFonts w:hint="eastAsia" w:ascii="宋体" w:hAnsi="宋体"/>
          <w:bCs/>
          <w:szCs w:val="21"/>
        </w:rPr>
        <w:t>价格评审优惠：</w:t>
      </w:r>
      <w:r>
        <w:rPr>
          <w:rFonts w:hint="eastAsia" w:ascii="宋体" w:hAnsi="宋体"/>
          <w:szCs w:val="21"/>
        </w:rPr>
        <w:t>按</w:t>
      </w:r>
      <w:r>
        <w:rPr>
          <w:rFonts w:hint="eastAsia" w:ascii="宋体" w:hAnsi="宋体"/>
          <w:b/>
          <w:szCs w:val="21"/>
        </w:rPr>
        <w:t>【评标方法及标准前附表】</w:t>
      </w:r>
      <w:r>
        <w:rPr>
          <w:rFonts w:hint="eastAsia" w:ascii="宋体" w:hAnsi="宋体"/>
          <w:szCs w:val="21"/>
        </w:rPr>
        <w:t>及第二章“投标须知”的相关规定给予一定的价格折扣。</w:t>
      </w:r>
    </w:p>
    <w:p w14:paraId="6D94527B">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szCs w:val="21"/>
        </w:rPr>
        <w:t>（2）优先采购：</w:t>
      </w:r>
      <w:r>
        <w:rPr>
          <w:rFonts w:hint="eastAsia" w:ascii="宋体" w:hAnsi="宋体"/>
          <w:bCs/>
          <w:szCs w:val="21"/>
        </w:rPr>
        <w:t>评审时按</w:t>
      </w:r>
      <w:r>
        <w:rPr>
          <w:rFonts w:hint="eastAsia" w:ascii="宋体" w:hAnsi="宋体"/>
          <w:b/>
          <w:szCs w:val="21"/>
        </w:rPr>
        <w:t>【评标方法及标准前附表】</w:t>
      </w:r>
      <w:r>
        <w:rPr>
          <w:rFonts w:hint="eastAsia" w:ascii="宋体" w:hAnsi="宋体"/>
          <w:bCs/>
          <w:szCs w:val="21"/>
        </w:rPr>
        <w:t>及第二章</w:t>
      </w:r>
      <w:r>
        <w:rPr>
          <w:rFonts w:hint="eastAsia" w:ascii="宋体" w:hAnsi="宋体"/>
          <w:szCs w:val="21"/>
        </w:rPr>
        <w:t>“投标须知”</w:t>
      </w:r>
      <w:r>
        <w:rPr>
          <w:rFonts w:hint="eastAsia" w:ascii="宋体" w:hAnsi="宋体"/>
          <w:bCs/>
          <w:szCs w:val="21"/>
        </w:rPr>
        <w:t>的相关规定给予价格折扣或者加分。</w:t>
      </w:r>
    </w:p>
    <w:p w14:paraId="684863FC">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ascii="黑体" w:hAnsi="黑体" w:eastAsia="黑体"/>
          <w:b/>
          <w:bCs/>
          <w:color w:val="FF0000"/>
          <w:sz w:val="24"/>
        </w:rPr>
      </w:pPr>
      <w:bookmarkStart w:id="76" w:name="_Toc20651221"/>
      <w:bookmarkStart w:id="77" w:name="_Toc17401"/>
      <w:r>
        <w:rPr>
          <w:rFonts w:hint="eastAsia" w:ascii="黑体" w:hAnsi="黑体" w:eastAsia="黑体"/>
          <w:b/>
          <w:sz w:val="24"/>
        </w:rPr>
        <w:t>6．</w:t>
      </w:r>
      <w:r>
        <w:rPr>
          <w:rFonts w:hint="eastAsia" w:ascii="黑体" w:hAnsi="黑体" w:eastAsia="黑体"/>
          <w:b/>
          <w:bCs/>
          <w:sz w:val="24"/>
        </w:rPr>
        <w:t>推荐中标候选人</w:t>
      </w:r>
      <w:bookmarkEnd w:id="76"/>
      <w:bookmarkEnd w:id="77"/>
    </w:p>
    <w:p w14:paraId="35BBEB0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szCs w:val="21"/>
        </w:rPr>
        <w:t>6.1最低评标价法：</w:t>
      </w:r>
      <w:r>
        <w:rPr>
          <w:rFonts w:hint="eastAsia" w:ascii="宋体" w:hAnsi="宋体"/>
          <w:bCs/>
          <w:szCs w:val="21"/>
        </w:rPr>
        <w:t>评标结果按算术修正和落实政府采购政策需进行的价格扣除后的投标报价由低到高顺序排列。报价相同的并列，按</w:t>
      </w:r>
      <w:r>
        <w:rPr>
          <w:rFonts w:hint="eastAsia" w:ascii="宋体" w:hAnsi="宋体"/>
          <w:b/>
          <w:szCs w:val="21"/>
        </w:rPr>
        <w:t>【评标方法及标准前附表】</w:t>
      </w:r>
      <w:r>
        <w:rPr>
          <w:rFonts w:hint="eastAsia" w:ascii="宋体" w:hAnsi="宋体"/>
          <w:szCs w:val="21"/>
        </w:rPr>
        <w:t>规定的方式确定中标人；</w:t>
      </w:r>
      <w:r>
        <w:rPr>
          <w:rFonts w:hint="eastAsia" w:ascii="宋体" w:hAnsi="宋体"/>
          <w:bCs/>
          <w:szCs w:val="21"/>
        </w:rPr>
        <w:t>招标文件未规定的，采取随机抽取的方式确定。</w:t>
      </w:r>
    </w:p>
    <w:p w14:paraId="425D3FB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bCs/>
          <w:szCs w:val="21"/>
        </w:rPr>
        <w:t>6.2综合评分法：评标结果按评审后得分由高到低顺序排列。得分相同的，按投标报价由低到高顺序排列。得分且投标报价相同的并列，按</w:t>
      </w:r>
      <w:r>
        <w:rPr>
          <w:rFonts w:hint="eastAsia" w:ascii="宋体" w:hAnsi="宋体"/>
          <w:b/>
          <w:bCs/>
          <w:szCs w:val="21"/>
        </w:rPr>
        <w:t>【评标方法及标准前附表】</w:t>
      </w:r>
      <w:r>
        <w:rPr>
          <w:rFonts w:hint="eastAsia" w:ascii="宋体" w:hAnsi="宋体"/>
          <w:bCs/>
          <w:szCs w:val="21"/>
        </w:rPr>
        <w:t>规定的方式确定中标人；招标文件未规定的，采取随机抽取的方式确定。</w:t>
      </w:r>
    </w:p>
    <w:p w14:paraId="65F3FCA0">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ascii="黑体" w:hAnsi="黑体" w:eastAsia="黑体"/>
          <w:b/>
          <w:bCs/>
          <w:sz w:val="24"/>
        </w:rPr>
      </w:pPr>
      <w:bookmarkStart w:id="78" w:name="_Toc20651222"/>
      <w:bookmarkStart w:id="79" w:name="_Toc31545"/>
      <w:r>
        <w:rPr>
          <w:rFonts w:hint="eastAsia" w:ascii="黑体" w:hAnsi="黑体" w:eastAsia="黑体"/>
          <w:b/>
          <w:sz w:val="24"/>
        </w:rPr>
        <w:t>7．</w:t>
      </w:r>
      <w:r>
        <w:rPr>
          <w:rFonts w:hint="eastAsia" w:ascii="黑体" w:hAnsi="黑体" w:eastAsia="黑体"/>
          <w:b/>
          <w:bCs/>
          <w:sz w:val="24"/>
        </w:rPr>
        <w:t>编写评标报告</w:t>
      </w:r>
      <w:bookmarkEnd w:id="78"/>
      <w:bookmarkEnd w:id="79"/>
    </w:p>
    <w:p w14:paraId="611B6EB5">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7.1评标</w:t>
      </w:r>
      <w:r>
        <w:rPr>
          <w:rFonts w:hint="eastAsia" w:ascii="宋体" w:hAnsi="宋体"/>
          <w:bCs/>
          <w:szCs w:val="21"/>
        </w:rPr>
        <w:t>委员会</w:t>
      </w:r>
      <w:r>
        <w:rPr>
          <w:rFonts w:hint="eastAsia" w:ascii="宋体" w:hAnsi="宋体"/>
          <w:szCs w:val="21"/>
        </w:rPr>
        <w:t>根据全体评标成员签字的原始评标记录和评标结果编写评标报告。</w:t>
      </w:r>
    </w:p>
    <w:p w14:paraId="247774B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szCs w:val="21"/>
        </w:rPr>
        <w:t>7.2</w:t>
      </w:r>
      <w:r>
        <w:rPr>
          <w:rFonts w:hint="eastAsia" w:ascii="宋体" w:hAnsi="宋体"/>
          <w:bCs/>
          <w:szCs w:val="21"/>
        </w:rPr>
        <w:t>评标委员会成员对需要共同认定的事项存在争议的，应当按照少数服从多数的原则作出结论。持不同意见的评标委员会成员应当在评标报告上签署不同意见及理由，否则视为同意评标报告。</w:t>
      </w:r>
    </w:p>
    <w:p w14:paraId="016B7005">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ascii="黑体" w:hAnsi="黑体" w:eastAsia="黑体"/>
          <w:b/>
          <w:sz w:val="24"/>
        </w:rPr>
      </w:pPr>
      <w:bookmarkStart w:id="80" w:name="_Toc8476"/>
      <w:bookmarkStart w:id="81" w:name="_Toc20651223"/>
      <w:r>
        <w:rPr>
          <w:rFonts w:hint="eastAsia" w:ascii="黑体" w:hAnsi="黑体" w:eastAsia="黑体"/>
          <w:b/>
          <w:sz w:val="24"/>
        </w:rPr>
        <w:t>8．</w:t>
      </w:r>
      <w:r>
        <w:rPr>
          <w:rFonts w:hint="eastAsia" w:ascii="黑体" w:hAnsi="黑体" w:eastAsia="黑体"/>
          <w:b/>
          <w:bCs/>
          <w:sz w:val="24"/>
        </w:rPr>
        <w:t>评标报告</w:t>
      </w:r>
      <w:r>
        <w:rPr>
          <w:rFonts w:hint="eastAsia" w:ascii="黑体" w:hAnsi="黑体" w:eastAsia="黑体"/>
          <w:b/>
          <w:sz w:val="24"/>
        </w:rPr>
        <w:t>复核</w:t>
      </w:r>
      <w:bookmarkEnd w:id="80"/>
      <w:bookmarkEnd w:id="81"/>
    </w:p>
    <w:p w14:paraId="2284454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bCs/>
          <w:szCs w:val="21"/>
        </w:rPr>
        <w:t>8.1汇总结束后，评标委员会应当进行复核，特别要对拟推荐为中标候选供应商的、报价最低的、投标文件被认定为无效的进行重点复核。</w:t>
      </w:r>
    </w:p>
    <w:p w14:paraId="48F40AC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Cs/>
          <w:szCs w:val="21"/>
        </w:rPr>
      </w:pPr>
      <w:r>
        <w:rPr>
          <w:rFonts w:hint="eastAsia" w:ascii="宋体" w:hAnsi="宋体"/>
          <w:bCs/>
          <w:szCs w:val="21"/>
        </w:rPr>
        <w:t>8.2汇总完成后，除下列情形外，任何人不得修改评标结果：</w:t>
      </w:r>
    </w:p>
    <w:p w14:paraId="65F68CC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s="宋体"/>
          <w:kern w:val="0"/>
          <w:szCs w:val="21"/>
        </w:rPr>
      </w:pPr>
      <w:r>
        <w:rPr>
          <w:rFonts w:hint="eastAsia" w:ascii="宋体" w:hAnsi="宋体" w:cs="宋体"/>
          <w:kern w:val="0"/>
          <w:szCs w:val="21"/>
        </w:rPr>
        <w:t>（1）分值汇总计算错误的；</w:t>
      </w:r>
    </w:p>
    <w:p w14:paraId="5118D32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s="宋体"/>
          <w:kern w:val="0"/>
          <w:szCs w:val="21"/>
        </w:rPr>
      </w:pPr>
      <w:r>
        <w:rPr>
          <w:rFonts w:hint="eastAsia" w:ascii="宋体" w:hAnsi="宋体" w:cs="宋体"/>
          <w:kern w:val="0"/>
          <w:szCs w:val="21"/>
        </w:rPr>
        <w:t>（2）分项评分超出评分标准范围的；</w:t>
      </w:r>
    </w:p>
    <w:p w14:paraId="44FDA0A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s="宋体"/>
          <w:kern w:val="0"/>
          <w:szCs w:val="21"/>
        </w:rPr>
      </w:pPr>
      <w:r>
        <w:rPr>
          <w:rFonts w:hint="eastAsia" w:ascii="宋体" w:hAnsi="宋体" w:cs="宋体"/>
          <w:kern w:val="0"/>
          <w:szCs w:val="21"/>
        </w:rPr>
        <w:t>（3）评标委员会成员对客观评审因素评分不一致的；</w:t>
      </w:r>
    </w:p>
    <w:p w14:paraId="332010D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s="宋体"/>
          <w:kern w:val="0"/>
          <w:szCs w:val="21"/>
        </w:rPr>
      </w:pPr>
      <w:r>
        <w:rPr>
          <w:rFonts w:hint="eastAsia" w:ascii="宋体" w:hAnsi="宋体" w:cs="宋体"/>
          <w:kern w:val="0"/>
          <w:szCs w:val="21"/>
        </w:rPr>
        <w:t>（4）经评标委员会认定评分畸高、畸低的。</w:t>
      </w:r>
    </w:p>
    <w:p w14:paraId="2353549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b/>
          <w:bCs/>
          <w:szCs w:val="21"/>
        </w:rPr>
      </w:pPr>
      <w:r>
        <w:rPr>
          <w:rFonts w:hint="eastAsia" w:ascii="宋体" w:hAnsi="宋体"/>
          <w:bCs/>
          <w:szCs w:val="21"/>
        </w:rPr>
        <w:t>8.3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14:paraId="525DAF10">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ascii="黑体" w:hAnsi="黑体" w:eastAsia="黑体"/>
          <w:b/>
          <w:sz w:val="24"/>
        </w:rPr>
      </w:pPr>
      <w:bookmarkStart w:id="82" w:name="_Toc20651224"/>
      <w:bookmarkStart w:id="83" w:name="_Toc20988"/>
      <w:r>
        <w:rPr>
          <w:rFonts w:hint="eastAsia" w:ascii="黑体" w:hAnsi="黑体" w:eastAsia="黑体"/>
          <w:b/>
          <w:bCs/>
          <w:sz w:val="24"/>
        </w:rPr>
        <w:t>9．</w:t>
      </w:r>
      <w:r>
        <w:rPr>
          <w:rFonts w:hint="eastAsia" w:ascii="黑体" w:hAnsi="黑体" w:eastAsia="黑体"/>
          <w:b/>
          <w:sz w:val="24"/>
        </w:rPr>
        <w:t>停止评标</w:t>
      </w:r>
      <w:bookmarkEnd w:id="82"/>
      <w:bookmarkEnd w:id="83"/>
    </w:p>
    <w:p w14:paraId="34B5DBB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cs="宋体"/>
          <w:kern w:val="0"/>
          <w:szCs w:val="21"/>
        </w:rPr>
      </w:pPr>
      <w:r>
        <w:rPr>
          <w:rFonts w:hint="eastAsia" w:ascii="宋体" w:hAnsi="宋体"/>
          <w:bCs/>
          <w:szCs w:val="21"/>
        </w:rPr>
        <w:t>9.1</w:t>
      </w:r>
      <w:r>
        <w:rPr>
          <w:rFonts w:hint="eastAsia" w:ascii="宋体" w:hAnsi="宋体" w:cs="宋体"/>
          <w:kern w:val="0"/>
          <w:szCs w:val="21"/>
        </w:rPr>
        <w:t>评标委员会发现招标文件存在歧义、重大缺陷导致评标工作无法进行，或者招标文件内容违反国家有关强制性规定的，应当停止评标工作，与采购人、采购代理机构沟通并作书面记录。采购人、采购代理机构确认后，应当修改招标文件，重新组织采购活动。</w:t>
      </w:r>
    </w:p>
    <w:p w14:paraId="67997566">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ascii="黑体" w:hAnsi="黑体" w:eastAsia="黑体" w:cs="宋体"/>
          <w:b/>
          <w:bCs/>
          <w:kern w:val="0"/>
          <w:sz w:val="24"/>
        </w:rPr>
      </w:pPr>
      <w:bookmarkStart w:id="84" w:name="_Toc1908"/>
      <w:r>
        <w:rPr>
          <w:rFonts w:hint="eastAsia" w:ascii="黑体" w:hAnsi="黑体" w:eastAsia="黑体" w:cs="宋体"/>
          <w:b/>
          <w:bCs/>
          <w:kern w:val="0"/>
          <w:sz w:val="24"/>
        </w:rPr>
        <w:t>10.废标</w:t>
      </w:r>
      <w:bookmarkEnd w:id="84"/>
    </w:p>
    <w:p w14:paraId="63323B9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10.1 根据有关法律法规和招标文件的有关规定，如出现下列情况之一的，应予以废标：</w:t>
      </w:r>
    </w:p>
    <w:p w14:paraId="74A6BF76">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（1）符合专业条件的投标人或者对招标文件作实质响应的投标人不足三家的；</w:t>
      </w:r>
    </w:p>
    <w:p w14:paraId="62E26C3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（2）出现影响采购公正的违法、违规行为的；</w:t>
      </w:r>
    </w:p>
    <w:p w14:paraId="14FB1009">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（3）投标人的报价均超过招标人项目采购预算，招标人不能支付的；</w:t>
      </w:r>
    </w:p>
    <w:p w14:paraId="0D23BD7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（4）因重大变故，采购任务取消的。</w:t>
      </w:r>
    </w:p>
    <w:p w14:paraId="16A56735">
      <w:pPr>
        <w:keepNext w:val="0"/>
        <w:keepLines w:val="0"/>
        <w:pageBreakBefore w:val="0"/>
        <w:widowControl w:val="0"/>
        <w:kinsoku/>
        <w:wordWrap/>
        <w:overflowPunct/>
        <w:topLinePunct w:val="0"/>
        <w:autoSpaceDE/>
        <w:autoSpaceDN/>
        <w:bidi w:val="0"/>
        <w:adjustRightInd w:val="0"/>
        <w:snapToGrid w:val="0"/>
        <w:spacing w:line="360" w:lineRule="auto"/>
        <w:textAlignment w:val="auto"/>
        <w:outlineLvl w:val="2"/>
        <w:rPr>
          <w:rFonts w:ascii="黑体" w:hAnsi="黑体" w:eastAsia="黑体"/>
          <w:b/>
          <w:sz w:val="24"/>
        </w:rPr>
      </w:pPr>
      <w:bookmarkStart w:id="85" w:name="_Toc16309"/>
      <w:bookmarkStart w:id="86" w:name="_Toc20651225"/>
      <w:r>
        <w:rPr>
          <w:rFonts w:hint="eastAsia" w:ascii="黑体" w:hAnsi="黑体" w:eastAsia="黑体" w:cs="宋体"/>
          <w:b/>
          <w:bCs/>
          <w:kern w:val="0"/>
          <w:sz w:val="24"/>
        </w:rPr>
        <w:t>11．重新组建评标委员会进行评标</w:t>
      </w:r>
      <w:bookmarkEnd w:id="85"/>
      <w:bookmarkEnd w:id="86"/>
    </w:p>
    <w:p w14:paraId="28A6E51C">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11.1评标委员会或者其成员存在下列情形导致评标结果无效的，采购人、采购代理机构可以重新组建评标委员会进行评标，并书面报告本级财政部门，但采购合同已经履行的除外：</w:t>
      </w:r>
    </w:p>
    <w:p w14:paraId="733DB75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（1）评标委员会组成不符合《政府采购货物和服务招标投标管理办法》规定的；</w:t>
      </w:r>
    </w:p>
    <w:p w14:paraId="007809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（2）有《政府采购货物和服务招标投标管理办法》第六十二条第一至五项情形的；</w:t>
      </w:r>
    </w:p>
    <w:p w14:paraId="4A0EAFC0">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（3）评标委员会及其成员独立评标受到非法干预的；</w:t>
      </w:r>
    </w:p>
    <w:p w14:paraId="72AA2B87">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（4）有政府采购法实施条例第七十五条规定的违法行为的。</w:t>
      </w:r>
    </w:p>
    <w:p w14:paraId="540A745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黑体" w:hAnsi="华文中宋" w:eastAsia="黑体"/>
          <w:b/>
          <w:sz w:val="32"/>
          <w:szCs w:val="32"/>
        </w:rPr>
      </w:pPr>
      <w:r>
        <w:rPr>
          <w:rFonts w:hint="eastAsia" w:ascii="宋体" w:hAnsi="宋体"/>
          <w:szCs w:val="21"/>
        </w:rPr>
        <w:t>11.2有违法违规行为的原评标委员会成员不得参加重新组建的评标委员会。</w:t>
      </w:r>
      <w:r>
        <w:rPr>
          <w:rFonts w:ascii="黑体" w:hAnsi="华文中宋" w:eastAsia="黑体"/>
          <w:b/>
          <w:sz w:val="32"/>
          <w:szCs w:val="32"/>
        </w:rPr>
        <w:br w:type="page"/>
      </w:r>
    </w:p>
    <w:p w14:paraId="4AA7E70C">
      <w:pPr>
        <w:keepNext/>
        <w:keepLines/>
        <w:pageBreakBefore w:val="0"/>
        <w:widowControl w:val="0"/>
        <w:kinsoku/>
        <w:wordWrap/>
        <w:overflowPunct/>
        <w:topLinePunct w:val="0"/>
        <w:autoSpaceDE/>
        <w:autoSpaceDN/>
        <w:bidi w:val="0"/>
        <w:adjustRightInd w:val="0"/>
        <w:snapToGrid w:val="0"/>
        <w:spacing w:line="360" w:lineRule="auto"/>
        <w:jc w:val="center"/>
        <w:textAlignment w:val="auto"/>
        <w:outlineLvl w:val="1"/>
        <w:rPr>
          <w:rFonts w:ascii="黑体" w:hAnsi="华文中宋" w:eastAsia="黑体"/>
          <w:b/>
          <w:bCs/>
          <w:sz w:val="28"/>
          <w:szCs w:val="28"/>
        </w:rPr>
      </w:pPr>
      <w:bookmarkStart w:id="87" w:name="_Toc14885"/>
      <w:bookmarkStart w:id="88" w:name="_Toc20651226"/>
      <w:r>
        <w:rPr>
          <w:rFonts w:hint="eastAsia" w:ascii="黑体" w:hAnsi="华文中宋" w:eastAsia="黑体"/>
          <w:b/>
          <w:bCs/>
          <w:sz w:val="28"/>
          <w:szCs w:val="28"/>
        </w:rPr>
        <w:t>第三节 投标文件的符合性审查</w:t>
      </w:r>
      <w:bookmarkEnd w:id="87"/>
      <w:bookmarkEnd w:id="88"/>
    </w:p>
    <w:p w14:paraId="5F73A095">
      <w:pPr>
        <w:pageBreakBefore w:val="0"/>
        <w:widowControl w:val="0"/>
        <w:kinsoku/>
        <w:wordWrap/>
        <w:overflowPunct/>
        <w:topLinePunct w:val="0"/>
        <w:autoSpaceDE/>
        <w:autoSpaceDN/>
        <w:bidi w:val="0"/>
        <w:adjustRightInd w:val="0"/>
        <w:snapToGrid w:val="0"/>
        <w:spacing w:line="360" w:lineRule="auto"/>
        <w:textAlignment w:val="auto"/>
        <w:rPr>
          <w:rFonts w:ascii="黑体" w:hAnsi="黑体" w:eastAsia="黑体"/>
          <w:b/>
          <w:sz w:val="24"/>
        </w:rPr>
      </w:pPr>
      <w:r>
        <w:rPr>
          <w:rFonts w:hint="eastAsia" w:ascii="黑体" w:hAnsi="黑体" w:eastAsia="黑体"/>
          <w:b/>
          <w:sz w:val="24"/>
        </w:rPr>
        <w:t>1.符合性审查</w:t>
      </w:r>
    </w:p>
    <w:p w14:paraId="23A675DB">
      <w:pPr>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rPr>
      </w:pPr>
      <w:r>
        <w:rPr>
          <w:rFonts w:hint="eastAsia" w:ascii="宋体" w:hAnsi="宋体"/>
        </w:rPr>
        <w:t>1.1</w:t>
      </w:r>
      <w:r>
        <w:rPr>
          <w:rFonts w:hint="eastAsia" w:ascii="宋体" w:hAnsi="宋体"/>
          <w:szCs w:val="21"/>
        </w:rPr>
        <w:t>评标委员会应按本章本节附表1“符合性审查表”所列审查项目及审查标准，</w:t>
      </w:r>
      <w:r>
        <w:rPr>
          <w:rFonts w:hint="eastAsia" w:ascii="宋体" w:hAnsi="宋体"/>
        </w:rPr>
        <w:t>对符合资格条件的投标人的投标文件进行符合性审查，以确定其是否满足招标文件的实质性要求。</w:t>
      </w:r>
    </w:p>
    <w:p w14:paraId="5E64249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依据招标文件的规定，从投标文件的有效性、完整性和对招标文件的响应程度进行审查，以确定是否对招标文件的实质性要求作出响应。评标委员会判断投标文件的响应性只根据投标文件的内容，而不依据外部的证据。</w:t>
      </w:r>
    </w:p>
    <w:p w14:paraId="24E1EFDF">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（2）投标人不得通过修正或撤销不合要求的偏离从而使其投标成为实质上响应的投标。</w:t>
      </w:r>
    </w:p>
    <w:p w14:paraId="2CC826C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rPr>
      </w:pPr>
      <w:r>
        <w:rPr>
          <w:rFonts w:hint="eastAsia" w:ascii="宋体" w:hAnsi="宋体"/>
          <w:kern w:val="0"/>
          <w:szCs w:val="21"/>
        </w:rPr>
        <w:t>1.2</w:t>
      </w:r>
      <w:r>
        <w:rPr>
          <w:rFonts w:hint="eastAsia" w:ascii="宋体" w:hAnsi="宋体"/>
        </w:rPr>
        <w:t>未通过符合性审查的投标人，其投标将被认定为投标无效，不能进入下一阶段评审。通过符合性审查的投标人数量不足 3 家的，不得作进一步的比较和评价。</w:t>
      </w:r>
    </w:p>
    <w:p w14:paraId="66D87859">
      <w:pPr>
        <w:pageBreakBefore w:val="0"/>
        <w:widowControl w:val="0"/>
        <w:kinsoku/>
        <w:wordWrap/>
        <w:overflowPunct/>
        <w:topLinePunct w:val="0"/>
        <w:autoSpaceDE/>
        <w:autoSpaceDN/>
        <w:bidi w:val="0"/>
        <w:adjustRightInd w:val="0"/>
        <w:snapToGrid w:val="0"/>
        <w:spacing w:line="360" w:lineRule="auto"/>
        <w:jc w:val="left"/>
        <w:textAlignment w:val="auto"/>
        <w:rPr>
          <w:rFonts w:ascii="黑体" w:hAnsi="黑体" w:eastAsia="黑体"/>
          <w:b/>
          <w:sz w:val="24"/>
        </w:rPr>
      </w:pPr>
      <w:r>
        <w:rPr>
          <w:rFonts w:hint="eastAsia" w:ascii="黑体" w:hAnsi="黑体" w:eastAsia="黑体"/>
          <w:b/>
          <w:sz w:val="24"/>
        </w:rPr>
        <w:t>2.投标无效</w:t>
      </w:r>
    </w:p>
    <w:p w14:paraId="6A192949">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2.1投标人存在下列情况之一的，符合性审查不合格，投标无效：</w:t>
      </w:r>
    </w:p>
    <w:p w14:paraId="36FC4094">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（1）投标文件中商务技术文件未按照招标文件规定要求签署、盖章的；</w:t>
      </w:r>
    </w:p>
    <w:p w14:paraId="279F2FD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（2）投标文件没有对招标文件的实质性要求和条件作出响应，或者对招标文件的偏离超出招标文件规定的偏离</w:t>
      </w:r>
      <w:r>
        <w:rPr>
          <w:rFonts w:hint="eastAsia" w:ascii="宋体" w:hAnsi="宋体"/>
        </w:rPr>
        <w:t>范围和幅度</w:t>
      </w:r>
      <w:r>
        <w:rPr>
          <w:rFonts w:hint="eastAsia" w:ascii="宋体" w:hAnsi="宋体"/>
          <w:szCs w:val="21"/>
        </w:rPr>
        <w:t>；</w:t>
      </w:r>
    </w:p>
    <w:p w14:paraId="13112A9D">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（3）投标有效期不足的；</w:t>
      </w:r>
    </w:p>
    <w:p w14:paraId="015A579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（4）投标文件含有采购人不能接受的附加条件的；</w:t>
      </w:r>
    </w:p>
    <w:p w14:paraId="77EC48E8">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（5）不符合本节第1.1款规定符合性审查标准的；</w:t>
      </w:r>
    </w:p>
    <w:p w14:paraId="54F4911C">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szCs w:val="21"/>
        </w:rPr>
      </w:pPr>
      <w:r>
        <w:rPr>
          <w:rFonts w:hint="eastAsia" w:ascii="宋体" w:hAnsi="宋体"/>
          <w:szCs w:val="21"/>
        </w:rPr>
        <w:t>（6）法律、法规和招标文件规定的其他投标无效情形的。</w:t>
      </w:r>
    </w:p>
    <w:p w14:paraId="05DDA563">
      <w:pPr>
        <w:pageBreakBefore w:val="0"/>
        <w:widowControl w:val="0"/>
        <w:kinsoku/>
        <w:wordWrap/>
        <w:overflowPunct/>
        <w:topLinePunct w:val="0"/>
        <w:autoSpaceDE/>
        <w:autoSpaceDN/>
        <w:bidi w:val="0"/>
        <w:adjustRightInd w:val="0"/>
        <w:snapToGrid w:val="0"/>
        <w:spacing w:line="360" w:lineRule="auto"/>
        <w:ind w:firstLine="480" w:firstLineChars="200"/>
        <w:jc w:val="left"/>
        <w:textAlignment w:val="auto"/>
        <w:rPr>
          <w:rFonts w:ascii="宋体" w:hAnsi="宋体"/>
          <w:kern w:val="0"/>
          <w:szCs w:val="21"/>
        </w:rPr>
      </w:pPr>
      <w:r>
        <w:rPr>
          <w:rFonts w:hint="eastAsia" w:ascii="宋体" w:hAnsi="宋体"/>
          <w:kern w:val="0"/>
          <w:szCs w:val="21"/>
        </w:rPr>
        <w:t>2.2在评标过程中发现投标人有不遵循公平竞争的原则，恶意串通，妨碍其他投标人的竞争行为，损害采购人或者其他投标人的合法权益的，评标委员会应当认定其</w:t>
      </w:r>
      <w:r>
        <w:rPr>
          <w:rFonts w:hint="eastAsia" w:ascii="宋体" w:hAnsi="宋体"/>
          <w:b/>
          <w:kern w:val="0"/>
          <w:szCs w:val="21"/>
        </w:rPr>
        <w:t>投标无效</w:t>
      </w:r>
      <w:r>
        <w:rPr>
          <w:rFonts w:hint="eastAsia" w:ascii="宋体" w:hAnsi="宋体"/>
          <w:kern w:val="0"/>
          <w:szCs w:val="21"/>
        </w:rPr>
        <w:t>，并书面报告本级财政部门。</w:t>
      </w:r>
    </w:p>
    <w:p w14:paraId="7EB1189A">
      <w:pPr>
        <w:widowControl/>
        <w:jc w:val="left"/>
        <w:rPr>
          <w:rFonts w:ascii="黑体" w:hAnsi="黑体"/>
          <w:b/>
          <w:color w:val="FF0000"/>
          <w:szCs w:val="21"/>
        </w:rPr>
      </w:pPr>
      <w:r>
        <w:rPr>
          <w:rFonts w:ascii="黑体" w:hAnsi="黑体"/>
          <w:b/>
          <w:color w:val="FF0000"/>
          <w:szCs w:val="21"/>
        </w:rPr>
        <w:br w:type="page"/>
      </w:r>
    </w:p>
    <w:p w14:paraId="688F9A4E">
      <w:pPr>
        <w:keepNext/>
        <w:keepLines/>
        <w:adjustRightInd w:val="0"/>
        <w:snapToGrid w:val="0"/>
        <w:spacing w:beforeLines="50" w:line="360" w:lineRule="auto"/>
        <w:outlineLvl w:val="2"/>
        <w:rPr>
          <w:b/>
          <w:bCs/>
          <w:szCs w:val="21"/>
        </w:rPr>
      </w:pPr>
      <w:bookmarkStart w:id="89" w:name="_Toc6571"/>
      <w:bookmarkStart w:id="90" w:name="_Toc20651227"/>
      <w:r>
        <w:rPr>
          <w:rFonts w:hint="eastAsia"/>
          <w:b/>
          <w:bCs/>
          <w:szCs w:val="21"/>
        </w:rPr>
        <w:t>附表1 符合性审查表</w:t>
      </w:r>
      <w:bookmarkEnd w:id="89"/>
      <w:bookmarkEnd w:id="90"/>
    </w:p>
    <w:p w14:paraId="50642F36">
      <w:pPr>
        <w:adjustRightInd w:val="0"/>
        <w:snapToGrid w:val="0"/>
        <w:spacing w:beforeLines="50" w:line="360" w:lineRule="auto"/>
        <w:jc w:val="center"/>
        <w:rPr>
          <w:rFonts w:ascii="黑体" w:hAnsi="黑体" w:eastAsia="黑体"/>
          <w:b/>
          <w:sz w:val="28"/>
          <w:szCs w:val="28"/>
        </w:rPr>
      </w:pPr>
      <w:r>
        <w:rPr>
          <w:rFonts w:hint="eastAsia" w:ascii="黑体" w:hAnsi="黑体" w:eastAsia="黑体"/>
          <w:b/>
          <w:sz w:val="28"/>
          <w:szCs w:val="28"/>
        </w:rPr>
        <w:t>符合性审查表</w:t>
      </w:r>
    </w:p>
    <w:p w14:paraId="7CC53147">
      <w:pPr>
        <w:adjustRightInd w:val="0"/>
        <w:snapToGrid w:val="0"/>
        <w:spacing w:line="360" w:lineRule="auto"/>
        <w:rPr>
          <w:rFonts w:hint="eastAsia" w:ascii="宋体" w:hAnsi="宋体"/>
          <w:szCs w:val="21"/>
        </w:rPr>
      </w:pPr>
      <w:r>
        <w:rPr>
          <w:rFonts w:hint="eastAsia" w:ascii="宋体" w:hAnsi="宋体"/>
          <w:szCs w:val="21"/>
        </w:rPr>
        <w:t xml:space="preserve">项目名称：            </w:t>
      </w:r>
    </w:p>
    <w:p w14:paraId="65D5A5F8">
      <w:pPr>
        <w:adjustRightInd w:val="0"/>
        <w:snapToGrid w:val="0"/>
        <w:spacing w:line="360" w:lineRule="auto"/>
        <w:rPr>
          <w:rFonts w:ascii="黑体" w:hAnsi="黑体"/>
          <w:sz w:val="28"/>
          <w:szCs w:val="28"/>
        </w:rPr>
      </w:pPr>
      <w:r>
        <w:rPr>
          <w:rFonts w:hint="eastAsia" w:ascii="宋体" w:hAnsi="宋体"/>
          <w:szCs w:val="21"/>
        </w:rPr>
        <w:t xml:space="preserve">政府采购编号：   </w:t>
      </w:r>
    </w:p>
    <w:tbl>
      <w:tblPr>
        <w:tblStyle w:val="141"/>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876"/>
        <w:gridCol w:w="3867"/>
        <w:gridCol w:w="4317"/>
      </w:tblGrid>
      <w:tr w14:paraId="64E9CF0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32" w:hRule="atLeast"/>
        </w:trPr>
        <w:tc>
          <w:tcPr>
            <w:tcW w:w="876" w:type="dxa"/>
            <w:vAlign w:val="center"/>
          </w:tcPr>
          <w:p w14:paraId="30662B5B">
            <w:pPr>
              <w:snapToGrid w:val="0"/>
              <w:spacing w:before="156" w:line="360" w:lineRule="auto"/>
              <w:jc w:val="center"/>
              <w:textAlignment w:val="baseline"/>
              <w:rPr>
                <w:rFonts w:ascii="宋体" w:hAnsi="宋体" w:cs="宋体"/>
                <w:b/>
                <w:kern w:val="0"/>
                <w:sz w:val="20"/>
                <w:szCs w:val="21"/>
              </w:rPr>
            </w:pPr>
            <w:r>
              <w:rPr>
                <w:rFonts w:hint="eastAsia" w:ascii="宋体" w:hAnsi="宋体" w:cs="宋体"/>
                <w:b/>
                <w:kern w:val="0"/>
                <w:szCs w:val="21"/>
              </w:rPr>
              <w:t>序号</w:t>
            </w:r>
          </w:p>
        </w:tc>
        <w:tc>
          <w:tcPr>
            <w:tcW w:w="3867" w:type="dxa"/>
            <w:vAlign w:val="center"/>
          </w:tcPr>
          <w:p w14:paraId="3E89224D">
            <w:pPr>
              <w:snapToGrid w:val="0"/>
              <w:spacing w:before="156" w:line="360" w:lineRule="auto"/>
              <w:textAlignment w:val="baseline"/>
              <w:rPr>
                <w:rFonts w:ascii="宋体" w:hAnsi="宋体" w:cs="宋体"/>
                <w:b/>
                <w:kern w:val="0"/>
                <w:sz w:val="20"/>
                <w:szCs w:val="21"/>
              </w:rPr>
            </w:pPr>
            <w:r>
              <w:rPr>
                <w:rFonts w:hint="eastAsia" w:ascii="宋体" w:hAnsi="宋体" w:cs="宋体"/>
                <w:b/>
                <w:kern w:val="0"/>
                <w:szCs w:val="21"/>
              </w:rPr>
              <w:t>审查项目</w:t>
            </w:r>
          </w:p>
        </w:tc>
        <w:tc>
          <w:tcPr>
            <w:tcW w:w="4317" w:type="dxa"/>
            <w:vAlign w:val="center"/>
          </w:tcPr>
          <w:p w14:paraId="7832093F">
            <w:pPr>
              <w:snapToGrid w:val="0"/>
              <w:spacing w:before="156" w:line="360" w:lineRule="auto"/>
              <w:textAlignment w:val="baseline"/>
              <w:rPr>
                <w:rFonts w:ascii="宋体" w:hAnsi="宋体" w:cs="宋体"/>
                <w:b/>
                <w:kern w:val="0"/>
                <w:sz w:val="20"/>
                <w:szCs w:val="21"/>
              </w:rPr>
            </w:pPr>
            <w:r>
              <w:rPr>
                <w:rFonts w:hint="eastAsia" w:ascii="宋体" w:hAnsi="宋体" w:cs="宋体"/>
                <w:b/>
                <w:kern w:val="0"/>
                <w:szCs w:val="21"/>
              </w:rPr>
              <w:t>审查标准</w:t>
            </w:r>
          </w:p>
        </w:tc>
      </w:tr>
      <w:tr w14:paraId="12BF0DB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76" w:type="dxa"/>
            <w:vAlign w:val="center"/>
          </w:tcPr>
          <w:p w14:paraId="7E2CBA27">
            <w:pPr>
              <w:snapToGrid w:val="0"/>
              <w:spacing w:before="156" w:line="360" w:lineRule="auto"/>
              <w:jc w:val="center"/>
              <w:textAlignment w:val="baseline"/>
              <w:rPr>
                <w:rFonts w:ascii="宋体" w:hAnsi="宋体" w:cs="宋体"/>
                <w:kern w:val="0"/>
                <w:sz w:val="20"/>
                <w:szCs w:val="21"/>
              </w:rPr>
            </w:pPr>
            <w:r>
              <w:rPr>
                <w:rFonts w:hint="eastAsia" w:ascii="宋体" w:hAnsi="宋体" w:cs="宋体"/>
                <w:kern w:val="0"/>
                <w:szCs w:val="21"/>
              </w:rPr>
              <w:t>1</w:t>
            </w:r>
          </w:p>
        </w:tc>
        <w:tc>
          <w:tcPr>
            <w:tcW w:w="3867" w:type="dxa"/>
            <w:vAlign w:val="center"/>
          </w:tcPr>
          <w:p w14:paraId="4187453D">
            <w:pPr>
              <w:snapToGrid w:val="0"/>
              <w:spacing w:line="360" w:lineRule="exact"/>
              <w:textAlignment w:val="baseline"/>
              <w:rPr>
                <w:rFonts w:ascii="宋体" w:hAnsi="宋体" w:cs="宋体"/>
                <w:color w:val="FF0000"/>
                <w:kern w:val="0"/>
                <w:sz w:val="20"/>
                <w:szCs w:val="21"/>
              </w:rPr>
            </w:pPr>
            <w:r>
              <w:rPr>
                <w:rFonts w:hint="eastAsia" w:ascii="宋体" w:hAnsi="宋体"/>
                <w:szCs w:val="21"/>
              </w:rPr>
              <w:t>投标文件中商务技术文件是否按照招标文件规定要求签署、盖章的；</w:t>
            </w:r>
          </w:p>
        </w:tc>
        <w:tc>
          <w:tcPr>
            <w:tcW w:w="4317" w:type="dxa"/>
            <w:vAlign w:val="center"/>
          </w:tcPr>
          <w:p w14:paraId="7F070C76">
            <w:pPr>
              <w:snapToGrid w:val="0"/>
              <w:spacing w:before="156" w:line="360" w:lineRule="auto"/>
              <w:textAlignment w:val="baseline"/>
              <w:rPr>
                <w:rFonts w:ascii="宋体" w:hAnsi="宋体"/>
                <w:sz w:val="20"/>
                <w:szCs w:val="21"/>
              </w:rPr>
            </w:pPr>
            <w:r>
              <w:rPr>
                <w:rFonts w:hint="eastAsia" w:ascii="宋体" w:hAnsi="宋体"/>
                <w:szCs w:val="21"/>
              </w:rPr>
              <w:t>投标文件是否存在商务技术文件没有按照招标文件规定要求签署、盖章的</w:t>
            </w:r>
          </w:p>
        </w:tc>
      </w:tr>
      <w:tr w14:paraId="0B6D03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76" w:type="dxa"/>
            <w:vAlign w:val="center"/>
          </w:tcPr>
          <w:p w14:paraId="7874E21B">
            <w:pPr>
              <w:snapToGrid w:val="0"/>
              <w:spacing w:before="156" w:line="360" w:lineRule="auto"/>
              <w:jc w:val="center"/>
              <w:textAlignment w:val="baseline"/>
              <w:rPr>
                <w:rFonts w:ascii="宋体" w:hAnsi="宋体" w:cs="宋体"/>
                <w:kern w:val="0"/>
                <w:sz w:val="20"/>
                <w:szCs w:val="21"/>
              </w:rPr>
            </w:pPr>
            <w:r>
              <w:rPr>
                <w:rFonts w:hint="eastAsia" w:ascii="宋体" w:hAnsi="宋体" w:cs="宋体"/>
                <w:kern w:val="0"/>
                <w:szCs w:val="21"/>
              </w:rPr>
              <w:t>2</w:t>
            </w:r>
          </w:p>
        </w:tc>
        <w:tc>
          <w:tcPr>
            <w:tcW w:w="3867" w:type="dxa"/>
            <w:vAlign w:val="center"/>
          </w:tcPr>
          <w:p w14:paraId="6C1950E7">
            <w:pPr>
              <w:snapToGrid w:val="0"/>
              <w:spacing w:line="360" w:lineRule="exact"/>
              <w:textAlignment w:val="baseline"/>
              <w:rPr>
                <w:rFonts w:ascii="宋体" w:hAnsi="宋体" w:cs="宋体"/>
                <w:color w:val="FF0000"/>
                <w:kern w:val="0"/>
                <w:sz w:val="20"/>
                <w:szCs w:val="21"/>
              </w:rPr>
            </w:pPr>
            <w:r>
              <w:rPr>
                <w:rFonts w:hint="eastAsia" w:ascii="宋体" w:hAnsi="宋体"/>
                <w:szCs w:val="21"/>
              </w:rPr>
              <w:t>投标有效期不足的</w:t>
            </w:r>
          </w:p>
        </w:tc>
        <w:tc>
          <w:tcPr>
            <w:tcW w:w="4317" w:type="dxa"/>
            <w:vAlign w:val="center"/>
          </w:tcPr>
          <w:p w14:paraId="54A18752">
            <w:pPr>
              <w:snapToGrid w:val="0"/>
              <w:spacing w:before="156" w:line="360" w:lineRule="auto"/>
              <w:textAlignment w:val="baseline"/>
              <w:rPr>
                <w:rFonts w:ascii="宋体" w:hAnsi="宋体"/>
                <w:sz w:val="20"/>
                <w:szCs w:val="21"/>
              </w:rPr>
            </w:pPr>
            <w:r>
              <w:rPr>
                <w:rFonts w:hint="eastAsia" w:ascii="宋体" w:hAnsi="宋体"/>
                <w:szCs w:val="21"/>
              </w:rPr>
              <w:t>90日（日历日）</w:t>
            </w:r>
          </w:p>
        </w:tc>
      </w:tr>
      <w:tr w14:paraId="5889E83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52" w:hRule="atLeast"/>
        </w:trPr>
        <w:tc>
          <w:tcPr>
            <w:tcW w:w="876" w:type="dxa"/>
            <w:vAlign w:val="center"/>
          </w:tcPr>
          <w:p w14:paraId="65FE3B4C">
            <w:pPr>
              <w:snapToGrid w:val="0"/>
              <w:spacing w:before="156" w:line="360" w:lineRule="auto"/>
              <w:jc w:val="center"/>
              <w:textAlignment w:val="baseline"/>
              <w:rPr>
                <w:rFonts w:ascii="宋体" w:hAnsi="宋体" w:cs="宋体"/>
                <w:kern w:val="0"/>
                <w:sz w:val="20"/>
                <w:szCs w:val="21"/>
              </w:rPr>
            </w:pPr>
            <w:r>
              <w:rPr>
                <w:rFonts w:hint="eastAsia" w:ascii="宋体" w:hAnsi="宋体" w:cs="宋体"/>
                <w:kern w:val="0"/>
                <w:szCs w:val="21"/>
              </w:rPr>
              <w:t>3</w:t>
            </w:r>
          </w:p>
        </w:tc>
        <w:tc>
          <w:tcPr>
            <w:tcW w:w="3867" w:type="dxa"/>
            <w:vAlign w:val="center"/>
          </w:tcPr>
          <w:p w14:paraId="13B30C3F">
            <w:pPr>
              <w:snapToGrid w:val="0"/>
              <w:spacing w:line="360" w:lineRule="exact"/>
              <w:textAlignment w:val="baseline"/>
              <w:rPr>
                <w:rFonts w:ascii="宋体" w:hAnsi="宋体" w:cs="宋体"/>
                <w:color w:val="FF0000"/>
                <w:kern w:val="0"/>
                <w:sz w:val="20"/>
                <w:szCs w:val="21"/>
              </w:rPr>
            </w:pPr>
            <w:r>
              <w:rPr>
                <w:rFonts w:hint="eastAsia" w:ascii="宋体" w:hAnsi="宋体"/>
                <w:szCs w:val="21"/>
              </w:rPr>
              <w:t>投标人递交的投标报价唯一性</w:t>
            </w:r>
          </w:p>
        </w:tc>
        <w:tc>
          <w:tcPr>
            <w:tcW w:w="4317" w:type="dxa"/>
            <w:vAlign w:val="center"/>
          </w:tcPr>
          <w:p w14:paraId="51E07ECA">
            <w:pPr>
              <w:snapToGrid w:val="0"/>
              <w:spacing w:before="156" w:line="360" w:lineRule="auto"/>
              <w:textAlignment w:val="baseline"/>
              <w:rPr>
                <w:rFonts w:ascii="宋体" w:hAnsi="宋体"/>
                <w:sz w:val="20"/>
                <w:szCs w:val="21"/>
              </w:rPr>
            </w:pPr>
            <w:r>
              <w:rPr>
                <w:rFonts w:hint="eastAsia" w:ascii="宋体" w:hAnsi="宋体"/>
                <w:szCs w:val="21"/>
              </w:rPr>
              <w:t>投标人是否存在递交的投标报价前后不一致</w:t>
            </w:r>
          </w:p>
        </w:tc>
      </w:tr>
      <w:tr w14:paraId="4CFD5C6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76" w:type="dxa"/>
            <w:vAlign w:val="center"/>
          </w:tcPr>
          <w:p w14:paraId="0E7BEE5B">
            <w:pPr>
              <w:snapToGrid w:val="0"/>
              <w:spacing w:before="156" w:line="360" w:lineRule="auto"/>
              <w:jc w:val="center"/>
              <w:textAlignment w:val="baseline"/>
              <w:rPr>
                <w:rFonts w:ascii="宋体" w:hAnsi="宋体" w:cs="宋体"/>
                <w:kern w:val="0"/>
                <w:sz w:val="20"/>
                <w:szCs w:val="21"/>
              </w:rPr>
            </w:pPr>
            <w:r>
              <w:rPr>
                <w:rFonts w:hint="eastAsia" w:ascii="宋体" w:hAnsi="宋体" w:cs="宋体"/>
                <w:kern w:val="0"/>
                <w:szCs w:val="21"/>
              </w:rPr>
              <w:t>4</w:t>
            </w:r>
          </w:p>
        </w:tc>
        <w:tc>
          <w:tcPr>
            <w:tcW w:w="3867" w:type="dxa"/>
            <w:vAlign w:val="center"/>
          </w:tcPr>
          <w:p w14:paraId="4FA08CBB">
            <w:pPr>
              <w:snapToGrid w:val="0"/>
              <w:spacing w:line="360" w:lineRule="exact"/>
              <w:textAlignment w:val="baseline"/>
              <w:rPr>
                <w:rFonts w:ascii="宋体" w:hAnsi="宋体"/>
                <w:color w:val="FF0000"/>
                <w:kern w:val="0"/>
                <w:sz w:val="20"/>
                <w:szCs w:val="21"/>
              </w:rPr>
            </w:pPr>
            <w:r>
              <w:rPr>
                <w:rFonts w:hint="eastAsia" w:ascii="宋体" w:hAnsi="宋体" w:cs="宋体"/>
                <w:szCs w:val="21"/>
              </w:rPr>
              <w:t>投标范围（服务要求及标准）满足招标文件要求</w:t>
            </w:r>
          </w:p>
        </w:tc>
        <w:tc>
          <w:tcPr>
            <w:tcW w:w="4317" w:type="dxa"/>
            <w:vAlign w:val="center"/>
          </w:tcPr>
          <w:p w14:paraId="3FE01597">
            <w:pPr>
              <w:snapToGrid w:val="0"/>
              <w:spacing w:before="156" w:line="360" w:lineRule="auto"/>
              <w:textAlignment w:val="baseline"/>
              <w:rPr>
                <w:rFonts w:ascii="宋体" w:hAnsi="宋体"/>
                <w:sz w:val="20"/>
                <w:szCs w:val="21"/>
              </w:rPr>
            </w:pPr>
            <w:r>
              <w:rPr>
                <w:rFonts w:hint="eastAsia" w:ascii="宋体" w:hAnsi="宋体"/>
                <w:szCs w:val="21"/>
              </w:rPr>
              <w:t>投标范围是否存在（服务要求及标准）不满足招标文件要求</w:t>
            </w:r>
          </w:p>
        </w:tc>
      </w:tr>
      <w:tr w14:paraId="6ED63BD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76" w:type="dxa"/>
            <w:vAlign w:val="center"/>
          </w:tcPr>
          <w:p w14:paraId="7CED59DC">
            <w:pPr>
              <w:snapToGrid w:val="0"/>
              <w:spacing w:before="156" w:line="360" w:lineRule="auto"/>
              <w:jc w:val="center"/>
              <w:textAlignment w:val="baseline"/>
              <w:rPr>
                <w:rFonts w:ascii="宋体" w:hAnsi="宋体" w:cs="宋体"/>
                <w:kern w:val="0"/>
                <w:sz w:val="20"/>
                <w:szCs w:val="21"/>
              </w:rPr>
            </w:pPr>
            <w:r>
              <w:rPr>
                <w:rFonts w:hint="eastAsia" w:ascii="宋体" w:hAnsi="宋体" w:cs="宋体"/>
                <w:kern w:val="0"/>
                <w:szCs w:val="21"/>
              </w:rPr>
              <w:t>5</w:t>
            </w:r>
          </w:p>
        </w:tc>
        <w:tc>
          <w:tcPr>
            <w:tcW w:w="3867" w:type="dxa"/>
            <w:vAlign w:val="center"/>
          </w:tcPr>
          <w:p w14:paraId="241A43A1">
            <w:pPr>
              <w:snapToGrid w:val="0"/>
              <w:spacing w:line="360" w:lineRule="exact"/>
              <w:textAlignment w:val="baseline"/>
              <w:rPr>
                <w:rFonts w:ascii="宋体" w:hAnsi="宋体"/>
                <w:color w:val="FF0000"/>
                <w:kern w:val="0"/>
                <w:sz w:val="20"/>
                <w:szCs w:val="21"/>
              </w:rPr>
            </w:pPr>
            <w:r>
              <w:rPr>
                <w:rFonts w:hint="eastAsia" w:ascii="宋体" w:hAnsi="宋体"/>
                <w:szCs w:val="21"/>
              </w:rPr>
              <w:t>投标文件没有对招标文件的实质性要求和条件作出响应，或者对招标文件的偏离超出招标文件规定的偏离范围和幅度；</w:t>
            </w:r>
          </w:p>
        </w:tc>
        <w:tc>
          <w:tcPr>
            <w:tcW w:w="4317" w:type="dxa"/>
            <w:vAlign w:val="center"/>
          </w:tcPr>
          <w:p w14:paraId="5FBF896E">
            <w:pPr>
              <w:snapToGrid w:val="0"/>
              <w:spacing w:before="156" w:line="360" w:lineRule="auto"/>
              <w:textAlignment w:val="baseline"/>
              <w:rPr>
                <w:rFonts w:ascii="宋体" w:hAnsi="宋体"/>
                <w:sz w:val="20"/>
                <w:szCs w:val="21"/>
              </w:rPr>
            </w:pPr>
            <w:r>
              <w:rPr>
                <w:rFonts w:hint="eastAsia" w:asciiTheme="minorEastAsia" w:hAnsiTheme="minorEastAsia" w:eastAsiaTheme="minorEastAsia"/>
                <w:szCs w:val="21"/>
              </w:rPr>
              <w:t>幅度：</w:t>
            </w:r>
            <w:r>
              <w:rPr>
                <w:rFonts w:hint="eastAsia" w:ascii="宋体" w:hAnsi="宋体"/>
                <w:szCs w:val="21"/>
              </w:rPr>
              <w:t>一般商务和技术条款偏离项数之和≥</w:t>
            </w:r>
            <w:r>
              <w:rPr>
                <w:rFonts w:hint="eastAsia" w:ascii="宋体" w:hAnsi="宋体"/>
                <w:szCs w:val="21"/>
                <w:u w:val="single"/>
                <w:lang w:val="en-US" w:eastAsia="zh-CN"/>
              </w:rPr>
              <w:t>10</w:t>
            </w:r>
            <w:r>
              <w:rPr>
                <w:rFonts w:hint="eastAsia" w:ascii="宋体" w:hAnsi="宋体"/>
                <w:szCs w:val="21"/>
              </w:rPr>
              <w:t>项将导致无效投标。所称条款数（最高项数）的统计方法为：招标文件中，凡编排有单独的中文序数或阿拉伯数字等字符的条款算一项商务或技术要求项数，相同内容的条款不重复计算项数(不含评分因素)</w:t>
            </w:r>
          </w:p>
        </w:tc>
      </w:tr>
      <w:tr w14:paraId="4347692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76" w:type="dxa"/>
            <w:vAlign w:val="center"/>
          </w:tcPr>
          <w:p w14:paraId="4B32A4DA">
            <w:pPr>
              <w:snapToGrid w:val="0"/>
              <w:spacing w:before="156" w:line="360" w:lineRule="auto"/>
              <w:jc w:val="center"/>
              <w:textAlignment w:val="baseline"/>
              <w:rPr>
                <w:rFonts w:ascii="宋体" w:hAnsi="宋体" w:cs="宋体"/>
                <w:kern w:val="0"/>
                <w:sz w:val="20"/>
                <w:szCs w:val="21"/>
              </w:rPr>
            </w:pPr>
            <w:r>
              <w:rPr>
                <w:rFonts w:hint="eastAsia" w:ascii="宋体" w:hAnsi="宋体" w:cs="宋体"/>
                <w:kern w:val="0"/>
                <w:szCs w:val="21"/>
              </w:rPr>
              <w:t>6</w:t>
            </w:r>
          </w:p>
        </w:tc>
        <w:tc>
          <w:tcPr>
            <w:tcW w:w="3867" w:type="dxa"/>
            <w:vAlign w:val="center"/>
          </w:tcPr>
          <w:p w14:paraId="28EB8D51">
            <w:pPr>
              <w:snapToGrid w:val="0"/>
              <w:spacing w:line="360" w:lineRule="exact"/>
              <w:textAlignment w:val="baseline"/>
              <w:rPr>
                <w:rFonts w:ascii="宋体" w:hAnsi="宋体" w:cs="宋体"/>
                <w:color w:val="FF0000"/>
                <w:kern w:val="0"/>
                <w:sz w:val="20"/>
                <w:szCs w:val="21"/>
              </w:rPr>
            </w:pPr>
            <w:r>
              <w:rPr>
                <w:rFonts w:hint="eastAsia" w:ascii="宋体" w:hAnsi="宋体"/>
              </w:rPr>
              <w:t>招标文件中</w:t>
            </w:r>
            <w:r>
              <w:rPr>
                <w:rFonts w:hint="eastAsia" w:ascii="宋体" w:hAnsi="宋体" w:cs="宋体"/>
                <w:szCs w:val="21"/>
              </w:rPr>
              <w:t>用“拒绝 ”、“不接受 ”、“无效 ”、“不得 ”等文件规定或标注 “★”符号的条款为实质性要求条款（即重要条款），对其中任何一条的偏离，在评标时将其视为无效投标；</w:t>
            </w:r>
          </w:p>
        </w:tc>
        <w:tc>
          <w:tcPr>
            <w:tcW w:w="4317" w:type="dxa"/>
            <w:vAlign w:val="center"/>
          </w:tcPr>
          <w:p w14:paraId="53B5BF07">
            <w:pPr>
              <w:snapToGrid w:val="0"/>
              <w:spacing w:before="156" w:line="360" w:lineRule="auto"/>
              <w:textAlignment w:val="baseline"/>
              <w:rPr>
                <w:rFonts w:ascii="宋体" w:hAnsi="宋体"/>
                <w:sz w:val="20"/>
                <w:szCs w:val="21"/>
              </w:rPr>
            </w:pPr>
            <w:r>
              <w:rPr>
                <w:rFonts w:hint="eastAsia" w:ascii="宋体" w:hAnsi="宋体"/>
                <w:szCs w:val="21"/>
              </w:rPr>
              <w:t>投标文件是否对招标文件中所述的条款做出实质性响应</w:t>
            </w:r>
          </w:p>
        </w:tc>
      </w:tr>
      <w:tr w14:paraId="1AFA02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76" w:type="dxa"/>
            <w:vAlign w:val="center"/>
          </w:tcPr>
          <w:p w14:paraId="24E9C9D5">
            <w:pPr>
              <w:snapToGrid w:val="0"/>
              <w:spacing w:before="156" w:line="360" w:lineRule="auto"/>
              <w:jc w:val="center"/>
              <w:textAlignment w:val="baseline"/>
              <w:rPr>
                <w:rFonts w:ascii="宋体" w:hAnsi="宋体" w:cs="宋体"/>
                <w:kern w:val="0"/>
                <w:sz w:val="20"/>
                <w:szCs w:val="21"/>
              </w:rPr>
            </w:pPr>
            <w:r>
              <w:rPr>
                <w:rFonts w:hint="eastAsia" w:ascii="宋体" w:hAnsi="宋体" w:cs="宋体"/>
                <w:kern w:val="0"/>
                <w:szCs w:val="21"/>
              </w:rPr>
              <w:t>7</w:t>
            </w:r>
          </w:p>
        </w:tc>
        <w:tc>
          <w:tcPr>
            <w:tcW w:w="3867" w:type="dxa"/>
            <w:vAlign w:val="center"/>
          </w:tcPr>
          <w:p w14:paraId="7A2944D7">
            <w:pPr>
              <w:snapToGrid w:val="0"/>
              <w:spacing w:line="360" w:lineRule="exact"/>
              <w:textAlignment w:val="baseline"/>
              <w:rPr>
                <w:rFonts w:ascii="宋体" w:hAnsi="宋体" w:cs="宋体"/>
                <w:color w:val="FF0000"/>
                <w:kern w:val="0"/>
                <w:sz w:val="20"/>
                <w:szCs w:val="21"/>
              </w:rPr>
            </w:pPr>
            <w:r>
              <w:rPr>
                <w:rFonts w:hint="eastAsia" w:ascii="宋体" w:hAnsi="宋体"/>
                <w:szCs w:val="21"/>
              </w:rPr>
              <w:t>投标文件含有采购人不能接受的附加条件的；</w:t>
            </w:r>
          </w:p>
        </w:tc>
        <w:tc>
          <w:tcPr>
            <w:tcW w:w="4317" w:type="dxa"/>
            <w:vAlign w:val="center"/>
          </w:tcPr>
          <w:p w14:paraId="197D9C33">
            <w:pPr>
              <w:snapToGrid w:val="0"/>
              <w:spacing w:before="156" w:line="360" w:lineRule="auto"/>
              <w:textAlignment w:val="baseline"/>
              <w:rPr>
                <w:rFonts w:ascii="宋体" w:hAnsi="宋体"/>
                <w:sz w:val="20"/>
                <w:szCs w:val="21"/>
              </w:rPr>
            </w:pPr>
            <w:r>
              <w:rPr>
                <w:rFonts w:ascii="宋体" w:hAnsi="宋体"/>
                <w:szCs w:val="21"/>
              </w:rPr>
              <w:t>是否存在</w:t>
            </w:r>
            <w:r>
              <w:rPr>
                <w:rFonts w:hint="eastAsia" w:ascii="宋体" w:hAnsi="宋体"/>
                <w:szCs w:val="21"/>
              </w:rPr>
              <w:t>投标文件含有采购人不能接受的附加条件的</w:t>
            </w:r>
          </w:p>
        </w:tc>
      </w:tr>
      <w:tr w14:paraId="365FF3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76" w:type="dxa"/>
            <w:vAlign w:val="center"/>
          </w:tcPr>
          <w:p w14:paraId="2E60B8EF">
            <w:pPr>
              <w:snapToGrid w:val="0"/>
              <w:spacing w:before="156" w:line="360" w:lineRule="auto"/>
              <w:jc w:val="center"/>
              <w:textAlignment w:val="baseline"/>
              <w:rPr>
                <w:rFonts w:ascii="宋体" w:hAnsi="宋体"/>
                <w:kern w:val="0"/>
                <w:sz w:val="20"/>
                <w:szCs w:val="21"/>
              </w:rPr>
            </w:pPr>
            <w:r>
              <w:rPr>
                <w:rFonts w:hint="eastAsia" w:ascii="宋体" w:hAnsi="宋体"/>
                <w:kern w:val="0"/>
                <w:szCs w:val="21"/>
              </w:rPr>
              <w:t>8</w:t>
            </w:r>
          </w:p>
        </w:tc>
        <w:tc>
          <w:tcPr>
            <w:tcW w:w="3867" w:type="dxa"/>
            <w:vAlign w:val="center"/>
          </w:tcPr>
          <w:p w14:paraId="1FC9F6BE">
            <w:pPr>
              <w:snapToGrid w:val="0"/>
              <w:spacing w:line="360" w:lineRule="exact"/>
              <w:textAlignment w:val="baseline"/>
              <w:rPr>
                <w:rFonts w:ascii="宋体" w:hAnsi="宋体" w:cs="宋体"/>
                <w:color w:val="FF0000"/>
                <w:kern w:val="0"/>
                <w:sz w:val="20"/>
                <w:szCs w:val="21"/>
              </w:rPr>
            </w:pPr>
            <w:r>
              <w:rPr>
                <w:rFonts w:hint="eastAsia" w:ascii="宋体" w:hAnsi="宋体"/>
                <w:szCs w:val="21"/>
              </w:rPr>
              <w:t>法律、法规和招标文件规定的其他投标无效情形的。</w:t>
            </w:r>
          </w:p>
        </w:tc>
        <w:tc>
          <w:tcPr>
            <w:tcW w:w="4317" w:type="dxa"/>
            <w:vAlign w:val="center"/>
          </w:tcPr>
          <w:p w14:paraId="231BF20A">
            <w:pPr>
              <w:snapToGrid w:val="0"/>
              <w:spacing w:before="156" w:line="360" w:lineRule="auto"/>
              <w:textAlignment w:val="baseline"/>
              <w:rPr>
                <w:rFonts w:ascii="宋体" w:hAnsi="宋体"/>
                <w:sz w:val="20"/>
                <w:szCs w:val="21"/>
              </w:rPr>
            </w:pPr>
            <w:r>
              <w:rPr>
                <w:rFonts w:hint="eastAsia" w:ascii="宋体" w:hAnsi="宋体"/>
                <w:szCs w:val="21"/>
              </w:rPr>
              <w:t>是否存在有招标文件规定的其他投标无效情形</w:t>
            </w:r>
          </w:p>
        </w:tc>
      </w:tr>
      <w:tr w14:paraId="5576BE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876" w:type="dxa"/>
            <w:vAlign w:val="center"/>
          </w:tcPr>
          <w:p w14:paraId="44CEFB57">
            <w:pPr>
              <w:snapToGrid w:val="0"/>
              <w:spacing w:before="156" w:line="360" w:lineRule="auto"/>
              <w:jc w:val="center"/>
              <w:textAlignment w:val="baseline"/>
              <w:rPr>
                <w:rFonts w:ascii="宋体" w:hAnsi="宋体" w:cs="宋体"/>
                <w:kern w:val="0"/>
                <w:sz w:val="20"/>
                <w:szCs w:val="21"/>
              </w:rPr>
            </w:pPr>
            <w:r>
              <w:rPr>
                <w:rFonts w:hint="eastAsia" w:ascii="宋体" w:hAnsi="宋体" w:cs="宋体"/>
                <w:kern w:val="0"/>
                <w:sz w:val="24"/>
                <w:szCs w:val="28"/>
              </w:rPr>
              <w:t>结论</w:t>
            </w:r>
          </w:p>
        </w:tc>
        <w:tc>
          <w:tcPr>
            <w:tcW w:w="8184" w:type="dxa"/>
            <w:gridSpan w:val="2"/>
            <w:vAlign w:val="center"/>
          </w:tcPr>
          <w:p w14:paraId="6175F1D0">
            <w:pPr>
              <w:snapToGrid w:val="0"/>
              <w:spacing w:before="156" w:line="360" w:lineRule="auto"/>
              <w:textAlignment w:val="baseline"/>
              <w:rPr>
                <w:rFonts w:ascii="宋体" w:hAnsi="宋体" w:cs="宋体"/>
                <w:kern w:val="0"/>
                <w:sz w:val="20"/>
                <w:szCs w:val="21"/>
              </w:rPr>
            </w:pPr>
          </w:p>
        </w:tc>
      </w:tr>
    </w:tbl>
    <w:p w14:paraId="590BDED8">
      <w:pPr>
        <w:widowControl/>
        <w:jc w:val="left"/>
        <w:rPr>
          <w:rFonts w:ascii="宋体" w:hAnsi="宋体"/>
          <w:szCs w:val="21"/>
        </w:rPr>
      </w:pPr>
      <w:r>
        <w:rPr>
          <w:rFonts w:ascii="宋体" w:hAnsi="宋体"/>
          <w:szCs w:val="21"/>
        </w:rPr>
        <w:br w:type="page"/>
      </w:r>
    </w:p>
    <w:p w14:paraId="630067AA">
      <w:pPr>
        <w:keepNext/>
        <w:keepLines/>
        <w:spacing w:before="260" w:after="260" w:line="416" w:lineRule="auto"/>
        <w:outlineLvl w:val="2"/>
        <w:rPr>
          <w:b/>
          <w:bCs/>
          <w:szCs w:val="21"/>
        </w:rPr>
      </w:pPr>
      <w:bookmarkStart w:id="91" w:name="_Toc9544"/>
      <w:bookmarkStart w:id="92" w:name="_Toc20651228"/>
      <w:r>
        <w:rPr>
          <w:rFonts w:hint="eastAsia"/>
          <w:b/>
          <w:bCs/>
          <w:szCs w:val="21"/>
        </w:rPr>
        <w:t>附表2 符合性审查结果一览表</w:t>
      </w:r>
      <w:bookmarkEnd w:id="91"/>
      <w:bookmarkEnd w:id="92"/>
    </w:p>
    <w:p w14:paraId="72B0C565">
      <w:pPr>
        <w:adjustRightInd w:val="0"/>
        <w:snapToGrid w:val="0"/>
        <w:spacing w:beforeLines="50" w:line="360" w:lineRule="auto"/>
        <w:jc w:val="center"/>
        <w:rPr>
          <w:rFonts w:ascii="黑体" w:hAnsi="黑体" w:eastAsia="黑体"/>
          <w:b/>
          <w:sz w:val="28"/>
          <w:szCs w:val="28"/>
        </w:rPr>
      </w:pPr>
      <w:r>
        <w:rPr>
          <w:rFonts w:hint="eastAsia" w:ascii="黑体" w:hAnsi="黑体" w:eastAsia="黑体"/>
          <w:b/>
          <w:sz w:val="28"/>
          <w:szCs w:val="28"/>
        </w:rPr>
        <w:t>符合性审查结果一览表</w:t>
      </w:r>
    </w:p>
    <w:p w14:paraId="50774218">
      <w:pPr>
        <w:adjustRightInd w:val="0"/>
        <w:snapToGrid w:val="0"/>
        <w:spacing w:line="360" w:lineRule="auto"/>
        <w:rPr>
          <w:rFonts w:hint="eastAsia" w:ascii="宋体" w:hAnsi="宋体"/>
          <w:szCs w:val="21"/>
        </w:rPr>
      </w:pPr>
      <w:bookmarkStart w:id="93" w:name="_Toc20651229"/>
      <w:r>
        <w:rPr>
          <w:rFonts w:hint="eastAsia" w:ascii="宋体" w:hAnsi="宋体"/>
          <w:szCs w:val="21"/>
        </w:rPr>
        <w:t xml:space="preserve">项目名称：            </w:t>
      </w:r>
    </w:p>
    <w:p w14:paraId="1FB8B8D3">
      <w:pPr>
        <w:adjustRightInd w:val="0"/>
        <w:snapToGrid w:val="0"/>
        <w:spacing w:line="360" w:lineRule="auto"/>
        <w:rPr>
          <w:rFonts w:ascii="黑体" w:hAnsi="黑体"/>
          <w:sz w:val="28"/>
          <w:szCs w:val="28"/>
        </w:rPr>
      </w:pPr>
      <w:r>
        <w:rPr>
          <w:rFonts w:hint="eastAsia" w:ascii="宋体" w:hAnsi="宋体"/>
          <w:szCs w:val="21"/>
        </w:rPr>
        <w:t xml:space="preserve">政府采购编号：   </w:t>
      </w:r>
    </w:p>
    <w:tbl>
      <w:tblPr>
        <w:tblStyle w:val="45"/>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7"/>
        <w:gridCol w:w="2963"/>
        <w:gridCol w:w="2439"/>
        <w:gridCol w:w="2961"/>
      </w:tblGrid>
      <w:tr w14:paraId="243CF7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center"/>
          </w:tcPr>
          <w:p w14:paraId="2465E66B">
            <w:pPr>
              <w:jc w:val="center"/>
              <w:rPr>
                <w:rFonts w:ascii="宋体" w:hAnsi="宋体"/>
                <w:b/>
                <w:kern w:val="0"/>
                <w:szCs w:val="21"/>
              </w:rPr>
            </w:pPr>
            <w:r>
              <w:rPr>
                <w:rFonts w:hint="eastAsia" w:ascii="宋体" w:hAnsi="宋体"/>
                <w:b/>
                <w:kern w:val="0"/>
                <w:szCs w:val="21"/>
              </w:rPr>
              <w:t>序号</w:t>
            </w:r>
          </w:p>
        </w:tc>
        <w:tc>
          <w:tcPr>
            <w:tcW w:w="2963" w:type="dxa"/>
            <w:noWrap w:val="0"/>
            <w:vAlign w:val="center"/>
          </w:tcPr>
          <w:p w14:paraId="6AF1ED24">
            <w:pPr>
              <w:jc w:val="center"/>
              <w:rPr>
                <w:rFonts w:ascii="宋体" w:hAnsi="宋体"/>
                <w:b/>
                <w:kern w:val="0"/>
                <w:szCs w:val="21"/>
              </w:rPr>
            </w:pPr>
            <w:r>
              <w:rPr>
                <w:rFonts w:hint="eastAsia" w:ascii="宋体" w:hAnsi="宋体"/>
                <w:b/>
                <w:kern w:val="0"/>
                <w:szCs w:val="21"/>
              </w:rPr>
              <w:t>投标人名称</w:t>
            </w:r>
          </w:p>
        </w:tc>
        <w:tc>
          <w:tcPr>
            <w:tcW w:w="2439" w:type="dxa"/>
            <w:noWrap w:val="0"/>
            <w:vAlign w:val="center"/>
          </w:tcPr>
          <w:p w14:paraId="2D41A5E3">
            <w:pPr>
              <w:jc w:val="center"/>
              <w:rPr>
                <w:rFonts w:ascii="宋体" w:hAnsi="宋体"/>
                <w:b/>
                <w:kern w:val="0"/>
                <w:szCs w:val="21"/>
              </w:rPr>
            </w:pPr>
            <w:r>
              <w:rPr>
                <w:rFonts w:hint="eastAsia" w:ascii="宋体" w:hAnsi="宋体"/>
                <w:b/>
                <w:kern w:val="0"/>
                <w:szCs w:val="21"/>
              </w:rPr>
              <w:t>符合性审查结果</w:t>
            </w:r>
          </w:p>
          <w:p w14:paraId="35C81B5A">
            <w:pPr>
              <w:jc w:val="center"/>
              <w:rPr>
                <w:rFonts w:ascii="宋体" w:hAnsi="宋体"/>
                <w:b/>
                <w:kern w:val="0"/>
                <w:szCs w:val="21"/>
              </w:rPr>
            </w:pPr>
            <w:r>
              <w:rPr>
                <w:rFonts w:hint="eastAsia" w:ascii="宋体" w:hAnsi="宋体"/>
                <w:b/>
                <w:kern w:val="0"/>
                <w:szCs w:val="21"/>
              </w:rPr>
              <w:t>（合格/不合格）</w:t>
            </w:r>
          </w:p>
        </w:tc>
        <w:tc>
          <w:tcPr>
            <w:tcW w:w="2961" w:type="dxa"/>
            <w:noWrap w:val="0"/>
            <w:vAlign w:val="center"/>
          </w:tcPr>
          <w:p w14:paraId="1C3B8F27">
            <w:pPr>
              <w:jc w:val="center"/>
              <w:rPr>
                <w:rFonts w:ascii="宋体" w:hAnsi="宋体"/>
                <w:b/>
                <w:kern w:val="0"/>
                <w:szCs w:val="21"/>
              </w:rPr>
            </w:pPr>
            <w:r>
              <w:rPr>
                <w:rFonts w:hint="eastAsia" w:ascii="宋体" w:hAnsi="宋体"/>
                <w:b/>
                <w:kern w:val="0"/>
                <w:szCs w:val="21"/>
              </w:rPr>
              <w:t>符合性审查不合格原因</w:t>
            </w:r>
          </w:p>
        </w:tc>
      </w:tr>
      <w:tr w14:paraId="00407E0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07CF869B">
            <w:pPr>
              <w:adjustRightInd w:val="0"/>
              <w:snapToGrid w:val="0"/>
              <w:spacing w:line="360" w:lineRule="auto"/>
              <w:rPr>
                <w:rFonts w:ascii="宋体" w:hAnsi="宋体"/>
                <w:kern w:val="0"/>
                <w:sz w:val="24"/>
              </w:rPr>
            </w:pPr>
          </w:p>
        </w:tc>
        <w:tc>
          <w:tcPr>
            <w:tcW w:w="2963" w:type="dxa"/>
            <w:noWrap w:val="0"/>
            <w:vAlign w:val="top"/>
          </w:tcPr>
          <w:p w14:paraId="268AC6A5">
            <w:pPr>
              <w:adjustRightInd w:val="0"/>
              <w:snapToGrid w:val="0"/>
              <w:spacing w:line="360" w:lineRule="auto"/>
              <w:rPr>
                <w:rFonts w:ascii="宋体" w:hAnsi="宋体"/>
                <w:kern w:val="0"/>
                <w:sz w:val="24"/>
              </w:rPr>
            </w:pPr>
          </w:p>
        </w:tc>
        <w:tc>
          <w:tcPr>
            <w:tcW w:w="2439" w:type="dxa"/>
            <w:noWrap w:val="0"/>
            <w:vAlign w:val="top"/>
          </w:tcPr>
          <w:p w14:paraId="61C408A7">
            <w:pPr>
              <w:adjustRightInd w:val="0"/>
              <w:snapToGrid w:val="0"/>
              <w:spacing w:line="360" w:lineRule="auto"/>
              <w:rPr>
                <w:rFonts w:ascii="宋体" w:hAnsi="宋体"/>
                <w:kern w:val="0"/>
                <w:sz w:val="24"/>
              </w:rPr>
            </w:pPr>
          </w:p>
        </w:tc>
        <w:tc>
          <w:tcPr>
            <w:tcW w:w="2961" w:type="dxa"/>
            <w:noWrap w:val="0"/>
            <w:vAlign w:val="top"/>
          </w:tcPr>
          <w:p w14:paraId="0C548112">
            <w:pPr>
              <w:adjustRightInd w:val="0"/>
              <w:snapToGrid w:val="0"/>
              <w:spacing w:line="360" w:lineRule="auto"/>
              <w:rPr>
                <w:rFonts w:ascii="宋体" w:hAnsi="宋体"/>
                <w:kern w:val="0"/>
                <w:sz w:val="24"/>
              </w:rPr>
            </w:pPr>
          </w:p>
        </w:tc>
      </w:tr>
      <w:tr w14:paraId="174821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6AA5791F">
            <w:pPr>
              <w:adjustRightInd w:val="0"/>
              <w:snapToGrid w:val="0"/>
              <w:spacing w:line="360" w:lineRule="auto"/>
              <w:rPr>
                <w:rFonts w:ascii="宋体" w:hAnsi="宋体"/>
                <w:kern w:val="0"/>
                <w:sz w:val="24"/>
              </w:rPr>
            </w:pPr>
          </w:p>
        </w:tc>
        <w:tc>
          <w:tcPr>
            <w:tcW w:w="2963" w:type="dxa"/>
            <w:noWrap w:val="0"/>
            <w:vAlign w:val="top"/>
          </w:tcPr>
          <w:p w14:paraId="7BB337C2">
            <w:pPr>
              <w:adjustRightInd w:val="0"/>
              <w:snapToGrid w:val="0"/>
              <w:spacing w:line="360" w:lineRule="auto"/>
              <w:rPr>
                <w:rFonts w:ascii="宋体" w:hAnsi="宋体"/>
                <w:kern w:val="0"/>
                <w:sz w:val="24"/>
              </w:rPr>
            </w:pPr>
          </w:p>
        </w:tc>
        <w:tc>
          <w:tcPr>
            <w:tcW w:w="2439" w:type="dxa"/>
            <w:noWrap w:val="0"/>
            <w:vAlign w:val="top"/>
          </w:tcPr>
          <w:p w14:paraId="0C072B69">
            <w:pPr>
              <w:adjustRightInd w:val="0"/>
              <w:snapToGrid w:val="0"/>
              <w:spacing w:line="360" w:lineRule="auto"/>
              <w:rPr>
                <w:rFonts w:ascii="宋体" w:hAnsi="宋体"/>
                <w:kern w:val="0"/>
                <w:sz w:val="24"/>
              </w:rPr>
            </w:pPr>
          </w:p>
        </w:tc>
        <w:tc>
          <w:tcPr>
            <w:tcW w:w="2961" w:type="dxa"/>
            <w:noWrap w:val="0"/>
            <w:vAlign w:val="top"/>
          </w:tcPr>
          <w:p w14:paraId="09462EA5">
            <w:pPr>
              <w:adjustRightInd w:val="0"/>
              <w:snapToGrid w:val="0"/>
              <w:spacing w:line="360" w:lineRule="auto"/>
              <w:rPr>
                <w:rFonts w:ascii="宋体" w:hAnsi="宋体"/>
                <w:kern w:val="0"/>
                <w:sz w:val="24"/>
              </w:rPr>
            </w:pPr>
          </w:p>
        </w:tc>
      </w:tr>
      <w:tr w14:paraId="4168D76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65C8D3A1">
            <w:pPr>
              <w:adjustRightInd w:val="0"/>
              <w:snapToGrid w:val="0"/>
              <w:spacing w:line="360" w:lineRule="auto"/>
              <w:rPr>
                <w:rFonts w:ascii="宋体" w:hAnsi="宋体"/>
                <w:kern w:val="0"/>
                <w:sz w:val="24"/>
              </w:rPr>
            </w:pPr>
          </w:p>
        </w:tc>
        <w:tc>
          <w:tcPr>
            <w:tcW w:w="2963" w:type="dxa"/>
            <w:noWrap w:val="0"/>
            <w:vAlign w:val="top"/>
          </w:tcPr>
          <w:p w14:paraId="42027B3A">
            <w:pPr>
              <w:adjustRightInd w:val="0"/>
              <w:snapToGrid w:val="0"/>
              <w:spacing w:line="360" w:lineRule="auto"/>
              <w:rPr>
                <w:rFonts w:ascii="宋体" w:hAnsi="宋体"/>
                <w:kern w:val="0"/>
                <w:sz w:val="24"/>
              </w:rPr>
            </w:pPr>
          </w:p>
        </w:tc>
        <w:tc>
          <w:tcPr>
            <w:tcW w:w="2439" w:type="dxa"/>
            <w:noWrap w:val="0"/>
            <w:vAlign w:val="top"/>
          </w:tcPr>
          <w:p w14:paraId="5DC25B8D">
            <w:pPr>
              <w:adjustRightInd w:val="0"/>
              <w:snapToGrid w:val="0"/>
              <w:spacing w:line="360" w:lineRule="auto"/>
              <w:rPr>
                <w:rFonts w:ascii="宋体" w:hAnsi="宋体"/>
                <w:kern w:val="0"/>
                <w:sz w:val="24"/>
              </w:rPr>
            </w:pPr>
          </w:p>
        </w:tc>
        <w:tc>
          <w:tcPr>
            <w:tcW w:w="2961" w:type="dxa"/>
            <w:noWrap w:val="0"/>
            <w:vAlign w:val="top"/>
          </w:tcPr>
          <w:p w14:paraId="3A57F128">
            <w:pPr>
              <w:adjustRightInd w:val="0"/>
              <w:snapToGrid w:val="0"/>
              <w:spacing w:line="360" w:lineRule="auto"/>
              <w:rPr>
                <w:rFonts w:ascii="宋体" w:hAnsi="宋体"/>
                <w:kern w:val="0"/>
                <w:sz w:val="24"/>
              </w:rPr>
            </w:pPr>
          </w:p>
        </w:tc>
      </w:tr>
      <w:tr w14:paraId="0ADFE2C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20F0BDB">
            <w:pPr>
              <w:adjustRightInd w:val="0"/>
              <w:snapToGrid w:val="0"/>
              <w:spacing w:line="360" w:lineRule="auto"/>
              <w:rPr>
                <w:rFonts w:ascii="宋体" w:hAnsi="宋体"/>
                <w:kern w:val="0"/>
                <w:sz w:val="24"/>
              </w:rPr>
            </w:pPr>
          </w:p>
        </w:tc>
        <w:tc>
          <w:tcPr>
            <w:tcW w:w="2963" w:type="dxa"/>
            <w:noWrap w:val="0"/>
            <w:vAlign w:val="top"/>
          </w:tcPr>
          <w:p w14:paraId="5884F7B9">
            <w:pPr>
              <w:adjustRightInd w:val="0"/>
              <w:snapToGrid w:val="0"/>
              <w:spacing w:line="360" w:lineRule="auto"/>
              <w:rPr>
                <w:rFonts w:ascii="宋体" w:hAnsi="宋体"/>
                <w:kern w:val="0"/>
                <w:sz w:val="24"/>
              </w:rPr>
            </w:pPr>
          </w:p>
        </w:tc>
        <w:tc>
          <w:tcPr>
            <w:tcW w:w="2439" w:type="dxa"/>
            <w:noWrap w:val="0"/>
            <w:vAlign w:val="top"/>
          </w:tcPr>
          <w:p w14:paraId="10DE8DCA">
            <w:pPr>
              <w:adjustRightInd w:val="0"/>
              <w:snapToGrid w:val="0"/>
              <w:spacing w:line="360" w:lineRule="auto"/>
              <w:rPr>
                <w:rFonts w:ascii="宋体" w:hAnsi="宋体"/>
                <w:kern w:val="0"/>
                <w:sz w:val="24"/>
              </w:rPr>
            </w:pPr>
          </w:p>
        </w:tc>
        <w:tc>
          <w:tcPr>
            <w:tcW w:w="2961" w:type="dxa"/>
            <w:noWrap w:val="0"/>
            <w:vAlign w:val="top"/>
          </w:tcPr>
          <w:p w14:paraId="7E3B8EFF">
            <w:pPr>
              <w:adjustRightInd w:val="0"/>
              <w:snapToGrid w:val="0"/>
              <w:spacing w:line="360" w:lineRule="auto"/>
              <w:rPr>
                <w:rFonts w:ascii="宋体" w:hAnsi="宋体"/>
                <w:kern w:val="0"/>
                <w:sz w:val="24"/>
              </w:rPr>
            </w:pPr>
          </w:p>
        </w:tc>
      </w:tr>
      <w:tr w14:paraId="16B6BF8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C5ACA4A">
            <w:pPr>
              <w:adjustRightInd w:val="0"/>
              <w:snapToGrid w:val="0"/>
              <w:spacing w:line="360" w:lineRule="auto"/>
              <w:rPr>
                <w:rFonts w:ascii="宋体" w:hAnsi="宋体"/>
                <w:kern w:val="0"/>
                <w:sz w:val="24"/>
              </w:rPr>
            </w:pPr>
          </w:p>
        </w:tc>
        <w:tc>
          <w:tcPr>
            <w:tcW w:w="2963" w:type="dxa"/>
            <w:noWrap w:val="0"/>
            <w:vAlign w:val="top"/>
          </w:tcPr>
          <w:p w14:paraId="3B4413F1">
            <w:pPr>
              <w:adjustRightInd w:val="0"/>
              <w:snapToGrid w:val="0"/>
              <w:spacing w:line="360" w:lineRule="auto"/>
              <w:rPr>
                <w:rFonts w:ascii="宋体" w:hAnsi="宋体"/>
                <w:kern w:val="0"/>
                <w:sz w:val="24"/>
              </w:rPr>
            </w:pPr>
          </w:p>
        </w:tc>
        <w:tc>
          <w:tcPr>
            <w:tcW w:w="2439" w:type="dxa"/>
            <w:noWrap w:val="0"/>
            <w:vAlign w:val="top"/>
          </w:tcPr>
          <w:p w14:paraId="5D752B28">
            <w:pPr>
              <w:adjustRightInd w:val="0"/>
              <w:snapToGrid w:val="0"/>
              <w:spacing w:line="360" w:lineRule="auto"/>
              <w:rPr>
                <w:rFonts w:ascii="宋体" w:hAnsi="宋体"/>
                <w:kern w:val="0"/>
                <w:sz w:val="24"/>
              </w:rPr>
            </w:pPr>
          </w:p>
        </w:tc>
        <w:tc>
          <w:tcPr>
            <w:tcW w:w="2961" w:type="dxa"/>
            <w:noWrap w:val="0"/>
            <w:vAlign w:val="top"/>
          </w:tcPr>
          <w:p w14:paraId="5A3C8A00">
            <w:pPr>
              <w:adjustRightInd w:val="0"/>
              <w:snapToGrid w:val="0"/>
              <w:spacing w:line="360" w:lineRule="auto"/>
              <w:rPr>
                <w:rFonts w:ascii="宋体" w:hAnsi="宋体"/>
                <w:kern w:val="0"/>
                <w:sz w:val="24"/>
              </w:rPr>
            </w:pPr>
          </w:p>
        </w:tc>
      </w:tr>
      <w:tr w14:paraId="4C8226F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5CFDDE72">
            <w:pPr>
              <w:adjustRightInd w:val="0"/>
              <w:snapToGrid w:val="0"/>
              <w:spacing w:line="360" w:lineRule="auto"/>
              <w:rPr>
                <w:rFonts w:ascii="宋体" w:hAnsi="宋体"/>
                <w:kern w:val="0"/>
                <w:sz w:val="24"/>
              </w:rPr>
            </w:pPr>
          </w:p>
        </w:tc>
        <w:tc>
          <w:tcPr>
            <w:tcW w:w="2963" w:type="dxa"/>
            <w:noWrap w:val="0"/>
            <w:vAlign w:val="top"/>
          </w:tcPr>
          <w:p w14:paraId="3550CA36">
            <w:pPr>
              <w:adjustRightInd w:val="0"/>
              <w:snapToGrid w:val="0"/>
              <w:spacing w:line="360" w:lineRule="auto"/>
              <w:rPr>
                <w:rFonts w:ascii="宋体" w:hAnsi="宋体"/>
                <w:kern w:val="0"/>
                <w:sz w:val="24"/>
              </w:rPr>
            </w:pPr>
          </w:p>
        </w:tc>
        <w:tc>
          <w:tcPr>
            <w:tcW w:w="2439" w:type="dxa"/>
            <w:noWrap w:val="0"/>
            <w:vAlign w:val="top"/>
          </w:tcPr>
          <w:p w14:paraId="5AB73C9B">
            <w:pPr>
              <w:adjustRightInd w:val="0"/>
              <w:snapToGrid w:val="0"/>
              <w:spacing w:line="360" w:lineRule="auto"/>
              <w:rPr>
                <w:rFonts w:ascii="宋体" w:hAnsi="宋体"/>
                <w:kern w:val="0"/>
                <w:sz w:val="24"/>
              </w:rPr>
            </w:pPr>
          </w:p>
        </w:tc>
        <w:tc>
          <w:tcPr>
            <w:tcW w:w="2961" w:type="dxa"/>
            <w:noWrap w:val="0"/>
            <w:vAlign w:val="top"/>
          </w:tcPr>
          <w:p w14:paraId="7E208460">
            <w:pPr>
              <w:adjustRightInd w:val="0"/>
              <w:snapToGrid w:val="0"/>
              <w:spacing w:line="360" w:lineRule="auto"/>
              <w:rPr>
                <w:rFonts w:ascii="宋体" w:hAnsi="宋体"/>
                <w:kern w:val="0"/>
                <w:sz w:val="24"/>
              </w:rPr>
            </w:pPr>
          </w:p>
        </w:tc>
      </w:tr>
      <w:tr w14:paraId="34F5EC8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5B3CA648">
            <w:pPr>
              <w:adjustRightInd w:val="0"/>
              <w:snapToGrid w:val="0"/>
              <w:spacing w:line="360" w:lineRule="auto"/>
              <w:rPr>
                <w:rFonts w:ascii="宋体" w:hAnsi="宋体"/>
                <w:kern w:val="0"/>
                <w:sz w:val="24"/>
              </w:rPr>
            </w:pPr>
          </w:p>
        </w:tc>
        <w:tc>
          <w:tcPr>
            <w:tcW w:w="2963" w:type="dxa"/>
            <w:noWrap w:val="0"/>
            <w:vAlign w:val="top"/>
          </w:tcPr>
          <w:p w14:paraId="1321E78B">
            <w:pPr>
              <w:adjustRightInd w:val="0"/>
              <w:snapToGrid w:val="0"/>
              <w:spacing w:line="360" w:lineRule="auto"/>
              <w:rPr>
                <w:rFonts w:ascii="宋体" w:hAnsi="宋体"/>
                <w:kern w:val="0"/>
                <w:sz w:val="24"/>
              </w:rPr>
            </w:pPr>
          </w:p>
        </w:tc>
        <w:tc>
          <w:tcPr>
            <w:tcW w:w="2439" w:type="dxa"/>
            <w:noWrap w:val="0"/>
            <w:vAlign w:val="top"/>
          </w:tcPr>
          <w:p w14:paraId="081FBF42">
            <w:pPr>
              <w:adjustRightInd w:val="0"/>
              <w:snapToGrid w:val="0"/>
              <w:spacing w:line="360" w:lineRule="auto"/>
              <w:rPr>
                <w:rFonts w:ascii="宋体" w:hAnsi="宋体"/>
                <w:kern w:val="0"/>
                <w:sz w:val="24"/>
              </w:rPr>
            </w:pPr>
          </w:p>
        </w:tc>
        <w:tc>
          <w:tcPr>
            <w:tcW w:w="2961" w:type="dxa"/>
            <w:noWrap w:val="0"/>
            <w:vAlign w:val="top"/>
          </w:tcPr>
          <w:p w14:paraId="6F280055">
            <w:pPr>
              <w:adjustRightInd w:val="0"/>
              <w:snapToGrid w:val="0"/>
              <w:spacing w:line="360" w:lineRule="auto"/>
              <w:rPr>
                <w:rFonts w:ascii="宋体" w:hAnsi="宋体"/>
                <w:kern w:val="0"/>
                <w:sz w:val="24"/>
              </w:rPr>
            </w:pPr>
          </w:p>
        </w:tc>
      </w:tr>
      <w:tr w14:paraId="4E28E0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58500F35">
            <w:pPr>
              <w:adjustRightInd w:val="0"/>
              <w:snapToGrid w:val="0"/>
              <w:spacing w:line="360" w:lineRule="auto"/>
              <w:rPr>
                <w:rFonts w:ascii="宋体" w:hAnsi="宋体"/>
                <w:kern w:val="0"/>
                <w:sz w:val="24"/>
              </w:rPr>
            </w:pPr>
          </w:p>
        </w:tc>
        <w:tc>
          <w:tcPr>
            <w:tcW w:w="2963" w:type="dxa"/>
            <w:noWrap w:val="0"/>
            <w:vAlign w:val="top"/>
          </w:tcPr>
          <w:p w14:paraId="426DD4ED">
            <w:pPr>
              <w:adjustRightInd w:val="0"/>
              <w:snapToGrid w:val="0"/>
              <w:spacing w:line="360" w:lineRule="auto"/>
              <w:rPr>
                <w:rFonts w:ascii="宋体" w:hAnsi="宋体"/>
                <w:kern w:val="0"/>
                <w:sz w:val="24"/>
              </w:rPr>
            </w:pPr>
          </w:p>
        </w:tc>
        <w:tc>
          <w:tcPr>
            <w:tcW w:w="2439" w:type="dxa"/>
            <w:noWrap w:val="0"/>
            <w:vAlign w:val="top"/>
          </w:tcPr>
          <w:p w14:paraId="67AA11E0">
            <w:pPr>
              <w:adjustRightInd w:val="0"/>
              <w:snapToGrid w:val="0"/>
              <w:spacing w:line="360" w:lineRule="auto"/>
              <w:rPr>
                <w:rFonts w:ascii="宋体" w:hAnsi="宋体"/>
                <w:kern w:val="0"/>
                <w:sz w:val="24"/>
              </w:rPr>
            </w:pPr>
          </w:p>
        </w:tc>
        <w:tc>
          <w:tcPr>
            <w:tcW w:w="2961" w:type="dxa"/>
            <w:noWrap w:val="0"/>
            <w:vAlign w:val="top"/>
          </w:tcPr>
          <w:p w14:paraId="670EC747">
            <w:pPr>
              <w:adjustRightInd w:val="0"/>
              <w:snapToGrid w:val="0"/>
              <w:spacing w:line="360" w:lineRule="auto"/>
              <w:rPr>
                <w:rFonts w:ascii="宋体" w:hAnsi="宋体"/>
                <w:kern w:val="0"/>
                <w:sz w:val="24"/>
              </w:rPr>
            </w:pPr>
          </w:p>
        </w:tc>
      </w:tr>
      <w:tr w14:paraId="17D273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97" w:type="dxa"/>
            <w:noWrap w:val="0"/>
            <w:vAlign w:val="top"/>
          </w:tcPr>
          <w:p w14:paraId="21AD76DB">
            <w:pPr>
              <w:adjustRightInd w:val="0"/>
              <w:snapToGrid w:val="0"/>
              <w:spacing w:line="360" w:lineRule="auto"/>
              <w:rPr>
                <w:rFonts w:ascii="宋体" w:hAnsi="宋体"/>
                <w:kern w:val="0"/>
                <w:sz w:val="24"/>
              </w:rPr>
            </w:pPr>
          </w:p>
        </w:tc>
        <w:tc>
          <w:tcPr>
            <w:tcW w:w="2963" w:type="dxa"/>
            <w:noWrap w:val="0"/>
            <w:vAlign w:val="top"/>
          </w:tcPr>
          <w:p w14:paraId="0C4E0C67">
            <w:pPr>
              <w:adjustRightInd w:val="0"/>
              <w:snapToGrid w:val="0"/>
              <w:spacing w:line="360" w:lineRule="auto"/>
              <w:rPr>
                <w:rFonts w:ascii="宋体" w:hAnsi="宋体"/>
                <w:kern w:val="0"/>
                <w:sz w:val="24"/>
              </w:rPr>
            </w:pPr>
          </w:p>
        </w:tc>
        <w:tc>
          <w:tcPr>
            <w:tcW w:w="2439" w:type="dxa"/>
            <w:noWrap w:val="0"/>
            <w:vAlign w:val="top"/>
          </w:tcPr>
          <w:p w14:paraId="5D30F57C">
            <w:pPr>
              <w:adjustRightInd w:val="0"/>
              <w:snapToGrid w:val="0"/>
              <w:spacing w:line="360" w:lineRule="auto"/>
              <w:rPr>
                <w:rFonts w:ascii="宋体" w:hAnsi="宋体"/>
                <w:kern w:val="0"/>
                <w:sz w:val="24"/>
              </w:rPr>
            </w:pPr>
          </w:p>
        </w:tc>
        <w:tc>
          <w:tcPr>
            <w:tcW w:w="2961" w:type="dxa"/>
            <w:noWrap w:val="0"/>
            <w:vAlign w:val="top"/>
          </w:tcPr>
          <w:p w14:paraId="2B31248E">
            <w:pPr>
              <w:adjustRightInd w:val="0"/>
              <w:snapToGrid w:val="0"/>
              <w:spacing w:line="360" w:lineRule="auto"/>
              <w:rPr>
                <w:rFonts w:ascii="宋体" w:hAnsi="宋体"/>
                <w:kern w:val="0"/>
                <w:sz w:val="24"/>
              </w:rPr>
            </w:pPr>
          </w:p>
        </w:tc>
      </w:tr>
    </w:tbl>
    <w:p w14:paraId="28124B32">
      <w:pPr>
        <w:widowControl/>
        <w:jc w:val="left"/>
        <w:rPr>
          <w:rFonts w:ascii="黑体" w:hAnsi="黑体" w:eastAsia="黑体"/>
          <w:bCs/>
          <w:szCs w:val="21"/>
        </w:rPr>
      </w:pPr>
      <w:r>
        <w:rPr>
          <w:rFonts w:ascii="黑体" w:hAnsi="黑体"/>
          <w:b/>
          <w:szCs w:val="21"/>
        </w:rPr>
        <w:br w:type="page"/>
      </w:r>
    </w:p>
    <w:p w14:paraId="1D0B05AB">
      <w:pPr>
        <w:keepNext/>
        <w:keepLines/>
        <w:spacing w:before="260" w:after="260" w:line="416" w:lineRule="auto"/>
        <w:outlineLvl w:val="2"/>
        <w:rPr>
          <w:b/>
          <w:bCs/>
          <w:szCs w:val="21"/>
        </w:rPr>
      </w:pPr>
      <w:bookmarkStart w:id="94" w:name="_Toc32727"/>
      <w:r>
        <w:rPr>
          <w:rFonts w:hint="eastAsia"/>
          <w:b/>
          <w:bCs/>
          <w:szCs w:val="21"/>
        </w:rPr>
        <w:t>附表3 符合性审查合格投标人名单</w:t>
      </w:r>
      <w:bookmarkEnd w:id="93"/>
      <w:bookmarkEnd w:id="94"/>
    </w:p>
    <w:p w14:paraId="75AF7BF3"/>
    <w:p w14:paraId="7716BC00">
      <w:pPr>
        <w:adjustRightInd w:val="0"/>
        <w:snapToGrid w:val="0"/>
        <w:spacing w:beforeLines="50" w:line="360" w:lineRule="auto"/>
        <w:jc w:val="center"/>
        <w:rPr>
          <w:rFonts w:ascii="黑体" w:hAnsi="黑体" w:eastAsia="黑体"/>
          <w:b/>
          <w:sz w:val="28"/>
          <w:szCs w:val="28"/>
        </w:rPr>
      </w:pPr>
      <w:r>
        <w:rPr>
          <w:rFonts w:hint="eastAsia" w:ascii="黑体" w:hAnsi="黑体" w:eastAsia="黑体"/>
          <w:b/>
          <w:sz w:val="28"/>
          <w:szCs w:val="28"/>
        </w:rPr>
        <w:t>符合性审查合格投标人名单</w:t>
      </w:r>
    </w:p>
    <w:p w14:paraId="4C8E8BC3">
      <w:pPr>
        <w:adjustRightInd w:val="0"/>
        <w:snapToGrid w:val="0"/>
        <w:spacing w:line="360" w:lineRule="auto"/>
        <w:rPr>
          <w:rFonts w:hint="eastAsia" w:ascii="宋体" w:hAnsi="宋体"/>
          <w:szCs w:val="21"/>
        </w:rPr>
      </w:pPr>
      <w:bookmarkStart w:id="95" w:name="_Toc20651230"/>
      <w:r>
        <w:rPr>
          <w:rFonts w:hint="eastAsia" w:ascii="宋体" w:hAnsi="宋体"/>
          <w:szCs w:val="21"/>
        </w:rPr>
        <w:t xml:space="preserve">项目名称：            </w:t>
      </w:r>
    </w:p>
    <w:p w14:paraId="640A21BF">
      <w:pPr>
        <w:adjustRightInd w:val="0"/>
        <w:snapToGrid w:val="0"/>
        <w:spacing w:line="360" w:lineRule="auto"/>
        <w:rPr>
          <w:rFonts w:ascii="黑体" w:hAnsi="黑体"/>
          <w:sz w:val="28"/>
          <w:szCs w:val="28"/>
        </w:rPr>
      </w:pPr>
      <w:r>
        <w:rPr>
          <w:rFonts w:hint="eastAsia" w:ascii="宋体" w:hAnsi="宋体"/>
          <w:szCs w:val="21"/>
        </w:rPr>
        <w:t xml:space="preserve">政府采购编号：   </w:t>
      </w:r>
    </w:p>
    <w:tbl>
      <w:tblPr>
        <w:tblStyle w:val="45"/>
        <w:tblW w:w="878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993"/>
        <w:gridCol w:w="7796"/>
      </w:tblGrid>
      <w:tr w14:paraId="6AACC6D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993" w:type="dxa"/>
            <w:noWrap w:val="0"/>
            <w:vAlign w:val="center"/>
          </w:tcPr>
          <w:p w14:paraId="1580669C">
            <w:pPr>
              <w:jc w:val="center"/>
              <w:rPr>
                <w:b/>
                <w:kern w:val="0"/>
                <w:szCs w:val="21"/>
              </w:rPr>
            </w:pPr>
            <w:r>
              <w:rPr>
                <w:rFonts w:hint="eastAsia"/>
                <w:b/>
                <w:kern w:val="0"/>
                <w:szCs w:val="21"/>
              </w:rPr>
              <w:t>序号</w:t>
            </w:r>
          </w:p>
        </w:tc>
        <w:tc>
          <w:tcPr>
            <w:tcW w:w="7796" w:type="dxa"/>
            <w:noWrap w:val="0"/>
            <w:vAlign w:val="center"/>
          </w:tcPr>
          <w:p w14:paraId="45C98E56">
            <w:pPr>
              <w:jc w:val="center"/>
              <w:rPr>
                <w:b/>
                <w:kern w:val="0"/>
                <w:szCs w:val="21"/>
              </w:rPr>
            </w:pPr>
            <w:r>
              <w:rPr>
                <w:rFonts w:hint="eastAsia"/>
                <w:b/>
                <w:kern w:val="0"/>
                <w:szCs w:val="21"/>
              </w:rPr>
              <w:t>合格投标人名称</w:t>
            </w:r>
          </w:p>
        </w:tc>
      </w:tr>
      <w:tr w14:paraId="359F278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6469547E">
            <w:pPr>
              <w:adjustRightInd w:val="0"/>
              <w:snapToGrid w:val="0"/>
              <w:spacing w:line="360" w:lineRule="auto"/>
              <w:rPr>
                <w:rFonts w:ascii="宋体" w:hAnsi="宋体"/>
                <w:kern w:val="0"/>
                <w:szCs w:val="21"/>
              </w:rPr>
            </w:pPr>
          </w:p>
        </w:tc>
        <w:tc>
          <w:tcPr>
            <w:tcW w:w="7796" w:type="dxa"/>
            <w:noWrap w:val="0"/>
            <w:vAlign w:val="top"/>
          </w:tcPr>
          <w:p w14:paraId="1CF07780">
            <w:pPr>
              <w:adjustRightInd w:val="0"/>
              <w:snapToGrid w:val="0"/>
              <w:spacing w:line="360" w:lineRule="auto"/>
              <w:rPr>
                <w:rFonts w:ascii="宋体" w:hAnsi="宋体"/>
                <w:kern w:val="0"/>
                <w:szCs w:val="21"/>
              </w:rPr>
            </w:pPr>
          </w:p>
        </w:tc>
      </w:tr>
      <w:tr w14:paraId="3AD110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5FE25063">
            <w:pPr>
              <w:adjustRightInd w:val="0"/>
              <w:snapToGrid w:val="0"/>
              <w:spacing w:line="360" w:lineRule="auto"/>
              <w:rPr>
                <w:rFonts w:ascii="宋体" w:hAnsi="宋体"/>
                <w:kern w:val="0"/>
                <w:sz w:val="24"/>
              </w:rPr>
            </w:pPr>
          </w:p>
        </w:tc>
        <w:tc>
          <w:tcPr>
            <w:tcW w:w="7796" w:type="dxa"/>
            <w:noWrap w:val="0"/>
            <w:vAlign w:val="top"/>
          </w:tcPr>
          <w:p w14:paraId="74256227">
            <w:pPr>
              <w:adjustRightInd w:val="0"/>
              <w:snapToGrid w:val="0"/>
              <w:spacing w:line="360" w:lineRule="auto"/>
              <w:rPr>
                <w:rFonts w:ascii="宋体" w:hAnsi="宋体"/>
                <w:kern w:val="0"/>
                <w:sz w:val="24"/>
              </w:rPr>
            </w:pPr>
          </w:p>
        </w:tc>
      </w:tr>
      <w:tr w14:paraId="717F29B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2E61F561">
            <w:pPr>
              <w:adjustRightInd w:val="0"/>
              <w:snapToGrid w:val="0"/>
              <w:spacing w:line="360" w:lineRule="auto"/>
              <w:rPr>
                <w:rFonts w:ascii="宋体" w:hAnsi="宋体"/>
                <w:kern w:val="0"/>
                <w:sz w:val="24"/>
              </w:rPr>
            </w:pPr>
          </w:p>
        </w:tc>
        <w:tc>
          <w:tcPr>
            <w:tcW w:w="7796" w:type="dxa"/>
            <w:noWrap w:val="0"/>
            <w:vAlign w:val="top"/>
          </w:tcPr>
          <w:p w14:paraId="236EA4C6">
            <w:pPr>
              <w:adjustRightInd w:val="0"/>
              <w:snapToGrid w:val="0"/>
              <w:spacing w:line="360" w:lineRule="auto"/>
              <w:rPr>
                <w:rFonts w:ascii="宋体" w:hAnsi="宋体"/>
                <w:kern w:val="0"/>
                <w:sz w:val="24"/>
              </w:rPr>
            </w:pPr>
          </w:p>
        </w:tc>
      </w:tr>
      <w:tr w14:paraId="2073EE1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7D6337C8">
            <w:pPr>
              <w:adjustRightInd w:val="0"/>
              <w:snapToGrid w:val="0"/>
              <w:spacing w:line="360" w:lineRule="auto"/>
              <w:rPr>
                <w:rFonts w:ascii="宋体" w:hAnsi="宋体"/>
                <w:kern w:val="0"/>
                <w:sz w:val="24"/>
              </w:rPr>
            </w:pPr>
          </w:p>
        </w:tc>
        <w:tc>
          <w:tcPr>
            <w:tcW w:w="7796" w:type="dxa"/>
            <w:noWrap w:val="0"/>
            <w:vAlign w:val="top"/>
          </w:tcPr>
          <w:p w14:paraId="21C4E5C8">
            <w:pPr>
              <w:adjustRightInd w:val="0"/>
              <w:snapToGrid w:val="0"/>
              <w:spacing w:line="360" w:lineRule="auto"/>
              <w:rPr>
                <w:rFonts w:ascii="宋体" w:hAnsi="宋体"/>
                <w:kern w:val="0"/>
                <w:sz w:val="24"/>
              </w:rPr>
            </w:pPr>
          </w:p>
        </w:tc>
      </w:tr>
      <w:tr w14:paraId="492B2DA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40BC8415">
            <w:pPr>
              <w:adjustRightInd w:val="0"/>
              <w:snapToGrid w:val="0"/>
              <w:spacing w:line="360" w:lineRule="auto"/>
              <w:rPr>
                <w:rFonts w:ascii="宋体" w:hAnsi="宋体"/>
                <w:kern w:val="0"/>
                <w:sz w:val="24"/>
              </w:rPr>
            </w:pPr>
          </w:p>
        </w:tc>
        <w:tc>
          <w:tcPr>
            <w:tcW w:w="7796" w:type="dxa"/>
            <w:noWrap w:val="0"/>
            <w:vAlign w:val="top"/>
          </w:tcPr>
          <w:p w14:paraId="563F4175">
            <w:pPr>
              <w:adjustRightInd w:val="0"/>
              <w:snapToGrid w:val="0"/>
              <w:spacing w:line="360" w:lineRule="auto"/>
              <w:rPr>
                <w:rFonts w:ascii="宋体" w:hAnsi="宋体"/>
                <w:kern w:val="0"/>
                <w:sz w:val="24"/>
              </w:rPr>
            </w:pPr>
          </w:p>
        </w:tc>
      </w:tr>
      <w:tr w14:paraId="28DD36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993" w:type="dxa"/>
            <w:noWrap w:val="0"/>
            <w:vAlign w:val="top"/>
          </w:tcPr>
          <w:p w14:paraId="6C90821A">
            <w:pPr>
              <w:adjustRightInd w:val="0"/>
              <w:snapToGrid w:val="0"/>
              <w:spacing w:line="360" w:lineRule="auto"/>
              <w:rPr>
                <w:rFonts w:ascii="宋体" w:hAnsi="宋体"/>
                <w:kern w:val="0"/>
                <w:sz w:val="24"/>
              </w:rPr>
            </w:pPr>
          </w:p>
        </w:tc>
        <w:tc>
          <w:tcPr>
            <w:tcW w:w="7796" w:type="dxa"/>
            <w:noWrap w:val="0"/>
            <w:vAlign w:val="top"/>
          </w:tcPr>
          <w:p w14:paraId="34F72957">
            <w:pPr>
              <w:adjustRightInd w:val="0"/>
              <w:snapToGrid w:val="0"/>
              <w:spacing w:line="360" w:lineRule="auto"/>
              <w:rPr>
                <w:rFonts w:ascii="宋体" w:hAnsi="宋体"/>
                <w:kern w:val="0"/>
                <w:sz w:val="24"/>
              </w:rPr>
            </w:pPr>
          </w:p>
        </w:tc>
      </w:tr>
    </w:tbl>
    <w:p w14:paraId="4296F1B0">
      <w:pPr>
        <w:rPr>
          <w:w w:val="90"/>
        </w:rPr>
      </w:pPr>
    </w:p>
    <w:p w14:paraId="5DD4F150"/>
    <w:p w14:paraId="5C9D2431"/>
    <w:bookmarkEnd w:id="95"/>
    <w:p w14:paraId="3C472944">
      <w:pPr>
        <w:widowControl/>
        <w:jc w:val="left"/>
        <w:rPr>
          <w:rFonts w:ascii="黑体" w:hAnsi="华文中宋" w:eastAsia="黑体"/>
          <w:b/>
          <w:bCs/>
          <w:sz w:val="32"/>
          <w:szCs w:val="32"/>
        </w:rPr>
      </w:pPr>
      <w:bookmarkStart w:id="96" w:name="_Toc20651233"/>
      <w:r>
        <w:rPr>
          <w:rFonts w:ascii="黑体" w:hAnsi="华文中宋" w:eastAsia="黑体"/>
          <w:sz w:val="32"/>
          <w:szCs w:val="32"/>
        </w:rPr>
        <w:br w:type="page"/>
      </w:r>
    </w:p>
    <w:p w14:paraId="35A0E36C">
      <w:pPr>
        <w:keepNext/>
        <w:keepLines/>
        <w:adjustRightInd w:val="0"/>
        <w:snapToGrid w:val="0"/>
        <w:spacing w:line="360" w:lineRule="auto"/>
        <w:jc w:val="center"/>
        <w:outlineLvl w:val="1"/>
        <w:rPr>
          <w:rFonts w:ascii="黑体" w:hAnsi="华文中宋" w:eastAsia="黑体"/>
          <w:b/>
          <w:bCs/>
          <w:sz w:val="28"/>
          <w:szCs w:val="28"/>
        </w:rPr>
      </w:pPr>
      <w:bookmarkStart w:id="97" w:name="_Toc17449"/>
      <w:r>
        <w:rPr>
          <w:rFonts w:hint="eastAsia" w:ascii="黑体" w:hAnsi="华文中宋" w:eastAsia="黑体"/>
          <w:b/>
          <w:bCs/>
          <w:sz w:val="28"/>
          <w:szCs w:val="28"/>
        </w:rPr>
        <w:t>第四节 投标文件的比较与评价（综合评分法）</w:t>
      </w:r>
      <w:bookmarkEnd w:id="97"/>
    </w:p>
    <w:p w14:paraId="0D3696A9">
      <w:pPr>
        <w:widowControl/>
        <w:adjustRightInd w:val="0"/>
        <w:snapToGrid w:val="0"/>
        <w:spacing w:beforeLines="50" w:line="360" w:lineRule="auto"/>
        <w:jc w:val="left"/>
        <w:rPr>
          <w:rFonts w:ascii="黑体" w:hAnsi="黑体" w:eastAsia="黑体"/>
          <w:b/>
          <w:color w:val="000000"/>
          <w:sz w:val="24"/>
        </w:rPr>
      </w:pPr>
      <w:r>
        <w:rPr>
          <w:rFonts w:hint="eastAsia" w:ascii="黑体" w:hAnsi="黑体" w:eastAsia="黑体"/>
          <w:b/>
          <w:color w:val="000000"/>
          <w:sz w:val="24"/>
        </w:rPr>
        <w:t>1.综合评分法</w:t>
      </w:r>
    </w:p>
    <w:p w14:paraId="43049C64">
      <w:pPr>
        <w:adjustRightInd w:val="0"/>
        <w:snapToGrid w:val="0"/>
        <w:spacing w:beforeLines="50" w:line="360" w:lineRule="auto"/>
        <w:ind w:firstLine="480" w:firstLineChars="200"/>
        <w:jc w:val="left"/>
        <w:rPr>
          <w:rFonts w:ascii="宋体" w:hAnsi="宋体"/>
          <w:bCs/>
          <w:color w:val="000000"/>
          <w:szCs w:val="21"/>
        </w:rPr>
      </w:pPr>
      <w:r>
        <w:rPr>
          <w:rFonts w:hint="eastAsia" w:ascii="宋体" w:hAnsi="宋体"/>
          <w:bCs/>
          <w:color w:val="000000"/>
          <w:szCs w:val="21"/>
        </w:rPr>
        <w:t>1.1综合评分法，指投标文件满足招标文件全部实质性要求，且按照评审因素的量化指标评审得分最高的投标人为中标候选人的评标方法。</w:t>
      </w:r>
    </w:p>
    <w:p w14:paraId="4B8F92F8">
      <w:pPr>
        <w:adjustRightInd w:val="0"/>
        <w:snapToGrid w:val="0"/>
        <w:spacing w:beforeLines="50" w:line="360" w:lineRule="auto"/>
        <w:ind w:firstLine="480" w:firstLineChars="200"/>
        <w:jc w:val="left"/>
        <w:rPr>
          <w:rFonts w:ascii="宋体" w:hAnsi="宋体"/>
          <w:bCs/>
          <w:color w:val="000000"/>
          <w:szCs w:val="21"/>
        </w:rPr>
      </w:pPr>
      <w:r>
        <w:rPr>
          <w:rFonts w:hint="eastAsia" w:ascii="宋体" w:hAnsi="宋体"/>
          <w:bCs/>
          <w:color w:val="000000"/>
          <w:szCs w:val="21"/>
        </w:rPr>
        <w:t>1.2评标因素：评审因素的设定应当与投标人所提供货物服务的质量相关，包括投标报价、技术或者服务水平、履约能力、售后服务等，但不包括第一章投标人的资格要求。本采购项目的评标因素和标准见本章本节附页1“评标方法及标准表”。</w:t>
      </w:r>
    </w:p>
    <w:p w14:paraId="6B2EB5DD">
      <w:pPr>
        <w:adjustRightInd w:val="0"/>
        <w:snapToGrid w:val="0"/>
        <w:spacing w:beforeLines="50" w:line="360" w:lineRule="auto"/>
        <w:ind w:firstLine="480" w:firstLineChars="200"/>
        <w:jc w:val="left"/>
        <w:rPr>
          <w:rFonts w:ascii="宋体" w:hAnsi="宋体"/>
          <w:bCs/>
          <w:color w:val="000000"/>
          <w:szCs w:val="21"/>
        </w:rPr>
      </w:pPr>
      <w:r>
        <w:rPr>
          <w:rFonts w:hint="eastAsia" w:ascii="宋体" w:hAnsi="宋体"/>
          <w:bCs/>
          <w:color w:val="000000"/>
          <w:szCs w:val="21"/>
        </w:rPr>
        <w:t>1.3未通过符合性审查的投标文件不得进入比较与评价。</w:t>
      </w:r>
    </w:p>
    <w:p w14:paraId="4B07578E">
      <w:pPr>
        <w:adjustRightInd w:val="0"/>
        <w:snapToGrid w:val="0"/>
        <w:spacing w:beforeLines="50" w:line="360" w:lineRule="auto"/>
        <w:jc w:val="left"/>
        <w:rPr>
          <w:rFonts w:ascii="黑体" w:hAnsi="黑体" w:eastAsia="黑体"/>
          <w:b/>
          <w:bCs/>
          <w:color w:val="000000"/>
          <w:sz w:val="24"/>
        </w:rPr>
      </w:pPr>
      <w:r>
        <w:rPr>
          <w:rFonts w:hint="eastAsia" w:ascii="黑体" w:hAnsi="黑体" w:eastAsia="黑体"/>
          <w:b/>
          <w:bCs/>
          <w:color w:val="000000"/>
          <w:sz w:val="24"/>
        </w:rPr>
        <w:t>2.投标报价的算术修正及政府采购政策调整</w:t>
      </w:r>
    </w:p>
    <w:p w14:paraId="556DDB66">
      <w:pPr>
        <w:adjustRightInd w:val="0"/>
        <w:snapToGrid w:val="0"/>
        <w:spacing w:beforeLines="50" w:line="360" w:lineRule="auto"/>
        <w:ind w:firstLine="480" w:firstLineChars="200"/>
        <w:jc w:val="left"/>
        <w:rPr>
          <w:rFonts w:ascii="宋体" w:hAnsi="宋体"/>
          <w:bCs/>
          <w:color w:val="000000"/>
          <w:szCs w:val="21"/>
        </w:rPr>
      </w:pPr>
      <w:r>
        <w:rPr>
          <w:rFonts w:hint="eastAsia" w:ascii="宋体" w:hAnsi="宋体"/>
          <w:bCs/>
          <w:color w:val="000000"/>
          <w:szCs w:val="21"/>
        </w:rPr>
        <w:t>2.1如果有算术错误，投标报价将按本章第二节第4.2款、第4.3款规定进行算术修正。</w:t>
      </w:r>
    </w:p>
    <w:p w14:paraId="556F9CB6">
      <w:pPr>
        <w:adjustRightInd w:val="0"/>
        <w:snapToGrid w:val="0"/>
        <w:spacing w:beforeLines="50" w:line="360" w:lineRule="auto"/>
        <w:ind w:firstLine="480" w:firstLineChars="200"/>
        <w:jc w:val="left"/>
        <w:rPr>
          <w:rFonts w:ascii="宋体" w:hAnsi="宋体"/>
          <w:bCs/>
          <w:color w:val="000000"/>
          <w:szCs w:val="21"/>
        </w:rPr>
      </w:pPr>
      <w:r>
        <w:rPr>
          <w:rFonts w:hint="eastAsia" w:ascii="宋体" w:hAnsi="宋体"/>
          <w:bCs/>
          <w:color w:val="000000"/>
          <w:szCs w:val="21"/>
        </w:rPr>
        <w:t>2.2需落实政府采购政策（价格评审优惠）的，按第二章“投标须知”及本章第二节第</w:t>
      </w:r>
      <w:r>
        <w:rPr>
          <w:rFonts w:ascii="宋体" w:hAnsi="宋体"/>
          <w:bCs/>
          <w:color w:val="000000"/>
          <w:szCs w:val="21"/>
        </w:rPr>
        <w:t>5.3</w:t>
      </w:r>
      <w:r>
        <w:rPr>
          <w:rFonts w:hint="eastAsia" w:ascii="宋体" w:hAnsi="宋体"/>
          <w:bCs/>
          <w:color w:val="000000"/>
          <w:szCs w:val="21"/>
        </w:rPr>
        <w:t>（1）项的相关规定进行价格调整。</w:t>
      </w:r>
    </w:p>
    <w:p w14:paraId="53B008C3">
      <w:pPr>
        <w:adjustRightInd w:val="0"/>
        <w:snapToGrid w:val="0"/>
        <w:spacing w:beforeLines="50" w:line="360" w:lineRule="auto"/>
        <w:ind w:firstLine="480" w:firstLineChars="200"/>
        <w:jc w:val="left"/>
        <w:rPr>
          <w:rFonts w:ascii="宋体" w:hAnsi="宋体"/>
          <w:bCs/>
          <w:color w:val="000000"/>
          <w:szCs w:val="21"/>
        </w:rPr>
      </w:pPr>
      <w:r>
        <w:rPr>
          <w:rFonts w:hint="eastAsia" w:ascii="宋体" w:hAnsi="宋体"/>
          <w:bCs/>
          <w:color w:val="000000"/>
          <w:szCs w:val="21"/>
        </w:rPr>
        <w:t>2.3按本章本节第2.1款、第2.2款规定，以修正或调整后的价格确定投标人的投标报价和评标基准价，用于投标报价评价。</w:t>
      </w:r>
    </w:p>
    <w:p w14:paraId="617D40A8">
      <w:pPr>
        <w:adjustRightInd w:val="0"/>
        <w:snapToGrid w:val="0"/>
        <w:spacing w:beforeLines="50" w:line="360" w:lineRule="auto"/>
        <w:jc w:val="left"/>
        <w:rPr>
          <w:rFonts w:ascii="黑体" w:hAnsi="黑体" w:eastAsia="黑体"/>
          <w:b/>
          <w:bCs/>
          <w:sz w:val="24"/>
        </w:rPr>
      </w:pPr>
      <w:r>
        <w:rPr>
          <w:rFonts w:hint="eastAsia" w:ascii="黑体" w:hAnsi="黑体" w:eastAsia="黑体"/>
          <w:b/>
          <w:bCs/>
          <w:sz w:val="24"/>
        </w:rPr>
        <w:t>3.投标报价评价</w:t>
      </w:r>
    </w:p>
    <w:p w14:paraId="50592C8F">
      <w:pPr>
        <w:adjustRightInd w:val="0"/>
        <w:snapToGrid w:val="0"/>
        <w:spacing w:beforeLines="50" w:line="360" w:lineRule="auto"/>
        <w:ind w:firstLine="480" w:firstLineChars="200"/>
        <w:jc w:val="left"/>
        <w:rPr>
          <w:rFonts w:ascii="宋体" w:hAnsi="宋体"/>
          <w:szCs w:val="21"/>
        </w:rPr>
      </w:pPr>
      <w:r>
        <w:rPr>
          <w:rFonts w:hint="eastAsia" w:ascii="宋体" w:hAnsi="宋体"/>
          <w:szCs w:val="21"/>
        </w:rPr>
        <w:t>3.1投标报价评价：价格分应当采用低价优先法计算，即满足招标文件要求且投标价格最低的投标报价为评标基准价，其价格分为满分（报价权重分）。其他投标人的价格分统一按照下列公式计算：</w:t>
      </w:r>
    </w:p>
    <w:p w14:paraId="41178D36">
      <w:pPr>
        <w:adjustRightInd w:val="0"/>
        <w:snapToGrid w:val="0"/>
        <w:spacing w:beforeLines="50" w:line="360" w:lineRule="auto"/>
        <w:ind w:firstLine="480" w:firstLineChars="200"/>
        <w:jc w:val="left"/>
        <w:rPr>
          <w:rFonts w:ascii="宋体" w:hAnsi="宋体"/>
          <w:szCs w:val="21"/>
        </w:rPr>
      </w:pPr>
      <w:r>
        <w:rPr>
          <w:rFonts w:hint="eastAsia" w:ascii="宋体" w:hAnsi="宋体"/>
          <w:szCs w:val="21"/>
        </w:rPr>
        <w:t>投标报价得分=（评标基准价</w:t>
      </w:r>
      <w:r>
        <w:rPr>
          <w:rFonts w:hint="eastAsia" w:ascii="宋体" w:hAnsi="宋体"/>
          <w:szCs w:val="21"/>
          <w:vertAlign w:val="subscript"/>
        </w:rPr>
        <w:t>修正或调整</w:t>
      </w:r>
      <w:r>
        <w:rPr>
          <w:rFonts w:hint="eastAsia" w:ascii="宋体" w:hAnsi="宋体"/>
          <w:szCs w:val="21"/>
        </w:rPr>
        <w:t>／投标报价</w:t>
      </w:r>
      <w:r>
        <w:rPr>
          <w:rFonts w:hint="eastAsia" w:ascii="宋体" w:hAnsi="宋体"/>
          <w:szCs w:val="21"/>
          <w:vertAlign w:val="subscript"/>
        </w:rPr>
        <w:t>修正或调整</w:t>
      </w:r>
      <w:r>
        <w:rPr>
          <w:rFonts w:hint="eastAsia" w:ascii="宋体" w:hAnsi="宋体"/>
          <w:szCs w:val="21"/>
        </w:rPr>
        <w:t>） × 报价权重分</w:t>
      </w:r>
    </w:p>
    <w:p w14:paraId="1C54D7CB">
      <w:pPr>
        <w:adjustRightInd w:val="0"/>
        <w:snapToGrid w:val="0"/>
        <w:spacing w:beforeLines="50" w:line="360" w:lineRule="auto"/>
        <w:jc w:val="left"/>
        <w:rPr>
          <w:rFonts w:ascii="黑体" w:hAnsi="黑体" w:eastAsia="黑体"/>
          <w:sz w:val="24"/>
        </w:rPr>
      </w:pPr>
      <w:r>
        <w:rPr>
          <w:rFonts w:hint="eastAsia" w:ascii="黑体" w:hAnsi="黑体" w:eastAsia="黑体"/>
          <w:bCs/>
          <w:sz w:val="24"/>
        </w:rPr>
        <w:t>4.</w:t>
      </w:r>
      <w:r>
        <w:rPr>
          <w:rFonts w:hint="eastAsia" w:ascii="黑体" w:hAnsi="黑体" w:eastAsia="黑体"/>
          <w:sz w:val="24"/>
        </w:rPr>
        <w:t>技术、商务等评分项响应评价及政府采购政策加分</w:t>
      </w:r>
    </w:p>
    <w:p w14:paraId="0E09436A">
      <w:pPr>
        <w:adjustRightInd w:val="0"/>
        <w:snapToGrid w:val="0"/>
        <w:spacing w:beforeLines="50" w:line="360" w:lineRule="auto"/>
        <w:ind w:firstLine="480" w:firstLineChars="200"/>
        <w:jc w:val="left"/>
        <w:rPr>
          <w:rFonts w:ascii="宋体" w:hAnsi="宋体"/>
          <w:szCs w:val="21"/>
        </w:rPr>
      </w:pPr>
      <w:r>
        <w:rPr>
          <w:rFonts w:hint="eastAsia" w:ascii="宋体" w:hAnsi="宋体"/>
          <w:szCs w:val="21"/>
        </w:rPr>
        <w:t>4.1技术、商务等评分项响应评分。按</w:t>
      </w:r>
      <w:r>
        <w:rPr>
          <w:rFonts w:hint="eastAsia" w:ascii="宋体" w:hAnsi="宋体"/>
          <w:bCs/>
          <w:color w:val="000000"/>
          <w:szCs w:val="21"/>
        </w:rPr>
        <w:t>本章</w:t>
      </w:r>
      <w:r>
        <w:rPr>
          <w:rFonts w:hint="eastAsia" w:ascii="宋体" w:hAnsi="宋体"/>
          <w:szCs w:val="21"/>
        </w:rPr>
        <w:t>本节附页1“评标方法及标准表”规定的评标因素和标准，对技术、商务等评分项计算得分。</w:t>
      </w:r>
    </w:p>
    <w:p w14:paraId="4C26BC73">
      <w:pPr>
        <w:adjustRightInd w:val="0"/>
        <w:snapToGrid w:val="0"/>
        <w:spacing w:beforeLines="50" w:line="360" w:lineRule="auto"/>
        <w:ind w:firstLine="480" w:firstLineChars="200"/>
        <w:jc w:val="left"/>
        <w:rPr>
          <w:rFonts w:ascii="宋体" w:hAnsi="宋体"/>
          <w:szCs w:val="21"/>
        </w:rPr>
      </w:pPr>
      <w:r>
        <w:rPr>
          <w:rFonts w:hint="eastAsia" w:ascii="宋体" w:hAnsi="宋体"/>
          <w:szCs w:val="21"/>
        </w:rPr>
        <w:t>4.2需落实政府采购政策（优先采购）的，按第二章、本章第二节第5.3（2）项以及本节附页1“评标方法及标准表”的相关规定进行技术、价格、商务项得分(加分)计算。</w:t>
      </w:r>
    </w:p>
    <w:p w14:paraId="0D8B1ABE">
      <w:pPr>
        <w:adjustRightInd w:val="0"/>
        <w:snapToGrid w:val="0"/>
        <w:spacing w:beforeLines="50" w:line="360" w:lineRule="auto"/>
        <w:jc w:val="left"/>
        <w:rPr>
          <w:rFonts w:ascii="黑体" w:hAnsi="黑体" w:eastAsia="黑体"/>
          <w:b/>
          <w:sz w:val="24"/>
        </w:rPr>
      </w:pPr>
      <w:r>
        <w:rPr>
          <w:rFonts w:hint="eastAsia" w:ascii="黑体" w:hAnsi="黑体" w:eastAsia="黑体"/>
          <w:b/>
          <w:sz w:val="24"/>
        </w:rPr>
        <w:t>5.评标总得分</w:t>
      </w:r>
    </w:p>
    <w:p w14:paraId="2E152A80">
      <w:pPr>
        <w:adjustRightInd w:val="0"/>
        <w:snapToGrid w:val="0"/>
        <w:spacing w:beforeLines="50" w:line="360" w:lineRule="auto"/>
        <w:ind w:firstLine="480" w:firstLineChars="200"/>
        <w:jc w:val="left"/>
        <w:rPr>
          <w:rFonts w:ascii="宋体" w:hAnsi="宋体"/>
          <w:szCs w:val="21"/>
        </w:rPr>
      </w:pPr>
      <w:r>
        <w:rPr>
          <w:rFonts w:hint="eastAsia" w:ascii="宋体" w:hAnsi="宋体"/>
          <w:szCs w:val="21"/>
        </w:rPr>
        <w:t>5.1评标总得分为投标报价、技术、商务等评分项得分(含优先采购政策加分)之和。</w:t>
      </w:r>
    </w:p>
    <w:p w14:paraId="3F193522">
      <w:pPr>
        <w:adjustRightInd w:val="0"/>
        <w:snapToGrid w:val="0"/>
        <w:spacing w:beforeLines="50" w:line="360" w:lineRule="auto"/>
        <w:ind w:firstLine="480" w:firstLineChars="200"/>
        <w:jc w:val="left"/>
        <w:rPr>
          <w:rFonts w:ascii="宋体" w:hAnsi="宋体"/>
          <w:szCs w:val="21"/>
        </w:rPr>
      </w:pPr>
      <w:r>
        <w:rPr>
          <w:rFonts w:hint="eastAsia" w:ascii="宋体" w:hAnsi="宋体"/>
          <w:szCs w:val="21"/>
        </w:rPr>
        <w:t>评标总得分＝A</w:t>
      </w:r>
      <w:r>
        <w:rPr>
          <w:rFonts w:hint="eastAsia" w:ascii="宋体" w:hAnsi="宋体"/>
          <w:szCs w:val="21"/>
          <w:vertAlign w:val="subscript"/>
        </w:rPr>
        <w:t>投标报价得分</w:t>
      </w:r>
      <w:r>
        <w:rPr>
          <w:rFonts w:hint="eastAsia" w:ascii="宋体" w:hAnsi="宋体"/>
          <w:szCs w:val="21"/>
        </w:rPr>
        <w:t>＋A</w:t>
      </w:r>
      <w:r>
        <w:rPr>
          <w:rFonts w:hint="eastAsia" w:ascii="宋体" w:hAnsi="宋体"/>
          <w:szCs w:val="21"/>
          <w:vertAlign w:val="subscript"/>
        </w:rPr>
        <w:t>技术项得分</w:t>
      </w:r>
      <w:r>
        <w:rPr>
          <w:rFonts w:hint="eastAsia" w:ascii="宋体" w:hAnsi="宋体"/>
          <w:szCs w:val="21"/>
        </w:rPr>
        <w:t>＋A</w:t>
      </w:r>
      <w:r>
        <w:rPr>
          <w:rFonts w:hint="eastAsia" w:ascii="宋体" w:hAnsi="宋体"/>
          <w:szCs w:val="21"/>
          <w:vertAlign w:val="subscript"/>
        </w:rPr>
        <w:t>商务项得分</w:t>
      </w:r>
      <w:r>
        <w:rPr>
          <w:rFonts w:hint="eastAsia" w:ascii="宋体" w:hAnsi="宋体"/>
          <w:szCs w:val="21"/>
        </w:rPr>
        <w:t>＋A</w:t>
      </w:r>
      <w:r>
        <w:rPr>
          <w:rFonts w:hint="eastAsia" w:ascii="宋体" w:hAnsi="宋体"/>
          <w:szCs w:val="21"/>
          <w:vertAlign w:val="subscript"/>
        </w:rPr>
        <w:t>优先采购加分</w:t>
      </w:r>
    </w:p>
    <w:p w14:paraId="1B2706AB">
      <w:pPr>
        <w:adjustRightInd w:val="0"/>
        <w:snapToGrid w:val="0"/>
        <w:spacing w:beforeLines="50" w:line="360" w:lineRule="auto"/>
        <w:ind w:firstLine="480" w:firstLineChars="200"/>
        <w:jc w:val="left"/>
        <w:rPr>
          <w:rFonts w:ascii="宋体" w:hAnsi="宋体"/>
          <w:szCs w:val="21"/>
        </w:rPr>
      </w:pPr>
      <w:r>
        <w:rPr>
          <w:rFonts w:hint="eastAsia" w:ascii="宋体" w:hAnsi="宋体"/>
          <w:szCs w:val="21"/>
        </w:rPr>
        <w:t>5.2评分分值计算保留小数点后两位，小数点后第三位“四舍五入”。</w:t>
      </w:r>
    </w:p>
    <w:p w14:paraId="037AF65D">
      <w:pPr>
        <w:adjustRightInd w:val="0"/>
        <w:snapToGrid w:val="0"/>
        <w:spacing w:beforeLines="50" w:line="360" w:lineRule="auto"/>
        <w:ind w:firstLine="480" w:firstLineChars="200"/>
        <w:jc w:val="left"/>
        <w:rPr>
          <w:rFonts w:ascii="宋体" w:hAnsi="宋体"/>
          <w:szCs w:val="21"/>
        </w:rPr>
      </w:pPr>
      <w:r>
        <w:rPr>
          <w:rFonts w:hint="eastAsia" w:ascii="宋体" w:hAnsi="宋体" w:cs="宋体"/>
          <w:kern w:val="0"/>
          <w:szCs w:val="21"/>
        </w:rPr>
        <w:t>5.3</w:t>
      </w:r>
      <w:r>
        <w:rPr>
          <w:rFonts w:hint="eastAsia" w:ascii="宋体" w:hAnsi="宋体"/>
          <w:szCs w:val="21"/>
        </w:rPr>
        <w:t>评标时，评标委员会成员应当独立对满足招标文件全部实质性要求投标人的</w:t>
      </w:r>
      <w:r>
        <w:rPr>
          <w:rFonts w:hint="eastAsia" w:ascii="宋体" w:hAnsi="宋体"/>
          <w:bCs/>
          <w:szCs w:val="21"/>
        </w:rPr>
        <w:t>投标文件</w:t>
      </w:r>
      <w:r>
        <w:rPr>
          <w:rFonts w:hint="eastAsia" w:ascii="宋体" w:hAnsi="宋体"/>
          <w:szCs w:val="21"/>
        </w:rPr>
        <w:t>进行评价、评分，然后汇总每个投标人每项评分因素的得分。每个投标人的最终得分为所有评标委员会成员评分的算术平均值。</w:t>
      </w:r>
    </w:p>
    <w:p w14:paraId="2C0CC0B1">
      <w:pPr>
        <w:adjustRightInd w:val="0"/>
        <w:snapToGrid w:val="0"/>
        <w:spacing w:beforeLines="50" w:line="360" w:lineRule="auto"/>
        <w:jc w:val="left"/>
        <w:rPr>
          <w:rFonts w:ascii="黑体" w:hAnsi="黑体" w:eastAsia="黑体"/>
          <w:b/>
          <w:bCs/>
          <w:sz w:val="24"/>
        </w:rPr>
      </w:pPr>
      <w:r>
        <w:rPr>
          <w:rFonts w:hint="eastAsia" w:ascii="黑体" w:hAnsi="黑体" w:eastAsia="黑体"/>
          <w:b/>
          <w:bCs/>
          <w:sz w:val="24"/>
        </w:rPr>
        <w:t>6.中标候选人的推荐方法</w:t>
      </w:r>
    </w:p>
    <w:p w14:paraId="1B9818F9">
      <w:pPr>
        <w:adjustRightInd w:val="0"/>
        <w:snapToGrid w:val="0"/>
        <w:spacing w:beforeLines="50" w:line="360" w:lineRule="auto"/>
        <w:ind w:firstLine="480" w:firstLineChars="200"/>
        <w:jc w:val="left"/>
        <w:rPr>
          <w:rFonts w:ascii="宋体" w:hAnsi="宋体"/>
          <w:bCs/>
          <w:szCs w:val="21"/>
        </w:rPr>
      </w:pPr>
      <w:r>
        <w:rPr>
          <w:rFonts w:hint="eastAsia" w:ascii="宋体" w:hAnsi="宋体"/>
          <w:bCs/>
          <w:szCs w:val="21"/>
        </w:rPr>
        <w:t>6.1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14:paraId="6BBCC028">
      <w:pPr>
        <w:adjustRightInd w:val="0"/>
        <w:snapToGrid w:val="0"/>
        <w:spacing w:beforeLines="50" w:line="360" w:lineRule="auto"/>
        <w:ind w:firstLine="480" w:firstLineChars="200"/>
        <w:jc w:val="left"/>
        <w:rPr>
          <w:rFonts w:ascii="宋体" w:hAnsi="宋体"/>
          <w:bCs/>
          <w:szCs w:val="21"/>
        </w:rPr>
      </w:pPr>
      <w:r>
        <w:rPr>
          <w:rFonts w:hint="eastAsia" w:ascii="宋体" w:hAnsi="宋体"/>
          <w:bCs/>
          <w:szCs w:val="21"/>
        </w:rPr>
        <w:t>6.2得分且投标报价相同的并列，按本章第二节规定确定中标候选人。</w:t>
      </w:r>
    </w:p>
    <w:p w14:paraId="7A6FEF96">
      <w:pPr>
        <w:adjustRightInd w:val="0"/>
        <w:snapToGrid w:val="0"/>
        <w:spacing w:beforeLines="50" w:line="360" w:lineRule="auto"/>
        <w:ind w:firstLine="480" w:firstLineChars="200"/>
        <w:jc w:val="left"/>
        <w:rPr>
          <w:rFonts w:ascii="宋体" w:hAnsi="宋体"/>
          <w:bCs/>
          <w:szCs w:val="21"/>
        </w:rPr>
        <w:sectPr>
          <w:footerReference r:id="rId11" w:type="first"/>
          <w:footerReference r:id="rId10" w:type="default"/>
          <w:pgSz w:w="11906" w:h="16838"/>
          <w:pgMar w:top="1134" w:right="1701" w:bottom="1134" w:left="1701" w:header="851" w:footer="992" w:gutter="0"/>
          <w:cols w:space="425" w:num="1"/>
          <w:docGrid w:type="lines" w:linePitch="312" w:charSpace="0"/>
        </w:sectPr>
      </w:pPr>
    </w:p>
    <w:p w14:paraId="44B1CBD2">
      <w:pPr>
        <w:keepNext/>
        <w:keepLines/>
        <w:pageBreakBefore w:val="0"/>
        <w:widowControl w:val="0"/>
        <w:kinsoku/>
        <w:wordWrap/>
        <w:overflowPunct/>
        <w:topLinePunct w:val="0"/>
        <w:autoSpaceDE/>
        <w:autoSpaceDN/>
        <w:bidi w:val="0"/>
        <w:adjustRightInd w:val="0"/>
        <w:snapToGrid w:val="0"/>
        <w:spacing w:line="360" w:lineRule="auto"/>
        <w:textAlignment w:val="auto"/>
        <w:outlineLvl w:val="2"/>
        <w:rPr>
          <w:b/>
          <w:bCs/>
          <w:szCs w:val="21"/>
        </w:rPr>
      </w:pPr>
      <w:bookmarkStart w:id="98" w:name="_Toc20651231"/>
      <w:bookmarkStart w:id="99" w:name="_Toc22179"/>
      <w:r>
        <w:rPr>
          <w:rFonts w:hint="eastAsia"/>
          <w:b/>
          <w:bCs/>
          <w:szCs w:val="21"/>
        </w:rPr>
        <w:t>附页1 评标方法及标准表</w:t>
      </w:r>
      <w:bookmarkEnd w:id="98"/>
      <w:bookmarkEnd w:id="99"/>
    </w:p>
    <w:p w14:paraId="37750F32">
      <w:pPr>
        <w:pStyle w:val="44"/>
        <w:keepNext w:val="0"/>
        <w:keepLines w:val="0"/>
        <w:pageBreakBefore w:val="0"/>
        <w:widowControl w:val="0"/>
        <w:kinsoku/>
        <w:wordWrap/>
        <w:overflowPunct/>
        <w:topLinePunct w:val="0"/>
        <w:autoSpaceDE/>
        <w:autoSpaceDN/>
        <w:bidi w:val="0"/>
        <w:adjustRightInd/>
        <w:snapToGrid/>
        <w:spacing w:after="0"/>
        <w:ind w:left="0" w:leftChars="0" w:firstLine="0" w:firstLineChars="0"/>
        <w:jc w:val="center"/>
        <w:textAlignment w:val="auto"/>
        <w:rPr>
          <w:b/>
          <w:bCs/>
        </w:rPr>
      </w:pPr>
      <w:r>
        <w:rPr>
          <w:rFonts w:hint="eastAsia"/>
          <w:b/>
          <w:bCs/>
        </w:rPr>
        <w:t>本采购项目的权值见下表</w:t>
      </w:r>
    </w:p>
    <w:tbl>
      <w:tblPr>
        <w:tblStyle w:val="45"/>
        <w:tblW w:w="8820"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0"/>
        <w:gridCol w:w="4680"/>
        <w:gridCol w:w="3420"/>
      </w:tblGrid>
      <w:tr w14:paraId="478181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4" w:hRule="exact"/>
          <w:jc w:val="center"/>
        </w:trPr>
        <w:tc>
          <w:tcPr>
            <w:tcW w:w="720" w:type="dxa"/>
            <w:noWrap/>
            <w:vAlign w:val="center"/>
          </w:tcPr>
          <w:p w14:paraId="6EF061A9">
            <w:pPr>
              <w:adjustRightInd w:val="0"/>
              <w:snapToGrid w:val="0"/>
              <w:spacing w:line="240" w:lineRule="exact"/>
              <w:rPr>
                <w:rFonts w:ascii="宋体" w:hAnsi="宋体" w:cs="宋体"/>
                <w:b/>
                <w:bCs/>
                <w:kern w:val="0"/>
                <w:sz w:val="20"/>
                <w:szCs w:val="21"/>
                <w:lang w:val="ru-RU" w:eastAsia="ru-RU"/>
              </w:rPr>
            </w:pPr>
            <w:r>
              <w:rPr>
                <w:rFonts w:hint="eastAsia" w:ascii="宋体" w:hAnsi="宋体" w:cs="宋体"/>
                <w:b/>
                <w:bCs/>
                <w:kern w:val="0"/>
                <w:sz w:val="20"/>
                <w:szCs w:val="21"/>
                <w:lang w:val="ru-RU" w:eastAsia="ru-RU"/>
              </w:rPr>
              <w:t>序号</w:t>
            </w:r>
          </w:p>
        </w:tc>
        <w:tc>
          <w:tcPr>
            <w:tcW w:w="4680" w:type="dxa"/>
            <w:noWrap/>
            <w:vAlign w:val="center"/>
          </w:tcPr>
          <w:p w14:paraId="5B442594">
            <w:pPr>
              <w:adjustRightInd w:val="0"/>
              <w:snapToGrid w:val="0"/>
              <w:spacing w:line="240" w:lineRule="exact"/>
              <w:jc w:val="center"/>
              <w:rPr>
                <w:rFonts w:ascii="宋体" w:hAnsi="宋体" w:cs="宋体"/>
                <w:b/>
                <w:bCs/>
                <w:kern w:val="0"/>
                <w:sz w:val="20"/>
                <w:szCs w:val="21"/>
                <w:lang w:val="ru-RU" w:eastAsia="ru-RU"/>
              </w:rPr>
            </w:pPr>
            <w:r>
              <w:rPr>
                <w:rFonts w:hint="eastAsia" w:ascii="宋体" w:hAnsi="宋体" w:cs="宋体"/>
                <w:b/>
                <w:bCs/>
                <w:kern w:val="0"/>
                <w:sz w:val="20"/>
                <w:szCs w:val="21"/>
                <w:lang w:val="ru-RU" w:eastAsia="ru-RU"/>
              </w:rPr>
              <w:t>项     目</w:t>
            </w:r>
          </w:p>
        </w:tc>
        <w:tc>
          <w:tcPr>
            <w:tcW w:w="3420" w:type="dxa"/>
            <w:noWrap/>
            <w:vAlign w:val="center"/>
          </w:tcPr>
          <w:p w14:paraId="1F30072F">
            <w:pPr>
              <w:adjustRightInd w:val="0"/>
              <w:snapToGrid w:val="0"/>
              <w:spacing w:line="240" w:lineRule="exact"/>
              <w:jc w:val="center"/>
              <w:rPr>
                <w:rFonts w:ascii="宋体" w:hAnsi="宋体" w:cs="宋体"/>
                <w:b/>
                <w:bCs/>
                <w:kern w:val="0"/>
                <w:sz w:val="20"/>
                <w:szCs w:val="21"/>
                <w:lang w:val="ru-RU" w:eastAsia="ru-RU"/>
              </w:rPr>
            </w:pPr>
            <w:r>
              <w:rPr>
                <w:rFonts w:hint="eastAsia" w:ascii="宋体" w:hAnsi="宋体" w:cs="宋体"/>
                <w:b/>
                <w:bCs/>
                <w:kern w:val="0"/>
                <w:sz w:val="20"/>
                <w:szCs w:val="21"/>
                <w:lang w:val="ru-RU" w:eastAsia="ru-RU"/>
              </w:rPr>
              <w:t>权值的取值</w:t>
            </w:r>
          </w:p>
        </w:tc>
      </w:tr>
      <w:tr w14:paraId="2BDAEF2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09" w:hRule="atLeast"/>
          <w:jc w:val="center"/>
        </w:trPr>
        <w:tc>
          <w:tcPr>
            <w:tcW w:w="720" w:type="dxa"/>
            <w:noWrap/>
            <w:vAlign w:val="center"/>
          </w:tcPr>
          <w:p w14:paraId="01B8C4FB">
            <w:pPr>
              <w:adjustRightInd w:val="0"/>
              <w:snapToGrid w:val="0"/>
              <w:spacing w:line="240" w:lineRule="exact"/>
              <w:jc w:val="center"/>
              <w:rPr>
                <w:rFonts w:ascii="宋体" w:hAnsi="宋体" w:cs="宋体"/>
                <w:kern w:val="0"/>
                <w:sz w:val="18"/>
                <w:szCs w:val="18"/>
                <w:lang w:val="ru-RU" w:eastAsia="ru-RU"/>
              </w:rPr>
            </w:pPr>
            <w:r>
              <w:rPr>
                <w:rFonts w:hint="eastAsia" w:ascii="宋体" w:hAnsi="宋体" w:cs="宋体"/>
                <w:kern w:val="0"/>
                <w:sz w:val="18"/>
                <w:szCs w:val="18"/>
                <w:lang w:val="ru-RU" w:eastAsia="ru-RU"/>
              </w:rPr>
              <w:t>1</w:t>
            </w:r>
          </w:p>
        </w:tc>
        <w:tc>
          <w:tcPr>
            <w:tcW w:w="4680" w:type="dxa"/>
            <w:noWrap/>
            <w:vAlign w:val="center"/>
          </w:tcPr>
          <w:p w14:paraId="15F048FB">
            <w:pPr>
              <w:adjustRightInd w:val="0"/>
              <w:snapToGrid w:val="0"/>
              <w:spacing w:line="240" w:lineRule="exact"/>
              <w:jc w:val="center"/>
              <w:rPr>
                <w:rFonts w:ascii="宋体" w:hAnsi="宋体" w:cs="宋体"/>
                <w:kern w:val="0"/>
                <w:sz w:val="20"/>
                <w:szCs w:val="21"/>
                <w:lang w:val="ru-RU"/>
              </w:rPr>
            </w:pPr>
            <w:r>
              <w:rPr>
                <w:rFonts w:hint="eastAsia" w:ascii="宋体" w:hAnsi="宋体" w:cs="宋体"/>
                <w:kern w:val="0"/>
                <w:sz w:val="20"/>
                <w:szCs w:val="21"/>
                <w:lang w:val="ru-RU" w:eastAsia="ru-RU"/>
              </w:rPr>
              <w:t>报价</w:t>
            </w:r>
            <w:r>
              <w:rPr>
                <w:rFonts w:hint="eastAsia" w:ascii="宋体" w:hAnsi="宋体" w:cs="宋体"/>
                <w:kern w:val="0"/>
                <w:sz w:val="20"/>
                <w:szCs w:val="21"/>
                <w:lang w:val="ru-RU"/>
              </w:rPr>
              <w:t>（A</w:t>
            </w:r>
            <w:r>
              <w:rPr>
                <w:rFonts w:ascii="Calibri" w:hAnsi="Calibri" w:cs="宋体"/>
                <w:kern w:val="0"/>
                <w:sz w:val="13"/>
                <w:szCs w:val="13"/>
                <w:lang w:val="ru-RU"/>
              </w:rPr>
              <w:t>1</w:t>
            </w:r>
            <w:r>
              <w:rPr>
                <w:rFonts w:hint="eastAsia" w:ascii="宋体" w:hAnsi="宋体" w:cs="宋体"/>
                <w:kern w:val="0"/>
                <w:sz w:val="20"/>
                <w:szCs w:val="21"/>
                <w:lang w:val="ru-RU"/>
              </w:rPr>
              <w:t>）</w:t>
            </w:r>
          </w:p>
        </w:tc>
        <w:tc>
          <w:tcPr>
            <w:tcW w:w="3420" w:type="dxa"/>
            <w:noWrap/>
            <w:vAlign w:val="center"/>
          </w:tcPr>
          <w:p w14:paraId="0A0AB4C2">
            <w:pPr>
              <w:adjustRightInd w:val="0"/>
              <w:snapToGrid w:val="0"/>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10</w:t>
            </w:r>
            <w:r>
              <w:rPr>
                <w:rFonts w:hint="eastAsia" w:ascii="宋体" w:hAnsi="宋体" w:cs="宋体"/>
                <w:kern w:val="0"/>
                <w:sz w:val="18"/>
                <w:szCs w:val="18"/>
              </w:rPr>
              <w:t>%</w:t>
            </w:r>
          </w:p>
        </w:tc>
      </w:tr>
      <w:tr w14:paraId="03F44DA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20" w:type="dxa"/>
            <w:noWrap/>
            <w:vAlign w:val="center"/>
          </w:tcPr>
          <w:p w14:paraId="09439ADC">
            <w:pPr>
              <w:adjustRightInd w:val="0"/>
              <w:snapToGrid w:val="0"/>
              <w:spacing w:line="240" w:lineRule="exact"/>
              <w:jc w:val="center"/>
              <w:rPr>
                <w:rFonts w:ascii="宋体" w:hAnsi="宋体" w:cs="宋体"/>
                <w:kern w:val="0"/>
                <w:sz w:val="18"/>
                <w:szCs w:val="18"/>
                <w:lang w:val="ru-RU" w:eastAsia="ru-RU"/>
              </w:rPr>
            </w:pPr>
            <w:r>
              <w:rPr>
                <w:rFonts w:hint="eastAsia" w:ascii="宋体" w:hAnsi="宋体" w:cs="宋体"/>
                <w:kern w:val="0"/>
                <w:sz w:val="18"/>
                <w:szCs w:val="18"/>
                <w:lang w:val="ru-RU" w:eastAsia="ru-RU"/>
              </w:rPr>
              <w:t>2</w:t>
            </w:r>
          </w:p>
        </w:tc>
        <w:tc>
          <w:tcPr>
            <w:tcW w:w="4680" w:type="dxa"/>
            <w:noWrap/>
            <w:vAlign w:val="center"/>
          </w:tcPr>
          <w:p w14:paraId="20574F65">
            <w:pPr>
              <w:adjustRightInd w:val="0"/>
              <w:snapToGrid w:val="0"/>
              <w:spacing w:line="240" w:lineRule="exact"/>
              <w:jc w:val="center"/>
              <w:rPr>
                <w:rFonts w:ascii="宋体" w:hAnsi="宋体" w:cs="宋体"/>
                <w:kern w:val="0"/>
                <w:sz w:val="20"/>
                <w:szCs w:val="21"/>
                <w:lang w:val="ru-RU" w:eastAsia="ru-RU"/>
              </w:rPr>
            </w:pPr>
            <w:r>
              <w:rPr>
                <w:rFonts w:hint="eastAsia" w:ascii="宋体" w:hAnsi="宋体" w:cs="宋体"/>
                <w:kern w:val="0"/>
                <w:sz w:val="20"/>
                <w:szCs w:val="21"/>
                <w:lang w:val="ru-RU" w:eastAsia="ru-RU"/>
              </w:rPr>
              <w:t>技术</w:t>
            </w:r>
            <w:r>
              <w:rPr>
                <w:rFonts w:hint="eastAsia" w:ascii="宋体" w:hAnsi="宋体" w:cs="宋体"/>
                <w:kern w:val="0"/>
                <w:sz w:val="20"/>
                <w:szCs w:val="21"/>
                <w:lang w:val="ru-RU"/>
              </w:rPr>
              <w:t>（A</w:t>
            </w:r>
            <w:r>
              <w:rPr>
                <w:rFonts w:ascii="Calibri" w:hAnsi="Calibri" w:cs="宋体"/>
                <w:kern w:val="0"/>
                <w:sz w:val="13"/>
                <w:szCs w:val="13"/>
                <w:lang w:val="ru-RU"/>
              </w:rPr>
              <w:t>2</w:t>
            </w:r>
            <w:r>
              <w:rPr>
                <w:rFonts w:hint="eastAsia" w:ascii="宋体" w:hAnsi="宋体" w:cs="宋体"/>
                <w:kern w:val="0"/>
                <w:sz w:val="20"/>
                <w:szCs w:val="21"/>
                <w:lang w:val="ru-RU"/>
              </w:rPr>
              <w:t>）</w:t>
            </w:r>
          </w:p>
        </w:tc>
        <w:tc>
          <w:tcPr>
            <w:tcW w:w="3420" w:type="dxa"/>
            <w:noWrap/>
            <w:vAlign w:val="center"/>
          </w:tcPr>
          <w:p w14:paraId="5DBD863E">
            <w:pPr>
              <w:adjustRightInd w:val="0"/>
              <w:snapToGrid w:val="0"/>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50</w:t>
            </w:r>
            <w:r>
              <w:rPr>
                <w:rFonts w:hint="eastAsia" w:ascii="宋体" w:hAnsi="宋体" w:cs="宋体"/>
                <w:kern w:val="0"/>
                <w:sz w:val="18"/>
                <w:szCs w:val="18"/>
              </w:rPr>
              <w:t>%</w:t>
            </w:r>
          </w:p>
        </w:tc>
      </w:tr>
      <w:tr w14:paraId="46E02B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720" w:type="dxa"/>
            <w:noWrap/>
            <w:vAlign w:val="center"/>
          </w:tcPr>
          <w:p w14:paraId="2A23B97D">
            <w:pPr>
              <w:adjustRightInd w:val="0"/>
              <w:snapToGrid w:val="0"/>
              <w:spacing w:line="240" w:lineRule="exact"/>
              <w:jc w:val="center"/>
              <w:rPr>
                <w:rFonts w:ascii="宋体" w:hAnsi="宋体" w:cs="宋体"/>
                <w:kern w:val="0"/>
                <w:sz w:val="18"/>
                <w:szCs w:val="18"/>
                <w:lang w:val="ru-RU" w:eastAsia="ru-RU"/>
              </w:rPr>
            </w:pPr>
            <w:r>
              <w:rPr>
                <w:rFonts w:hint="eastAsia" w:ascii="宋体" w:hAnsi="宋体" w:cs="宋体"/>
                <w:kern w:val="0"/>
                <w:sz w:val="18"/>
                <w:szCs w:val="18"/>
                <w:lang w:val="ru-RU" w:eastAsia="ru-RU"/>
              </w:rPr>
              <w:t>3</w:t>
            </w:r>
          </w:p>
        </w:tc>
        <w:tc>
          <w:tcPr>
            <w:tcW w:w="4680" w:type="dxa"/>
            <w:noWrap/>
            <w:vAlign w:val="center"/>
          </w:tcPr>
          <w:p w14:paraId="4A0BD4D2">
            <w:pPr>
              <w:adjustRightInd w:val="0"/>
              <w:snapToGrid w:val="0"/>
              <w:spacing w:line="240" w:lineRule="exact"/>
              <w:jc w:val="center"/>
              <w:rPr>
                <w:rFonts w:ascii="宋体" w:hAnsi="宋体" w:cs="宋体"/>
                <w:kern w:val="0"/>
                <w:sz w:val="20"/>
                <w:szCs w:val="21"/>
                <w:lang w:val="ru-RU"/>
              </w:rPr>
            </w:pPr>
            <w:r>
              <w:rPr>
                <w:rFonts w:hint="eastAsia" w:ascii="宋体" w:hAnsi="宋体" w:cs="宋体"/>
                <w:kern w:val="0"/>
                <w:sz w:val="20"/>
                <w:szCs w:val="21"/>
                <w:lang w:val="ru-RU"/>
              </w:rPr>
              <w:t>商务（A</w:t>
            </w:r>
            <w:r>
              <w:rPr>
                <w:rFonts w:ascii="Calibri" w:hAnsi="Calibri" w:cs="宋体"/>
                <w:kern w:val="0"/>
                <w:sz w:val="13"/>
                <w:szCs w:val="13"/>
                <w:lang w:val="ru-RU"/>
              </w:rPr>
              <w:t>3</w:t>
            </w:r>
            <w:r>
              <w:rPr>
                <w:rFonts w:hint="eastAsia" w:ascii="宋体" w:hAnsi="宋体" w:cs="宋体"/>
                <w:kern w:val="0"/>
                <w:sz w:val="20"/>
                <w:szCs w:val="21"/>
                <w:lang w:val="ru-RU"/>
              </w:rPr>
              <w:t>）</w:t>
            </w:r>
          </w:p>
        </w:tc>
        <w:tc>
          <w:tcPr>
            <w:tcW w:w="3420" w:type="dxa"/>
            <w:noWrap/>
            <w:vAlign w:val="center"/>
          </w:tcPr>
          <w:p w14:paraId="657F58C5">
            <w:pPr>
              <w:adjustRightInd w:val="0"/>
              <w:snapToGrid w:val="0"/>
              <w:spacing w:line="240" w:lineRule="exact"/>
              <w:jc w:val="center"/>
              <w:rPr>
                <w:rFonts w:ascii="宋体" w:hAnsi="宋体" w:cs="宋体"/>
                <w:kern w:val="0"/>
                <w:sz w:val="18"/>
                <w:szCs w:val="18"/>
              </w:rPr>
            </w:pPr>
            <w:r>
              <w:rPr>
                <w:rFonts w:hint="eastAsia" w:ascii="宋体" w:hAnsi="宋体" w:cs="宋体"/>
                <w:kern w:val="0"/>
                <w:sz w:val="18"/>
                <w:szCs w:val="18"/>
                <w:lang w:val="en-US" w:eastAsia="zh-CN"/>
              </w:rPr>
              <w:t>40</w:t>
            </w:r>
            <w:r>
              <w:rPr>
                <w:rFonts w:hint="eastAsia" w:ascii="宋体" w:hAnsi="宋体" w:cs="宋体"/>
                <w:kern w:val="0"/>
                <w:sz w:val="18"/>
                <w:szCs w:val="18"/>
              </w:rPr>
              <w:t>%</w:t>
            </w:r>
          </w:p>
        </w:tc>
      </w:tr>
      <w:tr w14:paraId="3D752B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20" w:hRule="atLeast"/>
          <w:jc w:val="center"/>
        </w:trPr>
        <w:tc>
          <w:tcPr>
            <w:tcW w:w="5400" w:type="dxa"/>
            <w:gridSpan w:val="2"/>
            <w:noWrap/>
            <w:vAlign w:val="center"/>
          </w:tcPr>
          <w:p w14:paraId="4D262182">
            <w:pPr>
              <w:adjustRightInd w:val="0"/>
              <w:snapToGrid w:val="0"/>
              <w:spacing w:line="240" w:lineRule="exact"/>
              <w:jc w:val="center"/>
              <w:rPr>
                <w:rFonts w:ascii="宋体" w:hAnsi="宋体" w:cs="宋体"/>
                <w:kern w:val="0"/>
                <w:sz w:val="20"/>
                <w:szCs w:val="21"/>
                <w:lang w:val="ru-RU" w:eastAsia="ru-RU"/>
              </w:rPr>
            </w:pPr>
            <w:r>
              <w:rPr>
                <w:rFonts w:hint="eastAsia" w:ascii="宋体" w:hAnsi="宋体" w:cs="宋体"/>
                <w:kern w:val="0"/>
                <w:sz w:val="20"/>
                <w:szCs w:val="21"/>
                <w:lang w:val="ru-RU"/>
              </w:rPr>
              <w:t>合计</w:t>
            </w:r>
          </w:p>
        </w:tc>
        <w:tc>
          <w:tcPr>
            <w:tcW w:w="3420" w:type="dxa"/>
            <w:noWrap/>
            <w:vAlign w:val="center"/>
          </w:tcPr>
          <w:p w14:paraId="1357556C">
            <w:pPr>
              <w:adjustRightInd w:val="0"/>
              <w:snapToGrid w:val="0"/>
              <w:spacing w:line="240" w:lineRule="exact"/>
              <w:jc w:val="center"/>
              <w:rPr>
                <w:rFonts w:ascii="宋体" w:hAnsi="宋体" w:cs="宋体"/>
                <w:kern w:val="0"/>
                <w:sz w:val="18"/>
                <w:szCs w:val="18"/>
              </w:rPr>
            </w:pPr>
            <w:r>
              <w:rPr>
                <w:rFonts w:hint="eastAsia" w:ascii="宋体" w:hAnsi="宋体" w:cs="宋体"/>
                <w:kern w:val="0"/>
                <w:sz w:val="18"/>
                <w:szCs w:val="18"/>
              </w:rPr>
              <w:t>1.00</w:t>
            </w:r>
          </w:p>
        </w:tc>
      </w:tr>
    </w:tbl>
    <w:p w14:paraId="1723195F">
      <w:pPr>
        <w:adjustRightInd w:val="0"/>
        <w:snapToGrid w:val="0"/>
        <w:spacing w:beforeLines="50" w:line="360" w:lineRule="auto"/>
        <w:jc w:val="center"/>
        <w:rPr>
          <w:b/>
          <w:bCs/>
          <w:szCs w:val="21"/>
        </w:rPr>
      </w:pPr>
      <w:r>
        <w:rPr>
          <w:rFonts w:hint="eastAsia"/>
          <w:b/>
          <w:bCs/>
        </w:rPr>
        <w:t>附表1.1投标报价评审标准表</w:t>
      </w:r>
    </w:p>
    <w:tbl>
      <w:tblPr>
        <w:tblStyle w:val="45"/>
        <w:tblW w:w="8916"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3"/>
        <w:gridCol w:w="1940"/>
        <w:gridCol w:w="6253"/>
      </w:tblGrid>
      <w:tr w14:paraId="45EA9F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09" w:hRule="atLeast"/>
          <w:jc w:val="center"/>
        </w:trPr>
        <w:tc>
          <w:tcPr>
            <w:tcW w:w="723" w:type="dxa"/>
            <w:tcBorders>
              <w:right w:val="single" w:color="auto" w:sz="4" w:space="0"/>
            </w:tcBorders>
            <w:noWrap/>
            <w:vAlign w:val="center"/>
          </w:tcPr>
          <w:p w14:paraId="414A7179">
            <w:pPr>
              <w:adjustRightInd w:val="0"/>
              <w:snapToGrid w:val="0"/>
              <w:jc w:val="center"/>
              <w:rPr>
                <w:rFonts w:hint="eastAsia" w:ascii="宋体" w:hAnsi="宋体" w:eastAsia="宋体" w:cs="宋体"/>
                <w:b/>
                <w:sz w:val="21"/>
                <w:szCs w:val="21"/>
              </w:rPr>
            </w:pPr>
            <w:r>
              <w:rPr>
                <w:rFonts w:hint="eastAsia" w:ascii="宋体" w:hAnsi="宋体" w:eastAsia="宋体" w:cs="宋体"/>
                <w:b/>
                <w:sz w:val="21"/>
                <w:szCs w:val="21"/>
              </w:rPr>
              <w:t>序号</w:t>
            </w:r>
          </w:p>
        </w:tc>
        <w:tc>
          <w:tcPr>
            <w:tcW w:w="1940" w:type="dxa"/>
            <w:tcBorders>
              <w:left w:val="single" w:color="auto" w:sz="4" w:space="0"/>
              <w:right w:val="single" w:color="auto" w:sz="4" w:space="0"/>
            </w:tcBorders>
            <w:noWrap/>
            <w:vAlign w:val="center"/>
          </w:tcPr>
          <w:p w14:paraId="46BC3291">
            <w:pPr>
              <w:adjustRightInd w:val="0"/>
              <w:snapToGrid w:val="0"/>
              <w:jc w:val="center"/>
              <w:rPr>
                <w:rFonts w:hint="eastAsia" w:ascii="宋体" w:hAnsi="宋体" w:eastAsia="宋体" w:cs="宋体"/>
                <w:b/>
                <w:sz w:val="21"/>
                <w:szCs w:val="21"/>
              </w:rPr>
            </w:pPr>
            <w:r>
              <w:rPr>
                <w:rFonts w:hint="eastAsia" w:ascii="宋体" w:hAnsi="宋体" w:eastAsia="宋体" w:cs="宋体"/>
                <w:b/>
                <w:sz w:val="21"/>
                <w:szCs w:val="21"/>
              </w:rPr>
              <w:t>评标因素（分值）</w:t>
            </w:r>
          </w:p>
        </w:tc>
        <w:tc>
          <w:tcPr>
            <w:tcW w:w="6253" w:type="dxa"/>
            <w:tcBorders>
              <w:left w:val="single" w:color="auto" w:sz="4" w:space="0"/>
            </w:tcBorders>
            <w:noWrap/>
            <w:vAlign w:val="center"/>
          </w:tcPr>
          <w:p w14:paraId="69608B17">
            <w:pPr>
              <w:adjustRightInd w:val="0"/>
              <w:snapToGrid w:val="0"/>
              <w:jc w:val="center"/>
              <w:rPr>
                <w:rFonts w:hint="eastAsia" w:ascii="宋体" w:hAnsi="宋体" w:eastAsia="宋体" w:cs="宋体"/>
                <w:b/>
                <w:sz w:val="21"/>
                <w:szCs w:val="21"/>
              </w:rPr>
            </w:pPr>
            <w:r>
              <w:rPr>
                <w:rFonts w:hint="eastAsia" w:ascii="宋体" w:hAnsi="宋体" w:eastAsia="宋体" w:cs="宋体"/>
                <w:b/>
                <w:sz w:val="21"/>
                <w:szCs w:val="21"/>
              </w:rPr>
              <w:t>评标标准</w:t>
            </w:r>
          </w:p>
        </w:tc>
      </w:tr>
      <w:tr w14:paraId="32A840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14" w:hRule="atLeast"/>
          <w:jc w:val="center"/>
        </w:trPr>
        <w:tc>
          <w:tcPr>
            <w:tcW w:w="723" w:type="dxa"/>
            <w:vMerge w:val="restart"/>
            <w:tcBorders>
              <w:right w:val="single" w:color="auto" w:sz="4" w:space="0"/>
            </w:tcBorders>
            <w:noWrap/>
            <w:vAlign w:val="center"/>
          </w:tcPr>
          <w:p w14:paraId="03D0A163">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1</w:t>
            </w:r>
          </w:p>
        </w:tc>
        <w:tc>
          <w:tcPr>
            <w:tcW w:w="1940" w:type="dxa"/>
            <w:tcBorders>
              <w:left w:val="single" w:color="auto" w:sz="4" w:space="0"/>
              <w:right w:val="single" w:color="auto" w:sz="4" w:space="0"/>
            </w:tcBorders>
            <w:noWrap/>
            <w:vAlign w:val="center"/>
          </w:tcPr>
          <w:p w14:paraId="76FCB6BC">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价格评价项</w:t>
            </w:r>
          </w:p>
          <w:p w14:paraId="30766C0B">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（F=</w:t>
            </w:r>
            <w:r>
              <w:rPr>
                <w:rFonts w:hint="eastAsia" w:ascii="宋体" w:hAnsi="宋体" w:cs="宋体"/>
                <w:sz w:val="21"/>
                <w:szCs w:val="21"/>
                <w:lang w:val="en-US" w:eastAsia="zh-CN"/>
              </w:rPr>
              <w:t>10</w:t>
            </w:r>
            <w:r>
              <w:rPr>
                <w:rFonts w:hint="eastAsia" w:ascii="宋体" w:hAnsi="宋体" w:eastAsia="宋体" w:cs="宋体"/>
                <w:sz w:val="21"/>
                <w:szCs w:val="21"/>
              </w:rPr>
              <w:t>分）</w:t>
            </w:r>
          </w:p>
        </w:tc>
        <w:tc>
          <w:tcPr>
            <w:tcW w:w="6253" w:type="dxa"/>
            <w:tcBorders>
              <w:left w:val="single" w:color="auto" w:sz="4" w:space="0"/>
            </w:tcBorders>
            <w:noWrap/>
            <w:vAlign w:val="center"/>
          </w:tcPr>
          <w:p w14:paraId="45FB2F61">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以经评委会一致认定满足招标文件要求且经评审投标报价最低的投标报价为评标基准价，其价格得分计</w:t>
            </w:r>
            <w:r>
              <w:rPr>
                <w:rFonts w:hint="eastAsia" w:ascii="宋体" w:hAnsi="宋体" w:cs="宋体"/>
                <w:sz w:val="21"/>
                <w:szCs w:val="21"/>
                <w:lang w:val="en-US" w:eastAsia="zh-CN"/>
              </w:rPr>
              <w:t>10</w:t>
            </w:r>
            <w:r>
              <w:rPr>
                <w:rFonts w:hint="eastAsia" w:ascii="宋体" w:hAnsi="宋体" w:eastAsia="宋体" w:cs="宋体"/>
                <w:sz w:val="21"/>
                <w:szCs w:val="21"/>
              </w:rPr>
              <w:t>分。其他投标人的价格得分统一按公式计算：投标报价得分=（评标基准价调整／投标报价调整）×10</w:t>
            </w:r>
          </w:p>
          <w:p w14:paraId="3141DB5C">
            <w:pPr>
              <w:keepNext w:val="0"/>
              <w:keepLines w:val="0"/>
              <w:pageBreakBefore w:val="0"/>
              <w:kinsoku/>
              <w:wordWrap/>
              <w:overflowPunct/>
              <w:topLinePunct w:val="0"/>
              <w:autoSpaceDE/>
              <w:autoSpaceDN/>
              <w:bidi w:val="0"/>
              <w:spacing w:line="400" w:lineRule="exact"/>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注：</w:t>
            </w:r>
            <w:r>
              <w:rPr>
                <w:rFonts w:hint="eastAsia" w:ascii="宋体" w:hAnsi="宋体" w:eastAsia="宋体" w:cs="宋体"/>
                <w:color w:val="000000"/>
                <w:sz w:val="21"/>
                <w:szCs w:val="21"/>
                <w:lang w:val="en-US" w:eastAsia="zh-CN"/>
              </w:rPr>
              <w:t>1.</w:t>
            </w:r>
            <w:r>
              <w:rPr>
                <w:rFonts w:hint="eastAsia" w:ascii="宋体" w:hAnsi="宋体" w:eastAsia="宋体" w:cs="宋体"/>
                <w:color w:val="000000"/>
                <w:sz w:val="21"/>
                <w:szCs w:val="21"/>
              </w:rPr>
              <w:t>根据财政部第87号令第六十条规定：评标委员会认为投标人的报价明显低于其他通过符合性审查投标人的报价，投标人不能证明其报价合理性的，评标委员会将其作为无效投标处理。</w:t>
            </w:r>
          </w:p>
          <w:p w14:paraId="303FAFA8">
            <w:pPr>
              <w:keepNext w:val="0"/>
              <w:keepLines w:val="0"/>
              <w:pageBreakBefore w:val="0"/>
              <w:kinsoku/>
              <w:wordWrap/>
              <w:overflowPunct/>
              <w:topLinePunct w:val="0"/>
              <w:autoSpaceDE/>
              <w:autoSpaceDN/>
              <w:bidi w:val="0"/>
              <w:spacing w:line="400" w:lineRule="exact"/>
              <w:textAlignment w:val="auto"/>
              <w:rPr>
                <w:rFonts w:hint="default" w:ascii="宋体" w:hAnsi="宋体" w:eastAsia="宋体" w:cs="宋体"/>
                <w:color w:val="000000"/>
                <w:sz w:val="21"/>
                <w:szCs w:val="21"/>
                <w:lang w:val="en-US" w:eastAsia="zh-CN"/>
              </w:rPr>
            </w:pPr>
            <w:r>
              <w:rPr>
                <w:rFonts w:hint="eastAsia" w:ascii="宋体" w:hAnsi="宋体" w:eastAsia="宋体" w:cs="宋体"/>
                <w:color w:val="000000"/>
                <w:sz w:val="21"/>
                <w:szCs w:val="21"/>
                <w:lang w:val="en-US" w:eastAsia="zh-CN"/>
              </w:rPr>
              <w:t>2.</w:t>
            </w:r>
            <w:bookmarkStart w:id="100" w:name="OLE_LINK4"/>
            <w:r>
              <w:rPr>
                <w:rFonts w:hint="eastAsia" w:ascii="宋体" w:hAnsi="宋体" w:eastAsia="宋体" w:cs="宋体"/>
                <w:color w:val="000000"/>
                <w:sz w:val="21"/>
                <w:szCs w:val="21"/>
              </w:rPr>
              <w:t>政府采购异常低价根据《财政部关于推动解决政府采购异常低价问题的通知》财库〔2026〕2号文件相关规定执行。</w:t>
            </w:r>
            <w:bookmarkEnd w:id="100"/>
          </w:p>
        </w:tc>
      </w:tr>
      <w:tr w14:paraId="64FDA1C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70" w:hRule="atLeast"/>
          <w:jc w:val="center"/>
        </w:trPr>
        <w:tc>
          <w:tcPr>
            <w:tcW w:w="723" w:type="dxa"/>
            <w:vMerge w:val="continue"/>
            <w:tcBorders>
              <w:right w:val="single" w:color="auto" w:sz="4" w:space="0"/>
            </w:tcBorders>
            <w:noWrap/>
            <w:vAlign w:val="center"/>
          </w:tcPr>
          <w:p w14:paraId="79983FA5">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1"/>
                <w:szCs w:val="21"/>
              </w:rPr>
            </w:pPr>
          </w:p>
        </w:tc>
        <w:tc>
          <w:tcPr>
            <w:tcW w:w="1940" w:type="dxa"/>
            <w:tcBorders>
              <w:left w:val="single" w:color="auto" w:sz="4" w:space="0"/>
            </w:tcBorders>
            <w:noWrap/>
            <w:vAlign w:val="center"/>
          </w:tcPr>
          <w:p w14:paraId="11B557F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优先采购加分（F</w:t>
            </w:r>
            <w:r>
              <w:rPr>
                <w:rFonts w:hint="eastAsia" w:ascii="宋体" w:hAnsi="宋体" w:eastAsia="宋体" w:cs="宋体"/>
                <w:sz w:val="21"/>
                <w:szCs w:val="21"/>
                <w:vertAlign w:val="subscript"/>
              </w:rPr>
              <w:t>优先采购加分</w:t>
            </w:r>
            <w:r>
              <w:rPr>
                <w:rFonts w:hint="eastAsia" w:ascii="宋体" w:hAnsi="宋体" w:eastAsia="宋体" w:cs="宋体"/>
                <w:sz w:val="21"/>
                <w:szCs w:val="21"/>
              </w:rPr>
              <w:t>）</w:t>
            </w:r>
          </w:p>
        </w:tc>
        <w:tc>
          <w:tcPr>
            <w:tcW w:w="6253" w:type="dxa"/>
            <w:tcBorders>
              <w:bottom w:val="single" w:color="auto" w:sz="4" w:space="0"/>
            </w:tcBorders>
            <w:noWrap/>
            <w:vAlign w:val="center"/>
          </w:tcPr>
          <w:p w14:paraId="2640A2DF">
            <w:pPr>
              <w:keepNext w:val="0"/>
              <w:keepLines w:val="0"/>
              <w:pageBreakBefore w:val="0"/>
              <w:kinsoku/>
              <w:wordWrap/>
              <w:overflowPunct/>
              <w:topLinePunct w:val="0"/>
              <w:autoSpaceDE/>
              <w:autoSpaceDN/>
              <w:bidi w:val="0"/>
              <w:adjustRightInd w:val="0"/>
              <w:snapToGrid w:val="0"/>
              <w:spacing w:line="400" w:lineRule="exact"/>
              <w:textAlignment w:val="auto"/>
              <w:rPr>
                <w:rFonts w:ascii="宋体" w:hAnsi="宋体" w:eastAsia="宋体"/>
                <w:sz w:val="21"/>
                <w:szCs w:val="21"/>
              </w:rPr>
            </w:pPr>
            <w:r>
              <w:rPr>
                <w:rFonts w:hint="eastAsia" w:ascii="宋体" w:hAnsi="宋体" w:eastAsia="宋体"/>
                <w:sz w:val="21"/>
                <w:szCs w:val="21"/>
              </w:rPr>
              <w:t>小型和微型企业产品的价格给予</w:t>
            </w:r>
            <w:r>
              <w:rPr>
                <w:rFonts w:hint="eastAsia" w:ascii="宋体" w:hAnsi="宋体" w:eastAsia="宋体"/>
                <w:sz w:val="21"/>
                <w:szCs w:val="21"/>
                <w:u w:val="single"/>
              </w:rPr>
              <w:t xml:space="preserve"> </w:t>
            </w:r>
            <w:r>
              <w:rPr>
                <w:rFonts w:hint="eastAsia" w:ascii="宋体" w:hAnsi="宋体"/>
                <w:sz w:val="21"/>
                <w:szCs w:val="21"/>
                <w:u w:val="single"/>
                <w:lang w:val="en-US" w:eastAsia="zh-CN"/>
              </w:rPr>
              <w:t>10</w:t>
            </w:r>
            <w:r>
              <w:rPr>
                <w:rFonts w:hint="eastAsia" w:ascii="宋体" w:hAnsi="宋体" w:eastAsia="宋体"/>
                <w:sz w:val="21"/>
                <w:szCs w:val="21"/>
                <w:u w:val="single"/>
              </w:rPr>
              <w:t xml:space="preserve"> </w:t>
            </w:r>
            <w:r>
              <w:rPr>
                <w:rFonts w:hint="eastAsia" w:ascii="宋体" w:hAnsi="宋体" w:eastAsia="宋体"/>
                <w:sz w:val="21"/>
                <w:szCs w:val="21"/>
              </w:rPr>
              <w:t>%</w:t>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10</w:t>
            </w:r>
            <w:r>
              <w:rPr>
                <w:rFonts w:hint="eastAsia" w:ascii="宋体" w:hAnsi="宋体" w:eastAsia="宋体" w:cs="宋体"/>
                <w:color w:val="000000"/>
                <w:kern w:val="0"/>
                <w:sz w:val="21"/>
                <w:szCs w:val="21"/>
              </w:rPr>
              <w:t>%-</w:t>
            </w:r>
            <w:r>
              <w:rPr>
                <w:rFonts w:hint="eastAsia" w:ascii="宋体" w:hAnsi="宋体" w:eastAsia="宋体" w:cs="宋体"/>
                <w:color w:val="000000"/>
                <w:kern w:val="0"/>
                <w:sz w:val="21"/>
                <w:szCs w:val="21"/>
                <w:lang w:val="en-US" w:eastAsia="zh-CN"/>
              </w:rPr>
              <w:t>2</w:t>
            </w:r>
            <w:r>
              <w:rPr>
                <w:rFonts w:hint="eastAsia" w:ascii="宋体" w:hAnsi="宋体" w:eastAsia="宋体" w:cs="宋体"/>
                <w:color w:val="000000"/>
                <w:kern w:val="0"/>
                <w:sz w:val="21"/>
                <w:szCs w:val="21"/>
              </w:rPr>
              <w:t>0%）</w:t>
            </w:r>
            <w:r>
              <w:rPr>
                <w:rFonts w:hint="eastAsia" w:ascii="宋体" w:hAnsi="宋体" w:eastAsia="宋体"/>
                <w:sz w:val="21"/>
                <w:szCs w:val="21"/>
              </w:rPr>
              <w:t>的扣除比例，用扣除后的价格参与评审。</w:t>
            </w:r>
          </w:p>
          <w:p w14:paraId="2352871C">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说明：监狱企业、残疾人福利性单位同时属于小型、微型企业的，不重复享受价格评审优惠政策。</w:t>
            </w:r>
          </w:p>
        </w:tc>
      </w:tr>
      <w:tr w14:paraId="2F0B02A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723" w:type="dxa"/>
            <w:tcBorders>
              <w:right w:val="single" w:color="auto" w:sz="4" w:space="0"/>
            </w:tcBorders>
            <w:noWrap/>
            <w:vAlign w:val="center"/>
          </w:tcPr>
          <w:p w14:paraId="3208C830">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1"/>
                <w:szCs w:val="21"/>
              </w:rPr>
            </w:pPr>
            <w:r>
              <w:rPr>
                <w:rFonts w:hint="eastAsia" w:ascii="宋体" w:hAnsi="宋体" w:eastAsia="宋体" w:cs="宋体"/>
                <w:sz w:val="21"/>
                <w:szCs w:val="21"/>
              </w:rPr>
              <w:t>∑</w:t>
            </w:r>
          </w:p>
        </w:tc>
        <w:tc>
          <w:tcPr>
            <w:tcW w:w="8193" w:type="dxa"/>
            <w:gridSpan w:val="2"/>
            <w:tcBorders>
              <w:left w:val="single" w:color="auto" w:sz="4" w:space="0"/>
            </w:tcBorders>
            <w:noWrap/>
            <w:vAlign w:val="center"/>
          </w:tcPr>
          <w:p w14:paraId="4A82ACF9">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1"/>
                <w:szCs w:val="21"/>
              </w:rPr>
            </w:pPr>
            <w:r>
              <w:rPr>
                <w:rFonts w:hint="eastAsia" w:ascii="宋体" w:hAnsi="宋体" w:eastAsia="宋体" w:cs="宋体"/>
                <w:sz w:val="21"/>
                <w:szCs w:val="21"/>
              </w:rPr>
              <w:t>F</w:t>
            </w:r>
            <w:r>
              <w:rPr>
                <w:rFonts w:hint="eastAsia" w:ascii="宋体" w:hAnsi="宋体" w:eastAsia="宋体" w:cs="宋体"/>
                <w:sz w:val="21"/>
                <w:szCs w:val="21"/>
                <w:vertAlign w:val="subscript"/>
              </w:rPr>
              <w:t>1</w:t>
            </w:r>
            <w:r>
              <w:rPr>
                <w:rFonts w:hint="eastAsia" w:ascii="宋体" w:hAnsi="宋体" w:eastAsia="宋体" w:cs="宋体"/>
                <w:sz w:val="21"/>
                <w:szCs w:val="21"/>
              </w:rPr>
              <w:t>=F+F</w:t>
            </w:r>
            <w:r>
              <w:rPr>
                <w:rFonts w:hint="eastAsia" w:ascii="宋体" w:hAnsi="宋体" w:eastAsia="宋体" w:cs="宋体"/>
                <w:sz w:val="21"/>
                <w:szCs w:val="21"/>
                <w:vertAlign w:val="subscript"/>
              </w:rPr>
              <w:t>优先采购加分</w:t>
            </w:r>
          </w:p>
        </w:tc>
      </w:tr>
    </w:tbl>
    <w:p w14:paraId="0702E90E">
      <w:pPr>
        <w:keepNext w:val="0"/>
        <w:keepLines w:val="0"/>
        <w:pageBreakBefore w:val="0"/>
        <w:kinsoku/>
        <w:wordWrap/>
        <w:overflowPunct/>
        <w:topLinePunct w:val="0"/>
        <w:autoSpaceDE/>
        <w:autoSpaceDN/>
        <w:bidi w:val="0"/>
        <w:adjustRightInd w:val="0"/>
        <w:snapToGrid w:val="0"/>
        <w:spacing w:line="400" w:lineRule="exact"/>
        <w:jc w:val="center"/>
        <w:textAlignment w:val="auto"/>
        <w:rPr>
          <w:b/>
          <w:bCs/>
        </w:rPr>
      </w:pPr>
      <w:r>
        <w:rPr>
          <w:rFonts w:hint="eastAsia"/>
          <w:b/>
          <w:bCs/>
        </w:rPr>
        <w:t>附表1.2技术部分评审标准表</w:t>
      </w:r>
    </w:p>
    <w:tbl>
      <w:tblPr>
        <w:tblStyle w:val="45"/>
        <w:tblW w:w="8723"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7"/>
        <w:gridCol w:w="2114"/>
        <w:gridCol w:w="1367"/>
        <w:gridCol w:w="4515"/>
      </w:tblGrid>
      <w:tr w14:paraId="741A35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51" w:hRule="atLeast"/>
          <w:jc w:val="center"/>
        </w:trPr>
        <w:tc>
          <w:tcPr>
            <w:tcW w:w="727" w:type="dxa"/>
            <w:tcBorders>
              <w:right w:val="single" w:color="auto" w:sz="4" w:space="0"/>
            </w:tcBorders>
            <w:noWrap/>
            <w:vAlign w:val="center"/>
          </w:tcPr>
          <w:p w14:paraId="25D25AF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sz w:val="20"/>
                <w:szCs w:val="20"/>
              </w:rPr>
            </w:pPr>
            <w:r>
              <w:rPr>
                <w:rFonts w:hint="eastAsia" w:ascii="宋体" w:hAnsi="宋体" w:eastAsia="宋体" w:cs="宋体"/>
                <w:b/>
                <w:sz w:val="20"/>
                <w:szCs w:val="20"/>
              </w:rPr>
              <w:t>序号</w:t>
            </w:r>
          </w:p>
        </w:tc>
        <w:tc>
          <w:tcPr>
            <w:tcW w:w="2114" w:type="dxa"/>
            <w:tcBorders>
              <w:left w:val="single" w:color="auto" w:sz="4" w:space="0"/>
              <w:right w:val="single" w:color="auto" w:sz="4" w:space="0"/>
            </w:tcBorders>
            <w:noWrap/>
            <w:vAlign w:val="center"/>
          </w:tcPr>
          <w:p w14:paraId="521480B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sz w:val="20"/>
                <w:szCs w:val="20"/>
              </w:rPr>
            </w:pPr>
            <w:r>
              <w:rPr>
                <w:rFonts w:hint="eastAsia" w:ascii="宋体" w:hAnsi="宋体" w:eastAsia="宋体" w:cs="宋体"/>
                <w:b/>
                <w:sz w:val="20"/>
                <w:szCs w:val="20"/>
              </w:rPr>
              <w:t>评标因素（分值）</w:t>
            </w:r>
          </w:p>
        </w:tc>
        <w:tc>
          <w:tcPr>
            <w:tcW w:w="5882" w:type="dxa"/>
            <w:gridSpan w:val="2"/>
            <w:tcBorders>
              <w:left w:val="single" w:color="auto" w:sz="4" w:space="0"/>
            </w:tcBorders>
            <w:noWrap/>
            <w:vAlign w:val="center"/>
          </w:tcPr>
          <w:p w14:paraId="5F5A9F28">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b/>
                <w:sz w:val="20"/>
                <w:szCs w:val="20"/>
              </w:rPr>
            </w:pPr>
            <w:r>
              <w:rPr>
                <w:rFonts w:hint="eastAsia" w:ascii="宋体" w:hAnsi="宋体" w:eastAsia="宋体" w:cs="宋体"/>
                <w:b/>
                <w:sz w:val="20"/>
                <w:szCs w:val="20"/>
              </w:rPr>
              <w:t>评标标准</w:t>
            </w:r>
          </w:p>
        </w:tc>
      </w:tr>
      <w:tr w14:paraId="70A345D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27" w:hRule="atLeast"/>
          <w:jc w:val="center"/>
        </w:trPr>
        <w:tc>
          <w:tcPr>
            <w:tcW w:w="727" w:type="dxa"/>
            <w:vMerge w:val="restart"/>
            <w:tcBorders>
              <w:right w:val="single" w:color="auto" w:sz="4" w:space="0"/>
            </w:tcBorders>
            <w:noWrap/>
            <w:vAlign w:val="center"/>
          </w:tcPr>
          <w:p w14:paraId="3395952C">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71CF34E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2C916C02">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6AC1DBAE">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58907593">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53266910">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59F97D82">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1AE166E9">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68B681E4">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0DE89B2C">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0A1BB536">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32FE2D7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1116BD97">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p>
          <w:p w14:paraId="40831C85">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cs="宋体"/>
                <w:sz w:val="20"/>
                <w:szCs w:val="20"/>
                <w:lang w:val="en-US" w:eastAsia="zh-CN"/>
              </w:rPr>
            </w:pPr>
            <w:r>
              <w:rPr>
                <w:rFonts w:hint="eastAsia" w:ascii="宋体" w:hAnsi="宋体" w:cs="宋体"/>
                <w:sz w:val="20"/>
                <w:szCs w:val="20"/>
                <w:lang w:val="en-US" w:eastAsia="zh-CN"/>
              </w:rPr>
              <w:t>2</w:t>
            </w:r>
          </w:p>
          <w:p w14:paraId="26701169">
            <w:pPr>
              <w:keepNext w:val="0"/>
              <w:keepLines w:val="0"/>
              <w:pageBreakBefore w:val="0"/>
              <w:kinsoku/>
              <w:wordWrap/>
              <w:overflowPunct/>
              <w:topLinePunct w:val="0"/>
              <w:autoSpaceDE/>
              <w:autoSpaceDN/>
              <w:bidi w:val="0"/>
              <w:adjustRightInd w:val="0"/>
              <w:snapToGrid w:val="0"/>
              <w:spacing w:line="400" w:lineRule="exact"/>
              <w:jc w:val="both"/>
              <w:textAlignment w:val="auto"/>
              <w:rPr>
                <w:rFonts w:hint="eastAsia" w:ascii="宋体" w:hAnsi="宋体" w:eastAsia="宋体" w:cs="宋体"/>
                <w:sz w:val="20"/>
                <w:szCs w:val="20"/>
              </w:rPr>
            </w:pPr>
          </w:p>
        </w:tc>
        <w:tc>
          <w:tcPr>
            <w:tcW w:w="2114" w:type="dxa"/>
            <w:vMerge w:val="restart"/>
            <w:tcBorders>
              <w:left w:val="single" w:color="auto" w:sz="4" w:space="0"/>
            </w:tcBorders>
            <w:noWrap/>
            <w:vAlign w:val="center"/>
          </w:tcPr>
          <w:p w14:paraId="4591FB43">
            <w:pPr>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color w:val="000000"/>
                <w:sz w:val="20"/>
                <w:szCs w:val="20"/>
              </w:rPr>
            </w:pPr>
          </w:p>
          <w:p w14:paraId="2329BB86">
            <w:pPr>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color w:val="000000"/>
                <w:sz w:val="20"/>
                <w:szCs w:val="20"/>
              </w:rPr>
            </w:pPr>
          </w:p>
          <w:p w14:paraId="5BD00243">
            <w:pPr>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color w:val="000000"/>
                <w:sz w:val="20"/>
                <w:szCs w:val="20"/>
              </w:rPr>
            </w:pPr>
          </w:p>
          <w:p w14:paraId="42DDE37C">
            <w:pPr>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color w:val="000000"/>
                <w:sz w:val="20"/>
                <w:szCs w:val="20"/>
              </w:rPr>
            </w:pPr>
          </w:p>
          <w:p w14:paraId="51060719">
            <w:pPr>
              <w:keepNext w:val="0"/>
              <w:keepLines w:val="0"/>
              <w:pageBreakBefore w:val="0"/>
              <w:kinsoku/>
              <w:wordWrap/>
              <w:overflowPunct/>
              <w:topLinePunct w:val="0"/>
              <w:autoSpaceDE/>
              <w:autoSpaceDN/>
              <w:bidi w:val="0"/>
              <w:adjustRightInd/>
              <w:snapToGrid w:val="0"/>
              <w:spacing w:line="400" w:lineRule="exact"/>
              <w:jc w:val="center"/>
              <w:rPr>
                <w:rFonts w:hint="eastAsia" w:ascii="宋体" w:hAnsi="宋体"/>
                <w:color w:val="000000"/>
                <w:sz w:val="20"/>
                <w:szCs w:val="20"/>
              </w:rPr>
            </w:pPr>
          </w:p>
          <w:p w14:paraId="2A63A8B9">
            <w:pPr>
              <w:keepNext w:val="0"/>
              <w:keepLines w:val="0"/>
              <w:pageBreakBefore w:val="0"/>
              <w:widowControl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r>
              <w:rPr>
                <w:rFonts w:hint="eastAsia" w:ascii="宋体" w:hAnsi="宋体" w:cs="宋体"/>
                <w:sz w:val="20"/>
                <w:szCs w:val="20"/>
                <w:lang w:val="en-US" w:eastAsia="zh-CN"/>
              </w:rPr>
              <w:t>技术</w:t>
            </w:r>
            <w:r>
              <w:rPr>
                <w:rFonts w:hint="eastAsia" w:ascii="宋体" w:hAnsi="宋体" w:eastAsia="宋体" w:cs="宋体"/>
                <w:sz w:val="20"/>
                <w:szCs w:val="20"/>
              </w:rPr>
              <w:t>评价项</w:t>
            </w:r>
          </w:p>
          <w:p w14:paraId="22AEB051">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r>
              <w:rPr>
                <w:rFonts w:hint="eastAsia" w:ascii="宋体" w:hAnsi="宋体" w:eastAsia="宋体" w:cs="宋体"/>
                <w:sz w:val="20"/>
                <w:szCs w:val="20"/>
              </w:rPr>
              <w:t>（F=</w:t>
            </w:r>
            <w:r>
              <w:rPr>
                <w:rFonts w:hint="eastAsia" w:ascii="宋体" w:hAnsi="宋体" w:cs="宋体"/>
                <w:sz w:val="20"/>
                <w:szCs w:val="20"/>
                <w:lang w:val="en-US" w:eastAsia="zh-CN"/>
              </w:rPr>
              <w:t>50</w:t>
            </w:r>
            <w:r>
              <w:rPr>
                <w:rFonts w:hint="eastAsia" w:ascii="宋体" w:hAnsi="宋体" w:eastAsia="宋体" w:cs="宋体"/>
                <w:sz w:val="20"/>
                <w:szCs w:val="20"/>
              </w:rPr>
              <w:t>分）</w:t>
            </w:r>
          </w:p>
        </w:tc>
        <w:tc>
          <w:tcPr>
            <w:tcW w:w="1367" w:type="dxa"/>
            <w:noWrap/>
            <w:vAlign w:val="center"/>
          </w:tcPr>
          <w:p w14:paraId="52AE5976">
            <w:pPr>
              <w:keepNext w:val="0"/>
              <w:keepLines w:val="0"/>
              <w:pageBreakBefore w:val="0"/>
              <w:widowControl w:val="0"/>
              <w:kinsoku/>
              <w:wordWrap/>
              <w:overflowPunct/>
              <w:topLinePunct w:val="0"/>
              <w:autoSpaceDE/>
              <w:autoSpaceDN/>
              <w:bidi w:val="0"/>
              <w:adjustRightInd w:val="0"/>
              <w:snapToGrid w:val="0"/>
              <w:spacing w:line="400" w:lineRule="exact"/>
              <w:jc w:val="left"/>
              <w:textAlignment w:val="auto"/>
              <w:rPr>
                <w:rFonts w:hint="eastAsia" w:ascii="宋体" w:hAnsi="宋体" w:eastAsia="宋体" w:cs="宋体"/>
                <w:sz w:val="20"/>
                <w:szCs w:val="20"/>
                <w:lang w:eastAsia="zh-CN"/>
              </w:rPr>
            </w:pPr>
            <w:r>
              <w:rPr>
                <w:rFonts w:hint="eastAsia" w:ascii="Times New Roman" w:hAnsi="Times New Roman" w:eastAsia="宋体" w:cs="Times New Roman"/>
                <w:color w:val="000000"/>
                <w:kern w:val="2"/>
                <w:sz w:val="20"/>
                <w:szCs w:val="20"/>
                <w:lang w:val="en-US" w:eastAsia="zh-CN" w:bidi="ar-SA"/>
              </w:rPr>
              <w:t>整体服务方案(15分)</w:t>
            </w:r>
          </w:p>
        </w:tc>
        <w:tc>
          <w:tcPr>
            <w:tcW w:w="4515" w:type="dxa"/>
            <w:noWrap/>
            <w:vAlign w:val="top"/>
          </w:tcPr>
          <w:p w14:paraId="34C213C7">
            <w:pPr>
              <w:keepNext w:val="0"/>
              <w:keepLines w:val="0"/>
              <w:pageBreakBefore w:val="0"/>
              <w:kinsoku/>
              <w:wordWrap/>
              <w:overflowPunct/>
              <w:topLinePunct w:val="0"/>
              <w:autoSpaceDE/>
              <w:autoSpaceDN/>
              <w:bidi w:val="0"/>
              <w:spacing w:line="400" w:lineRule="exact"/>
              <w:rPr>
                <w:rFonts w:hint="eastAsia"/>
                <w:sz w:val="20"/>
                <w:szCs w:val="20"/>
                <w:lang w:eastAsia="zh-CN"/>
              </w:rPr>
            </w:pPr>
            <w:r>
              <w:rPr>
                <w:rFonts w:hint="eastAsia"/>
                <w:b/>
                <w:bCs/>
                <w:sz w:val="20"/>
                <w:szCs w:val="20"/>
                <w:lang w:val="en-US" w:eastAsia="zh-CN"/>
              </w:rPr>
              <w:t>（一）评审内容：</w:t>
            </w:r>
            <w:r>
              <w:rPr>
                <w:rFonts w:hint="eastAsia"/>
                <w:sz w:val="20"/>
                <w:szCs w:val="20"/>
              </w:rPr>
              <w:t>投标人需根据本项目的采购需求及实际情况提供整体服务方案，包括但不限于</w:t>
            </w:r>
            <w:r>
              <w:rPr>
                <w:rFonts w:hint="eastAsia"/>
                <w:sz w:val="20"/>
                <w:szCs w:val="20"/>
                <w:lang w:eastAsia="zh-CN"/>
              </w:rPr>
              <w:t>（</w:t>
            </w:r>
            <w:r>
              <w:rPr>
                <w:rFonts w:hint="eastAsia"/>
                <w:sz w:val="20"/>
                <w:szCs w:val="20"/>
              </w:rPr>
              <w:t>1</w:t>
            </w:r>
            <w:r>
              <w:rPr>
                <w:rFonts w:hint="eastAsia" w:eastAsia="宋体"/>
                <w:sz w:val="20"/>
                <w:szCs w:val="20"/>
                <w:lang w:eastAsia="zh-CN"/>
              </w:rPr>
              <w:t>）</w:t>
            </w:r>
            <w:r>
              <w:rPr>
                <w:rFonts w:hint="eastAsia"/>
                <w:sz w:val="20"/>
                <w:szCs w:val="20"/>
              </w:rPr>
              <w:t>整体实施方案、</w:t>
            </w:r>
            <w:r>
              <w:rPr>
                <w:rFonts w:hint="eastAsia"/>
                <w:sz w:val="20"/>
                <w:szCs w:val="20"/>
                <w:lang w:eastAsia="zh-CN"/>
              </w:rPr>
              <w:t>（</w:t>
            </w:r>
            <w:r>
              <w:rPr>
                <w:rFonts w:hint="eastAsia"/>
                <w:sz w:val="20"/>
                <w:szCs w:val="20"/>
              </w:rPr>
              <w:t>2</w:t>
            </w:r>
            <w:r>
              <w:rPr>
                <w:rFonts w:hint="eastAsia" w:eastAsia="宋体"/>
                <w:sz w:val="20"/>
                <w:szCs w:val="20"/>
                <w:lang w:eastAsia="zh-CN"/>
              </w:rPr>
              <w:t>）</w:t>
            </w:r>
            <w:r>
              <w:rPr>
                <w:rFonts w:hint="eastAsia"/>
                <w:sz w:val="20"/>
                <w:szCs w:val="20"/>
              </w:rPr>
              <w:t>服务体系、</w:t>
            </w:r>
            <w:r>
              <w:rPr>
                <w:rFonts w:hint="eastAsia"/>
                <w:sz w:val="20"/>
                <w:szCs w:val="20"/>
                <w:lang w:eastAsia="zh-CN"/>
              </w:rPr>
              <w:t>（</w:t>
            </w:r>
            <w:r>
              <w:rPr>
                <w:rFonts w:hint="eastAsia"/>
                <w:sz w:val="20"/>
                <w:szCs w:val="20"/>
              </w:rPr>
              <w:t>3</w:t>
            </w:r>
            <w:r>
              <w:rPr>
                <w:rFonts w:hint="eastAsia" w:eastAsia="宋体"/>
                <w:sz w:val="20"/>
                <w:szCs w:val="20"/>
                <w:lang w:eastAsia="zh-CN"/>
              </w:rPr>
              <w:t>）</w:t>
            </w:r>
            <w:r>
              <w:rPr>
                <w:rFonts w:hint="eastAsia"/>
                <w:sz w:val="20"/>
                <w:szCs w:val="20"/>
              </w:rPr>
              <w:t>实施人员安排及工作安排、</w:t>
            </w:r>
            <w:r>
              <w:rPr>
                <w:rFonts w:hint="eastAsia"/>
                <w:sz w:val="20"/>
                <w:szCs w:val="20"/>
                <w:lang w:eastAsia="zh-CN"/>
              </w:rPr>
              <w:t>（</w:t>
            </w:r>
            <w:r>
              <w:rPr>
                <w:rFonts w:hint="eastAsia"/>
                <w:sz w:val="20"/>
                <w:szCs w:val="20"/>
              </w:rPr>
              <w:t>4</w:t>
            </w:r>
            <w:r>
              <w:rPr>
                <w:rFonts w:hint="eastAsia" w:eastAsia="宋体"/>
                <w:sz w:val="20"/>
                <w:szCs w:val="20"/>
                <w:lang w:eastAsia="zh-CN"/>
              </w:rPr>
              <w:t>）</w:t>
            </w:r>
            <w:r>
              <w:rPr>
                <w:rFonts w:hint="eastAsia"/>
                <w:sz w:val="20"/>
                <w:szCs w:val="20"/>
              </w:rPr>
              <w:t>日常组织管理方案、</w:t>
            </w:r>
            <w:r>
              <w:rPr>
                <w:rFonts w:hint="eastAsia"/>
                <w:sz w:val="20"/>
                <w:szCs w:val="20"/>
                <w:lang w:eastAsia="zh-CN"/>
              </w:rPr>
              <w:t>（</w:t>
            </w:r>
            <w:r>
              <w:rPr>
                <w:rFonts w:hint="eastAsia"/>
                <w:sz w:val="20"/>
                <w:szCs w:val="20"/>
              </w:rPr>
              <w:t>5</w:t>
            </w:r>
            <w:r>
              <w:rPr>
                <w:rFonts w:hint="eastAsia" w:eastAsia="宋体"/>
                <w:sz w:val="20"/>
                <w:szCs w:val="20"/>
                <w:lang w:eastAsia="zh-CN"/>
              </w:rPr>
              <w:t>）</w:t>
            </w:r>
            <w:r>
              <w:rPr>
                <w:rFonts w:hint="eastAsia"/>
                <w:sz w:val="20"/>
                <w:szCs w:val="20"/>
              </w:rPr>
              <w:t>服务承诺等进行综合评审</w:t>
            </w:r>
            <w:r>
              <w:rPr>
                <w:rFonts w:hint="eastAsia"/>
                <w:sz w:val="20"/>
                <w:szCs w:val="20"/>
                <w:lang w:eastAsia="zh-CN"/>
              </w:rPr>
              <w:t>。</w:t>
            </w:r>
          </w:p>
          <w:p w14:paraId="4E710A69">
            <w:pPr>
              <w:keepNext w:val="0"/>
              <w:keepLines w:val="0"/>
              <w:pageBreakBefore w:val="0"/>
              <w:kinsoku/>
              <w:wordWrap/>
              <w:overflowPunct/>
              <w:topLinePunct w:val="0"/>
              <w:autoSpaceDE/>
              <w:autoSpaceDN/>
              <w:bidi w:val="0"/>
              <w:spacing w:line="400" w:lineRule="exact"/>
              <w:rPr>
                <w:rFonts w:hint="eastAsia"/>
                <w:sz w:val="20"/>
                <w:szCs w:val="20"/>
              </w:rPr>
            </w:pPr>
            <w:r>
              <w:rPr>
                <w:rFonts w:hint="eastAsia"/>
                <w:b/>
                <w:bCs/>
                <w:sz w:val="20"/>
                <w:szCs w:val="20"/>
                <w:lang w:val="en-US" w:eastAsia="zh-CN"/>
              </w:rPr>
              <w:t>（二）评审依据：</w:t>
            </w:r>
            <w:r>
              <w:rPr>
                <w:rFonts w:hint="eastAsia"/>
                <w:sz w:val="20"/>
                <w:szCs w:val="20"/>
              </w:rPr>
              <w:t>评标委员会对投标人提供的</w:t>
            </w:r>
            <w:r>
              <w:rPr>
                <w:rFonts w:hint="eastAsia"/>
                <w:sz w:val="20"/>
                <w:szCs w:val="20"/>
                <w:lang w:val="en-US" w:eastAsia="zh-CN"/>
              </w:rPr>
              <w:t>整体服务方案</w:t>
            </w:r>
            <w:r>
              <w:rPr>
                <w:rFonts w:hint="eastAsia"/>
                <w:sz w:val="20"/>
                <w:szCs w:val="20"/>
              </w:rPr>
              <w:t>进行综合评审，满足项目实际情况</w:t>
            </w:r>
            <w:r>
              <w:rPr>
                <w:rFonts w:hint="eastAsia"/>
                <w:sz w:val="20"/>
                <w:szCs w:val="20"/>
                <w:lang w:val="en-US" w:eastAsia="zh-CN"/>
              </w:rPr>
              <w:t>并满足采购需求的</w:t>
            </w:r>
            <w:r>
              <w:rPr>
                <w:rFonts w:hint="eastAsia"/>
                <w:sz w:val="20"/>
                <w:szCs w:val="20"/>
              </w:rPr>
              <w:t>，</w:t>
            </w:r>
            <w:r>
              <w:rPr>
                <w:rFonts w:hint="eastAsia"/>
                <w:sz w:val="20"/>
                <w:szCs w:val="20"/>
                <w:lang w:val="en-US" w:eastAsia="zh-CN"/>
              </w:rPr>
              <w:t>每单项3分，共</w:t>
            </w:r>
            <w:r>
              <w:rPr>
                <w:rFonts w:hint="eastAsia"/>
                <w:sz w:val="20"/>
                <w:szCs w:val="20"/>
              </w:rPr>
              <w:t>计</w:t>
            </w:r>
            <w:r>
              <w:rPr>
                <w:rFonts w:hint="eastAsia"/>
                <w:sz w:val="20"/>
                <w:szCs w:val="20"/>
                <w:lang w:val="en-US" w:eastAsia="zh-CN"/>
              </w:rPr>
              <w:t>15</w:t>
            </w:r>
            <w:r>
              <w:rPr>
                <w:rFonts w:hint="eastAsia"/>
                <w:sz w:val="20"/>
                <w:szCs w:val="20"/>
              </w:rPr>
              <w:t>分，每出现一处缺漏项的情况扣</w:t>
            </w:r>
            <w:r>
              <w:rPr>
                <w:rFonts w:hint="eastAsia"/>
                <w:sz w:val="20"/>
                <w:szCs w:val="20"/>
                <w:lang w:val="en-US" w:eastAsia="zh-CN"/>
              </w:rPr>
              <w:t>3</w:t>
            </w:r>
            <w:r>
              <w:rPr>
                <w:rFonts w:hint="eastAsia"/>
                <w:sz w:val="20"/>
                <w:szCs w:val="20"/>
              </w:rPr>
              <w:t>分，每出现一处欠完善或针对性欠缺的每项扣</w:t>
            </w:r>
            <w:r>
              <w:rPr>
                <w:rFonts w:hint="eastAsia"/>
                <w:sz w:val="20"/>
                <w:szCs w:val="20"/>
                <w:lang w:val="en-US" w:eastAsia="zh-CN"/>
              </w:rPr>
              <w:t>1</w:t>
            </w:r>
            <w:r>
              <w:rPr>
                <w:rFonts w:hint="eastAsia"/>
                <w:sz w:val="20"/>
                <w:szCs w:val="20"/>
              </w:rPr>
              <w:t>分，</w:t>
            </w:r>
            <w:r>
              <w:rPr>
                <w:rFonts w:hint="eastAsia"/>
                <w:sz w:val="20"/>
                <w:szCs w:val="20"/>
                <w:lang w:val="en-US" w:eastAsia="zh-CN"/>
              </w:rPr>
              <w:t>每单项</w:t>
            </w:r>
            <w:r>
              <w:rPr>
                <w:rFonts w:hint="eastAsia"/>
                <w:sz w:val="20"/>
                <w:szCs w:val="20"/>
              </w:rPr>
              <w:t>上述分值扣完为止。未提供方案的不计分。</w:t>
            </w:r>
          </w:p>
          <w:p w14:paraId="6E4D1F52">
            <w:pPr>
              <w:keepNext w:val="0"/>
              <w:keepLines w:val="0"/>
              <w:pageBreakBefore w:val="0"/>
              <w:kinsoku/>
              <w:wordWrap/>
              <w:overflowPunct/>
              <w:topLinePunct w:val="0"/>
              <w:autoSpaceDE/>
              <w:autoSpaceDN/>
              <w:bidi w:val="0"/>
              <w:spacing w:line="400" w:lineRule="exact"/>
              <w:rPr>
                <w:rFonts w:hint="eastAsia"/>
                <w:sz w:val="20"/>
                <w:szCs w:val="20"/>
              </w:rPr>
            </w:pPr>
            <w:r>
              <w:rPr>
                <w:rFonts w:hint="eastAsia"/>
                <w:sz w:val="20"/>
                <w:szCs w:val="20"/>
              </w:rPr>
              <w:t>注：</w:t>
            </w:r>
          </w:p>
          <w:p w14:paraId="56796DC1">
            <w:pPr>
              <w:keepNext w:val="0"/>
              <w:keepLines w:val="0"/>
              <w:pageBreakBefore w:val="0"/>
              <w:kinsoku/>
              <w:wordWrap/>
              <w:overflowPunct/>
              <w:topLinePunct w:val="0"/>
              <w:autoSpaceDE/>
              <w:autoSpaceDN/>
              <w:bidi w:val="0"/>
              <w:spacing w:line="400" w:lineRule="exact"/>
              <w:rPr>
                <w:rFonts w:hint="eastAsia"/>
                <w:sz w:val="20"/>
                <w:szCs w:val="20"/>
              </w:rPr>
            </w:pPr>
            <w:r>
              <w:rPr>
                <w:rFonts w:hint="eastAsia"/>
                <w:sz w:val="20"/>
                <w:szCs w:val="20"/>
              </w:rPr>
              <w:t>1、“缺漏项”：缺漏项是指该项内容未提供具体的方案内容或者整段内容照搬采购需求的；</w:t>
            </w:r>
          </w:p>
          <w:p w14:paraId="310E292A">
            <w:pPr>
              <w:keepNext w:val="0"/>
              <w:keepLines w:val="0"/>
              <w:pageBreakBefore w:val="0"/>
              <w:kinsoku/>
              <w:wordWrap/>
              <w:overflowPunct/>
              <w:topLinePunct w:val="0"/>
              <w:autoSpaceDE/>
              <w:autoSpaceDN/>
              <w:bidi w:val="0"/>
              <w:spacing w:line="400" w:lineRule="exact"/>
              <w:rPr>
                <w:rFonts w:hint="eastAsia"/>
                <w:sz w:val="20"/>
                <w:szCs w:val="20"/>
                <w:lang w:eastAsia="zh-CN"/>
              </w:rPr>
            </w:pPr>
            <w:r>
              <w:rPr>
                <w:rFonts w:hint="eastAsia"/>
                <w:sz w:val="20"/>
                <w:szCs w:val="20"/>
              </w:rPr>
              <w:t>2、“欠完善或针对性欠缺”是指内容不完整或者缺少关键实质性内容或者方案内容空洞、语义表述不清，存在歧义、逻辑混乱、内容不完善等。</w:t>
            </w:r>
          </w:p>
        </w:tc>
      </w:tr>
      <w:tr w14:paraId="324BCF6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7" w:type="dxa"/>
            <w:vMerge w:val="continue"/>
            <w:tcBorders>
              <w:right w:val="single" w:color="auto" w:sz="4" w:space="0"/>
            </w:tcBorders>
            <w:noWrap/>
            <w:vAlign w:val="center"/>
          </w:tcPr>
          <w:p w14:paraId="36E7B7E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p>
        </w:tc>
        <w:tc>
          <w:tcPr>
            <w:tcW w:w="2114" w:type="dxa"/>
            <w:vMerge w:val="continue"/>
            <w:tcBorders>
              <w:left w:val="single" w:color="auto" w:sz="4" w:space="0"/>
            </w:tcBorders>
            <w:noWrap/>
            <w:vAlign w:val="center"/>
          </w:tcPr>
          <w:p w14:paraId="2F2916EA">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p>
        </w:tc>
        <w:tc>
          <w:tcPr>
            <w:tcW w:w="1367" w:type="dxa"/>
            <w:noWrap/>
            <w:vAlign w:val="center"/>
          </w:tcPr>
          <w:p w14:paraId="198BB270">
            <w:pPr>
              <w:keepNext w:val="0"/>
              <w:keepLines w:val="0"/>
              <w:pageBreakBefore w:val="0"/>
              <w:widowControl/>
              <w:suppressLineNumbers w:val="0"/>
              <w:kinsoku/>
              <w:wordWrap/>
              <w:overflowPunct/>
              <w:topLinePunct w:val="0"/>
              <w:autoSpaceDE/>
              <w:autoSpaceDN/>
              <w:bidi w:val="0"/>
              <w:adjustRightInd/>
              <w:spacing w:line="400" w:lineRule="exact"/>
              <w:jc w:val="center"/>
              <w:textAlignment w:val="center"/>
              <w:rPr>
                <w:rFonts w:hint="eastAsia" w:ascii="宋体" w:hAnsi="宋体" w:eastAsia="宋体" w:cs="宋体"/>
                <w:sz w:val="20"/>
                <w:szCs w:val="20"/>
                <w:lang w:eastAsia="zh-CN"/>
              </w:rPr>
            </w:pPr>
            <w:r>
              <w:rPr>
                <w:rFonts w:hint="eastAsia" w:ascii="宋体" w:hAnsi="宋体" w:eastAsia="宋体" w:cs="宋体"/>
                <w:sz w:val="20"/>
                <w:szCs w:val="20"/>
                <w:lang w:eastAsia="zh-CN"/>
              </w:rPr>
              <w:t>产品质量安全管理方案(15分)</w:t>
            </w:r>
          </w:p>
        </w:tc>
        <w:tc>
          <w:tcPr>
            <w:tcW w:w="4515" w:type="dxa"/>
            <w:noWrap/>
            <w:vAlign w:val="center"/>
          </w:tcPr>
          <w:p w14:paraId="74AE1E96">
            <w:pPr>
              <w:keepNext w:val="0"/>
              <w:keepLines w:val="0"/>
              <w:pageBreakBefore w:val="0"/>
              <w:kinsoku/>
              <w:wordWrap/>
              <w:overflowPunct/>
              <w:topLinePunct w:val="0"/>
              <w:autoSpaceDE/>
              <w:autoSpaceDN/>
              <w:bidi w:val="0"/>
              <w:spacing w:line="400" w:lineRule="exact"/>
              <w:rPr>
                <w:rFonts w:hint="eastAsia"/>
                <w:sz w:val="20"/>
                <w:szCs w:val="20"/>
                <w:lang w:eastAsia="zh-CN"/>
              </w:rPr>
            </w:pPr>
            <w:r>
              <w:rPr>
                <w:rFonts w:hint="eastAsia"/>
                <w:b/>
                <w:bCs/>
                <w:sz w:val="20"/>
                <w:szCs w:val="20"/>
                <w:lang w:val="en-US" w:eastAsia="zh-CN"/>
              </w:rPr>
              <w:t>（一）评审内容：</w:t>
            </w:r>
            <w:r>
              <w:rPr>
                <w:rFonts w:hint="eastAsia"/>
                <w:sz w:val="20"/>
                <w:szCs w:val="20"/>
              </w:rPr>
              <w:t>投标人需根据本项目的采购需求及实际情况提供产品质量安全管理方案，包括但不限于(1)货品来源及各环节质量保障方案、(2)产品质量标准、(3)食品卫生防护保障方案、(4)食品安全保障措施、(5)产品新鲜度保证措施等进行综合评审</w:t>
            </w:r>
            <w:r>
              <w:rPr>
                <w:rFonts w:hint="eastAsia"/>
                <w:sz w:val="20"/>
                <w:szCs w:val="20"/>
                <w:lang w:eastAsia="zh-CN"/>
              </w:rPr>
              <w:t>。</w:t>
            </w:r>
          </w:p>
          <w:p w14:paraId="02F1F173">
            <w:pPr>
              <w:keepNext w:val="0"/>
              <w:keepLines w:val="0"/>
              <w:pageBreakBefore w:val="0"/>
              <w:kinsoku/>
              <w:wordWrap/>
              <w:overflowPunct/>
              <w:topLinePunct w:val="0"/>
              <w:autoSpaceDE/>
              <w:autoSpaceDN/>
              <w:bidi w:val="0"/>
              <w:spacing w:line="400" w:lineRule="exact"/>
              <w:rPr>
                <w:rFonts w:hint="eastAsia"/>
                <w:sz w:val="20"/>
                <w:szCs w:val="20"/>
              </w:rPr>
            </w:pPr>
            <w:r>
              <w:rPr>
                <w:rFonts w:hint="eastAsia"/>
                <w:b/>
                <w:bCs/>
                <w:sz w:val="20"/>
                <w:szCs w:val="20"/>
                <w:lang w:val="en-US" w:eastAsia="zh-CN"/>
              </w:rPr>
              <w:t>（二）评审依据：</w:t>
            </w:r>
            <w:r>
              <w:rPr>
                <w:rFonts w:hint="eastAsia"/>
                <w:sz w:val="20"/>
                <w:szCs w:val="20"/>
              </w:rPr>
              <w:t>评标委员会对投标人提供的</w:t>
            </w:r>
            <w:r>
              <w:rPr>
                <w:rFonts w:hint="eastAsia"/>
                <w:sz w:val="20"/>
                <w:szCs w:val="20"/>
                <w:lang w:eastAsia="zh-CN"/>
              </w:rPr>
              <w:t>产品质量安全管理方案</w:t>
            </w:r>
            <w:r>
              <w:rPr>
                <w:rFonts w:hint="eastAsia"/>
                <w:sz w:val="20"/>
                <w:szCs w:val="20"/>
              </w:rPr>
              <w:t>进行综合评审，满足项目实际情况</w:t>
            </w:r>
            <w:r>
              <w:rPr>
                <w:rFonts w:hint="eastAsia"/>
                <w:sz w:val="20"/>
                <w:szCs w:val="20"/>
                <w:lang w:val="en-US" w:eastAsia="zh-CN"/>
              </w:rPr>
              <w:t>并满足采购需求的</w:t>
            </w:r>
            <w:r>
              <w:rPr>
                <w:rFonts w:hint="eastAsia"/>
                <w:sz w:val="20"/>
                <w:szCs w:val="20"/>
              </w:rPr>
              <w:t>，</w:t>
            </w:r>
            <w:r>
              <w:rPr>
                <w:rFonts w:hint="eastAsia"/>
                <w:sz w:val="20"/>
                <w:szCs w:val="20"/>
                <w:lang w:val="en-US" w:eastAsia="zh-CN"/>
              </w:rPr>
              <w:t>每单项3分，共</w:t>
            </w:r>
            <w:r>
              <w:rPr>
                <w:rFonts w:hint="eastAsia"/>
                <w:sz w:val="20"/>
                <w:szCs w:val="20"/>
              </w:rPr>
              <w:t>计</w:t>
            </w:r>
            <w:r>
              <w:rPr>
                <w:rFonts w:hint="eastAsia"/>
                <w:sz w:val="20"/>
                <w:szCs w:val="20"/>
                <w:lang w:val="en-US" w:eastAsia="zh-CN"/>
              </w:rPr>
              <w:t>15</w:t>
            </w:r>
            <w:r>
              <w:rPr>
                <w:rFonts w:hint="eastAsia"/>
                <w:sz w:val="20"/>
                <w:szCs w:val="20"/>
              </w:rPr>
              <w:t>分，每出现一处缺漏项的情况扣</w:t>
            </w:r>
            <w:r>
              <w:rPr>
                <w:rFonts w:hint="eastAsia"/>
                <w:sz w:val="20"/>
                <w:szCs w:val="20"/>
                <w:lang w:val="en-US" w:eastAsia="zh-CN"/>
              </w:rPr>
              <w:t>3</w:t>
            </w:r>
            <w:r>
              <w:rPr>
                <w:rFonts w:hint="eastAsia"/>
                <w:sz w:val="20"/>
                <w:szCs w:val="20"/>
              </w:rPr>
              <w:t>分，每出现一处欠完善或针对性欠缺的每项扣</w:t>
            </w:r>
            <w:r>
              <w:rPr>
                <w:rFonts w:hint="eastAsia"/>
                <w:sz w:val="20"/>
                <w:szCs w:val="20"/>
                <w:lang w:val="en-US" w:eastAsia="zh-CN"/>
              </w:rPr>
              <w:t>1</w:t>
            </w:r>
            <w:r>
              <w:rPr>
                <w:rFonts w:hint="eastAsia"/>
                <w:sz w:val="20"/>
                <w:szCs w:val="20"/>
              </w:rPr>
              <w:t>分，</w:t>
            </w:r>
            <w:r>
              <w:rPr>
                <w:rFonts w:hint="eastAsia"/>
                <w:sz w:val="20"/>
                <w:szCs w:val="20"/>
                <w:lang w:val="en-US" w:eastAsia="zh-CN"/>
              </w:rPr>
              <w:t>每单项</w:t>
            </w:r>
            <w:r>
              <w:rPr>
                <w:rFonts w:hint="eastAsia"/>
                <w:sz w:val="20"/>
                <w:szCs w:val="20"/>
              </w:rPr>
              <w:t>上述分值扣完为止。未提供方案的不计分。</w:t>
            </w:r>
          </w:p>
          <w:p w14:paraId="5CE7D45C">
            <w:pPr>
              <w:keepNext w:val="0"/>
              <w:keepLines w:val="0"/>
              <w:pageBreakBefore w:val="0"/>
              <w:kinsoku/>
              <w:wordWrap/>
              <w:overflowPunct/>
              <w:topLinePunct w:val="0"/>
              <w:autoSpaceDE/>
              <w:autoSpaceDN/>
              <w:bidi w:val="0"/>
              <w:spacing w:line="400" w:lineRule="exact"/>
              <w:rPr>
                <w:rFonts w:hint="eastAsia"/>
                <w:sz w:val="20"/>
                <w:szCs w:val="20"/>
              </w:rPr>
            </w:pPr>
            <w:r>
              <w:rPr>
                <w:rFonts w:hint="eastAsia"/>
                <w:sz w:val="20"/>
                <w:szCs w:val="20"/>
              </w:rPr>
              <w:t>注：</w:t>
            </w:r>
          </w:p>
          <w:p w14:paraId="744B980B">
            <w:pPr>
              <w:keepNext w:val="0"/>
              <w:keepLines w:val="0"/>
              <w:pageBreakBefore w:val="0"/>
              <w:kinsoku/>
              <w:wordWrap/>
              <w:overflowPunct/>
              <w:topLinePunct w:val="0"/>
              <w:autoSpaceDE/>
              <w:autoSpaceDN/>
              <w:bidi w:val="0"/>
              <w:spacing w:line="400" w:lineRule="exact"/>
              <w:rPr>
                <w:rFonts w:hint="eastAsia"/>
                <w:sz w:val="20"/>
                <w:szCs w:val="20"/>
              </w:rPr>
            </w:pPr>
            <w:r>
              <w:rPr>
                <w:rFonts w:hint="eastAsia"/>
                <w:sz w:val="20"/>
                <w:szCs w:val="20"/>
              </w:rPr>
              <w:t>1、“缺漏项”：缺漏项是指该项内容未提供具体的方案内容或者整段内容照搬采购需求的；</w:t>
            </w:r>
          </w:p>
          <w:p w14:paraId="523EBFA6">
            <w:pPr>
              <w:keepNext w:val="0"/>
              <w:keepLines w:val="0"/>
              <w:pageBreakBefore w:val="0"/>
              <w:kinsoku/>
              <w:wordWrap/>
              <w:overflowPunct/>
              <w:topLinePunct w:val="0"/>
              <w:autoSpaceDE/>
              <w:autoSpaceDN/>
              <w:bidi w:val="0"/>
              <w:spacing w:line="400" w:lineRule="exact"/>
              <w:rPr>
                <w:rFonts w:hint="eastAsia"/>
                <w:sz w:val="20"/>
                <w:szCs w:val="20"/>
                <w:lang w:eastAsia="zh-CN"/>
              </w:rPr>
            </w:pPr>
            <w:r>
              <w:rPr>
                <w:rFonts w:hint="eastAsia"/>
                <w:sz w:val="20"/>
                <w:szCs w:val="20"/>
              </w:rPr>
              <w:t>2、“欠完善或针对性欠缺”是指内容不完整或者缺少关键实质性内容或者方案内容空洞、语义表述不清，存在歧义、逻辑混乱、内容不完善等。</w:t>
            </w:r>
          </w:p>
        </w:tc>
      </w:tr>
      <w:tr w14:paraId="0CC3EDC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7" w:type="dxa"/>
            <w:vMerge w:val="continue"/>
            <w:tcBorders>
              <w:right w:val="single" w:color="auto" w:sz="4" w:space="0"/>
            </w:tcBorders>
            <w:noWrap/>
            <w:vAlign w:val="center"/>
          </w:tcPr>
          <w:p w14:paraId="7E10384C">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p>
        </w:tc>
        <w:tc>
          <w:tcPr>
            <w:tcW w:w="2114" w:type="dxa"/>
            <w:vMerge w:val="continue"/>
            <w:tcBorders>
              <w:left w:val="single" w:color="auto" w:sz="4" w:space="0"/>
            </w:tcBorders>
            <w:noWrap/>
            <w:vAlign w:val="center"/>
          </w:tcPr>
          <w:p w14:paraId="78AA777D">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p>
        </w:tc>
        <w:tc>
          <w:tcPr>
            <w:tcW w:w="1367" w:type="dxa"/>
            <w:noWrap/>
            <w:vAlign w:val="center"/>
          </w:tcPr>
          <w:p w14:paraId="708E39C6">
            <w:pPr>
              <w:keepNext w:val="0"/>
              <w:keepLines w:val="0"/>
              <w:pageBreakBefore w:val="0"/>
              <w:widowControl/>
              <w:suppressLineNumbers w:val="0"/>
              <w:kinsoku/>
              <w:wordWrap/>
              <w:overflowPunct/>
              <w:topLinePunct w:val="0"/>
              <w:autoSpaceDE/>
              <w:autoSpaceDN/>
              <w:bidi w:val="0"/>
              <w:adjustRightInd/>
              <w:spacing w:line="400" w:lineRule="exact"/>
              <w:jc w:val="center"/>
              <w:textAlignment w:val="center"/>
              <w:rPr>
                <w:rFonts w:hint="eastAsia" w:ascii="宋体" w:hAnsi="宋体" w:eastAsia="宋体" w:cs="宋体"/>
                <w:sz w:val="20"/>
                <w:szCs w:val="20"/>
                <w:lang w:eastAsia="zh-CN"/>
              </w:rPr>
            </w:pPr>
            <w:r>
              <w:rPr>
                <w:rFonts w:hint="eastAsia" w:ascii="宋体" w:hAnsi="宋体" w:eastAsia="宋体" w:cs="宋体"/>
                <w:sz w:val="20"/>
                <w:szCs w:val="20"/>
                <w:lang w:eastAsia="zh-CN"/>
              </w:rPr>
              <w:t>卫生管理控制方案</w:t>
            </w:r>
          </w:p>
          <w:p w14:paraId="00836C7E">
            <w:pPr>
              <w:keepNext w:val="0"/>
              <w:keepLines w:val="0"/>
              <w:pageBreakBefore w:val="0"/>
              <w:widowControl/>
              <w:suppressLineNumbers w:val="0"/>
              <w:kinsoku/>
              <w:wordWrap/>
              <w:overflowPunct/>
              <w:topLinePunct w:val="0"/>
              <w:autoSpaceDE/>
              <w:autoSpaceDN/>
              <w:bidi w:val="0"/>
              <w:adjustRightInd/>
              <w:spacing w:line="400" w:lineRule="exact"/>
              <w:jc w:val="center"/>
              <w:textAlignment w:val="center"/>
              <w:rPr>
                <w:rFonts w:hint="eastAsia" w:ascii="宋体" w:hAnsi="宋体" w:eastAsia="宋体" w:cs="宋体"/>
                <w:sz w:val="20"/>
                <w:szCs w:val="20"/>
                <w:lang w:eastAsia="zh-CN"/>
              </w:rPr>
            </w:pPr>
            <w:r>
              <w:rPr>
                <w:rFonts w:hint="eastAsia" w:ascii="宋体" w:hAnsi="宋体" w:cs="宋体"/>
                <w:sz w:val="20"/>
                <w:szCs w:val="20"/>
                <w:lang w:eastAsia="zh-CN"/>
              </w:rPr>
              <w:t>（</w:t>
            </w:r>
            <w:r>
              <w:rPr>
                <w:rFonts w:hint="eastAsia" w:ascii="宋体" w:hAnsi="宋体" w:cs="宋体"/>
                <w:sz w:val="20"/>
                <w:szCs w:val="20"/>
                <w:lang w:val="en-US" w:eastAsia="zh-CN"/>
              </w:rPr>
              <w:t>10分</w:t>
            </w:r>
            <w:r>
              <w:rPr>
                <w:rFonts w:hint="eastAsia" w:ascii="宋体" w:hAnsi="宋体" w:cs="宋体"/>
                <w:sz w:val="20"/>
                <w:szCs w:val="20"/>
                <w:lang w:eastAsia="zh-CN"/>
              </w:rPr>
              <w:t>）</w:t>
            </w:r>
          </w:p>
        </w:tc>
        <w:tc>
          <w:tcPr>
            <w:tcW w:w="4515" w:type="dxa"/>
            <w:noWrap/>
            <w:vAlign w:val="center"/>
          </w:tcPr>
          <w:p w14:paraId="6C572647">
            <w:pPr>
              <w:keepNext w:val="0"/>
              <w:keepLines w:val="0"/>
              <w:pageBreakBefore w:val="0"/>
              <w:kinsoku/>
              <w:wordWrap/>
              <w:overflowPunct/>
              <w:topLinePunct w:val="0"/>
              <w:autoSpaceDE/>
              <w:autoSpaceDN/>
              <w:bidi w:val="0"/>
              <w:spacing w:line="400" w:lineRule="exact"/>
              <w:rPr>
                <w:rFonts w:hint="eastAsia"/>
                <w:sz w:val="20"/>
                <w:szCs w:val="20"/>
                <w:lang w:eastAsia="zh-CN"/>
              </w:rPr>
            </w:pPr>
            <w:r>
              <w:rPr>
                <w:rFonts w:hint="eastAsia"/>
                <w:b/>
                <w:bCs/>
                <w:sz w:val="20"/>
                <w:szCs w:val="20"/>
                <w:lang w:val="en-US" w:eastAsia="zh-CN"/>
              </w:rPr>
              <w:t>（一）评审内容：</w:t>
            </w:r>
            <w:r>
              <w:rPr>
                <w:rFonts w:hint="eastAsia"/>
                <w:sz w:val="20"/>
                <w:szCs w:val="20"/>
              </w:rPr>
              <w:t>投标人针对本项目的实际情况提供的卫生管理方案(内容包含但不限于(1)工作人员卫生标准、(2)餐厨环境卫生标准、(3)餐厨垃圾分类处理方案等因素、(4)蔬菜的清洗操作标准、(5)餐具清洗消毒操作标准)综合评审</w:t>
            </w:r>
            <w:r>
              <w:rPr>
                <w:rFonts w:hint="eastAsia"/>
                <w:sz w:val="20"/>
                <w:szCs w:val="20"/>
                <w:lang w:eastAsia="zh-CN"/>
              </w:rPr>
              <w:t>。</w:t>
            </w:r>
          </w:p>
          <w:p w14:paraId="1CB8B6F4">
            <w:pPr>
              <w:keepNext w:val="0"/>
              <w:keepLines w:val="0"/>
              <w:pageBreakBefore w:val="0"/>
              <w:kinsoku/>
              <w:wordWrap/>
              <w:overflowPunct/>
              <w:topLinePunct w:val="0"/>
              <w:autoSpaceDE/>
              <w:autoSpaceDN/>
              <w:bidi w:val="0"/>
              <w:spacing w:line="400" w:lineRule="exact"/>
              <w:rPr>
                <w:rFonts w:hint="eastAsia"/>
                <w:sz w:val="20"/>
                <w:szCs w:val="20"/>
              </w:rPr>
            </w:pPr>
            <w:r>
              <w:rPr>
                <w:rFonts w:hint="eastAsia"/>
                <w:b/>
                <w:bCs/>
                <w:sz w:val="20"/>
                <w:szCs w:val="20"/>
                <w:lang w:val="en-US" w:eastAsia="zh-CN"/>
              </w:rPr>
              <w:t>（二）评审依据：</w:t>
            </w:r>
            <w:r>
              <w:rPr>
                <w:rFonts w:hint="eastAsia"/>
                <w:sz w:val="20"/>
                <w:szCs w:val="20"/>
              </w:rPr>
              <w:t>评标委员会对投标人提供的</w:t>
            </w:r>
            <w:r>
              <w:rPr>
                <w:rFonts w:hint="eastAsia"/>
                <w:sz w:val="20"/>
                <w:szCs w:val="20"/>
                <w:lang w:eastAsia="zh-CN"/>
              </w:rPr>
              <w:t>卫生管理控制方案</w:t>
            </w:r>
            <w:r>
              <w:rPr>
                <w:rFonts w:hint="eastAsia"/>
                <w:sz w:val="20"/>
                <w:szCs w:val="20"/>
              </w:rPr>
              <w:t>进行综合评审，满足项目实际情况</w:t>
            </w:r>
            <w:r>
              <w:rPr>
                <w:rFonts w:hint="eastAsia"/>
                <w:sz w:val="20"/>
                <w:szCs w:val="20"/>
                <w:lang w:val="en-US" w:eastAsia="zh-CN"/>
              </w:rPr>
              <w:t>并满足采购需求的</w:t>
            </w:r>
            <w:r>
              <w:rPr>
                <w:rFonts w:hint="eastAsia"/>
                <w:sz w:val="20"/>
                <w:szCs w:val="20"/>
              </w:rPr>
              <w:t>，</w:t>
            </w:r>
            <w:r>
              <w:rPr>
                <w:rFonts w:hint="eastAsia"/>
                <w:sz w:val="20"/>
                <w:szCs w:val="20"/>
                <w:lang w:val="en-US" w:eastAsia="zh-CN"/>
              </w:rPr>
              <w:t>每单项2分，共</w:t>
            </w:r>
            <w:r>
              <w:rPr>
                <w:rFonts w:hint="eastAsia" w:eastAsia="宋体"/>
                <w:sz w:val="20"/>
                <w:szCs w:val="20"/>
                <w:lang w:eastAsia="zh-CN"/>
              </w:rPr>
              <w:t>计</w:t>
            </w:r>
            <w:r>
              <w:rPr>
                <w:rFonts w:hint="eastAsia" w:ascii="Times New Roman" w:eastAsia="宋体"/>
                <w:sz w:val="20"/>
                <w:szCs w:val="20"/>
                <w:lang w:val="en-US" w:eastAsia="zh-CN"/>
              </w:rPr>
              <w:t>10</w:t>
            </w:r>
            <w:r>
              <w:rPr>
                <w:rFonts w:hint="eastAsia" w:eastAsia="宋体"/>
                <w:sz w:val="20"/>
                <w:szCs w:val="20"/>
                <w:lang w:eastAsia="zh-CN"/>
              </w:rPr>
              <w:t>分</w:t>
            </w:r>
            <w:r>
              <w:rPr>
                <w:rFonts w:hint="eastAsia"/>
                <w:sz w:val="20"/>
                <w:szCs w:val="20"/>
              </w:rPr>
              <w:t>，每出现一处缺漏项的情况扣</w:t>
            </w:r>
            <w:r>
              <w:rPr>
                <w:rFonts w:hint="eastAsia"/>
                <w:sz w:val="20"/>
                <w:szCs w:val="20"/>
                <w:lang w:val="en-US" w:eastAsia="zh-CN"/>
              </w:rPr>
              <w:t>2</w:t>
            </w:r>
            <w:r>
              <w:rPr>
                <w:rFonts w:hint="eastAsia"/>
                <w:sz w:val="20"/>
                <w:szCs w:val="20"/>
              </w:rPr>
              <w:t>分，每出现一处欠完善或针对性欠缺的每项扣</w:t>
            </w:r>
            <w:r>
              <w:rPr>
                <w:rFonts w:hint="eastAsia"/>
                <w:sz w:val="20"/>
                <w:szCs w:val="20"/>
                <w:lang w:val="en-US" w:eastAsia="zh-CN"/>
              </w:rPr>
              <w:t>1</w:t>
            </w:r>
            <w:r>
              <w:rPr>
                <w:rFonts w:hint="eastAsia"/>
                <w:sz w:val="20"/>
                <w:szCs w:val="20"/>
              </w:rPr>
              <w:t>分，</w:t>
            </w:r>
            <w:r>
              <w:rPr>
                <w:rFonts w:hint="eastAsia"/>
                <w:sz w:val="20"/>
                <w:szCs w:val="20"/>
                <w:lang w:val="en-US" w:eastAsia="zh-CN"/>
              </w:rPr>
              <w:t>每单项</w:t>
            </w:r>
            <w:r>
              <w:rPr>
                <w:rFonts w:hint="eastAsia"/>
                <w:sz w:val="20"/>
                <w:szCs w:val="20"/>
              </w:rPr>
              <w:t>上述分值扣完为止。未提供方案的不计分。</w:t>
            </w:r>
          </w:p>
          <w:p w14:paraId="18304C8C">
            <w:pPr>
              <w:keepNext w:val="0"/>
              <w:keepLines w:val="0"/>
              <w:pageBreakBefore w:val="0"/>
              <w:kinsoku/>
              <w:wordWrap/>
              <w:overflowPunct/>
              <w:topLinePunct w:val="0"/>
              <w:autoSpaceDE/>
              <w:autoSpaceDN/>
              <w:bidi w:val="0"/>
              <w:spacing w:line="400" w:lineRule="exact"/>
              <w:rPr>
                <w:rFonts w:hint="eastAsia"/>
                <w:sz w:val="20"/>
                <w:szCs w:val="20"/>
              </w:rPr>
            </w:pPr>
            <w:r>
              <w:rPr>
                <w:rFonts w:hint="eastAsia"/>
                <w:sz w:val="20"/>
                <w:szCs w:val="20"/>
              </w:rPr>
              <w:t>注：</w:t>
            </w:r>
          </w:p>
          <w:p w14:paraId="61FA72EF">
            <w:pPr>
              <w:keepNext w:val="0"/>
              <w:keepLines w:val="0"/>
              <w:pageBreakBefore w:val="0"/>
              <w:kinsoku/>
              <w:wordWrap/>
              <w:overflowPunct/>
              <w:topLinePunct w:val="0"/>
              <w:autoSpaceDE/>
              <w:autoSpaceDN/>
              <w:bidi w:val="0"/>
              <w:spacing w:line="400" w:lineRule="exact"/>
              <w:rPr>
                <w:rFonts w:hint="eastAsia"/>
                <w:sz w:val="20"/>
                <w:szCs w:val="20"/>
              </w:rPr>
            </w:pPr>
            <w:r>
              <w:rPr>
                <w:rFonts w:hint="eastAsia"/>
                <w:sz w:val="20"/>
                <w:szCs w:val="20"/>
              </w:rPr>
              <w:t>1、“缺漏项”：缺漏项是指该项内容未提供具体的方案内容或者整段内容照搬采购需求的；</w:t>
            </w:r>
          </w:p>
          <w:p w14:paraId="16DECC02">
            <w:pPr>
              <w:keepNext w:val="0"/>
              <w:keepLines w:val="0"/>
              <w:pageBreakBefore w:val="0"/>
              <w:kinsoku/>
              <w:wordWrap/>
              <w:overflowPunct/>
              <w:topLinePunct w:val="0"/>
              <w:autoSpaceDE/>
              <w:autoSpaceDN/>
              <w:bidi w:val="0"/>
              <w:spacing w:line="400" w:lineRule="exact"/>
              <w:rPr>
                <w:rFonts w:hint="eastAsia"/>
                <w:sz w:val="20"/>
                <w:szCs w:val="20"/>
                <w:lang w:eastAsia="zh-CN"/>
              </w:rPr>
            </w:pPr>
            <w:r>
              <w:rPr>
                <w:rFonts w:hint="eastAsia"/>
                <w:sz w:val="20"/>
                <w:szCs w:val="20"/>
              </w:rPr>
              <w:t>2、“欠完善或针对性欠缺”是指内容不完整或者缺少关键实质性内容或者方案内容空洞、语义表述不清，存在歧义、逻辑混乱、内容不完善等。</w:t>
            </w:r>
          </w:p>
        </w:tc>
      </w:tr>
      <w:tr w14:paraId="0F00AF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jc w:val="center"/>
        </w:trPr>
        <w:tc>
          <w:tcPr>
            <w:tcW w:w="727" w:type="dxa"/>
            <w:vMerge w:val="continue"/>
            <w:tcBorders>
              <w:right w:val="single" w:color="auto" w:sz="4" w:space="0"/>
            </w:tcBorders>
            <w:noWrap/>
            <w:vAlign w:val="center"/>
          </w:tcPr>
          <w:p w14:paraId="40696D09">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p>
        </w:tc>
        <w:tc>
          <w:tcPr>
            <w:tcW w:w="2114" w:type="dxa"/>
            <w:vMerge w:val="continue"/>
            <w:tcBorders>
              <w:left w:val="single" w:color="auto" w:sz="4" w:space="0"/>
            </w:tcBorders>
            <w:noWrap/>
            <w:vAlign w:val="center"/>
          </w:tcPr>
          <w:p w14:paraId="566904AE">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p>
        </w:tc>
        <w:tc>
          <w:tcPr>
            <w:tcW w:w="1367" w:type="dxa"/>
            <w:noWrap/>
            <w:vAlign w:val="center"/>
          </w:tcPr>
          <w:p w14:paraId="594DA3EF">
            <w:pPr>
              <w:keepNext w:val="0"/>
              <w:keepLines w:val="0"/>
              <w:pageBreakBefore w:val="0"/>
              <w:widowControl/>
              <w:suppressLineNumbers w:val="0"/>
              <w:kinsoku/>
              <w:wordWrap/>
              <w:overflowPunct/>
              <w:topLinePunct w:val="0"/>
              <w:autoSpaceDE/>
              <w:autoSpaceDN/>
              <w:bidi w:val="0"/>
              <w:adjustRightInd/>
              <w:spacing w:line="400" w:lineRule="exact"/>
              <w:jc w:val="center"/>
              <w:textAlignment w:val="center"/>
              <w:rPr>
                <w:rFonts w:hint="eastAsia" w:ascii="宋体" w:hAnsi="宋体" w:eastAsia="宋体" w:cs="宋体"/>
                <w:sz w:val="20"/>
                <w:szCs w:val="20"/>
                <w:lang w:eastAsia="zh-CN"/>
              </w:rPr>
            </w:pPr>
            <w:r>
              <w:rPr>
                <w:rFonts w:hint="eastAsia" w:ascii="宋体" w:hAnsi="宋体" w:eastAsia="宋体" w:cs="宋体"/>
                <w:sz w:val="20"/>
                <w:szCs w:val="20"/>
                <w:lang w:eastAsia="zh-CN"/>
              </w:rPr>
              <w:t>操作规程控制管理方案</w:t>
            </w:r>
            <w:r>
              <w:rPr>
                <w:rFonts w:hint="eastAsia" w:ascii="宋体" w:hAnsi="宋体" w:cs="宋体"/>
                <w:sz w:val="20"/>
                <w:szCs w:val="20"/>
                <w:lang w:eastAsia="zh-CN"/>
              </w:rPr>
              <w:t>（</w:t>
            </w:r>
            <w:r>
              <w:rPr>
                <w:rFonts w:hint="eastAsia" w:ascii="宋体" w:hAnsi="宋体" w:cs="宋体"/>
                <w:sz w:val="20"/>
                <w:szCs w:val="20"/>
                <w:lang w:val="en-US" w:eastAsia="zh-CN"/>
              </w:rPr>
              <w:t>10分</w:t>
            </w:r>
            <w:r>
              <w:rPr>
                <w:rFonts w:hint="eastAsia" w:ascii="宋体" w:hAnsi="宋体" w:cs="宋体"/>
                <w:sz w:val="20"/>
                <w:szCs w:val="20"/>
                <w:lang w:eastAsia="zh-CN"/>
              </w:rPr>
              <w:t>）</w:t>
            </w:r>
          </w:p>
        </w:tc>
        <w:tc>
          <w:tcPr>
            <w:tcW w:w="4515" w:type="dxa"/>
            <w:noWrap/>
            <w:vAlign w:val="center"/>
          </w:tcPr>
          <w:p w14:paraId="7D3F9E51">
            <w:pPr>
              <w:keepNext w:val="0"/>
              <w:keepLines w:val="0"/>
              <w:pageBreakBefore w:val="0"/>
              <w:numPr>
                <w:ilvl w:val="0"/>
                <w:numId w:val="0"/>
              </w:numPr>
              <w:kinsoku/>
              <w:wordWrap/>
              <w:overflowPunct/>
              <w:topLinePunct w:val="0"/>
              <w:autoSpaceDE/>
              <w:autoSpaceDN/>
              <w:bidi w:val="0"/>
              <w:spacing w:line="400" w:lineRule="exact"/>
              <w:rPr>
                <w:rFonts w:hint="eastAsia"/>
                <w:sz w:val="20"/>
                <w:szCs w:val="20"/>
                <w:lang w:eastAsia="zh-CN"/>
              </w:rPr>
            </w:pPr>
            <w:r>
              <w:rPr>
                <w:rFonts w:hint="eastAsia"/>
                <w:b/>
                <w:bCs/>
                <w:sz w:val="20"/>
                <w:szCs w:val="20"/>
                <w:lang w:val="en-US" w:eastAsia="zh-CN"/>
              </w:rPr>
              <w:t>（一）评审内容：</w:t>
            </w:r>
            <w:r>
              <w:rPr>
                <w:rFonts w:hint="eastAsia"/>
                <w:sz w:val="20"/>
                <w:szCs w:val="20"/>
              </w:rPr>
              <w:t>投标人针对本项目的实际情况提供的操作规程控制方案(内容包含但不限于(1)原料验收人员操作规范、(2)粗加工操作规范、(3)切配加工操作规范、(4)烹调加工操作规范、(5)售卖饭操作规范等因素)进行</w:t>
            </w:r>
            <w:r>
              <w:rPr>
                <w:rFonts w:hint="eastAsia"/>
                <w:sz w:val="20"/>
                <w:szCs w:val="20"/>
                <w:lang w:val="en-US" w:eastAsia="zh-CN"/>
              </w:rPr>
              <w:t>综合</w:t>
            </w:r>
            <w:r>
              <w:rPr>
                <w:rFonts w:hint="eastAsia"/>
                <w:sz w:val="20"/>
                <w:szCs w:val="20"/>
              </w:rPr>
              <w:t>评审</w:t>
            </w:r>
            <w:r>
              <w:rPr>
                <w:rFonts w:hint="eastAsia"/>
                <w:sz w:val="20"/>
                <w:szCs w:val="20"/>
                <w:lang w:eastAsia="zh-CN"/>
              </w:rPr>
              <w:t>。</w:t>
            </w:r>
          </w:p>
          <w:p w14:paraId="5B3CACDC">
            <w:pPr>
              <w:keepNext w:val="0"/>
              <w:keepLines w:val="0"/>
              <w:pageBreakBefore w:val="0"/>
              <w:numPr>
                <w:ilvl w:val="0"/>
                <w:numId w:val="0"/>
              </w:numPr>
              <w:kinsoku/>
              <w:wordWrap/>
              <w:overflowPunct/>
              <w:topLinePunct w:val="0"/>
              <w:autoSpaceDE/>
              <w:autoSpaceDN/>
              <w:bidi w:val="0"/>
              <w:spacing w:line="400" w:lineRule="exact"/>
              <w:rPr>
                <w:rFonts w:hint="eastAsia"/>
                <w:sz w:val="20"/>
                <w:szCs w:val="20"/>
                <w:lang w:eastAsia="zh-CN"/>
              </w:rPr>
            </w:pPr>
            <w:r>
              <w:rPr>
                <w:rFonts w:hint="eastAsia"/>
                <w:b/>
                <w:bCs/>
                <w:sz w:val="20"/>
                <w:szCs w:val="20"/>
                <w:lang w:val="en-US" w:eastAsia="zh-CN"/>
              </w:rPr>
              <w:t>（二）评审依据：</w:t>
            </w:r>
            <w:r>
              <w:rPr>
                <w:rFonts w:hint="eastAsia"/>
                <w:sz w:val="20"/>
                <w:szCs w:val="20"/>
              </w:rPr>
              <w:t>评标委员会对投标人提供</w:t>
            </w:r>
            <w:r>
              <w:rPr>
                <w:rFonts w:hint="eastAsia"/>
                <w:sz w:val="20"/>
                <w:szCs w:val="20"/>
                <w:lang w:eastAsia="zh-CN"/>
              </w:rPr>
              <w:t>的操作规程控制管理方案进行综合评审，满足项目实际情况</w:t>
            </w:r>
            <w:r>
              <w:rPr>
                <w:rFonts w:hint="eastAsia"/>
                <w:sz w:val="20"/>
                <w:szCs w:val="20"/>
                <w:lang w:val="en-US" w:eastAsia="zh-CN"/>
              </w:rPr>
              <w:t>并满足采购需求的</w:t>
            </w:r>
            <w:r>
              <w:rPr>
                <w:rFonts w:hint="eastAsia"/>
                <w:sz w:val="20"/>
                <w:szCs w:val="20"/>
                <w:lang w:eastAsia="zh-CN"/>
              </w:rPr>
              <w:t>，</w:t>
            </w:r>
            <w:r>
              <w:rPr>
                <w:rFonts w:hint="eastAsia" w:ascii="Times New Roman" w:eastAsia="宋体"/>
                <w:sz w:val="20"/>
                <w:szCs w:val="20"/>
                <w:lang w:val="en-US" w:eastAsia="zh-CN"/>
              </w:rPr>
              <w:t>每单项2分，共</w:t>
            </w:r>
            <w:r>
              <w:rPr>
                <w:rFonts w:hint="eastAsia" w:eastAsia="宋体"/>
                <w:sz w:val="20"/>
                <w:szCs w:val="20"/>
                <w:lang w:eastAsia="zh-CN"/>
              </w:rPr>
              <w:t>计</w:t>
            </w:r>
            <w:r>
              <w:rPr>
                <w:rFonts w:hint="eastAsia" w:ascii="Times New Roman" w:eastAsia="宋体"/>
                <w:sz w:val="20"/>
                <w:szCs w:val="20"/>
                <w:lang w:val="en-US" w:eastAsia="zh-CN"/>
              </w:rPr>
              <w:t>10</w:t>
            </w:r>
            <w:r>
              <w:rPr>
                <w:rFonts w:hint="eastAsia" w:eastAsia="宋体"/>
                <w:sz w:val="20"/>
                <w:szCs w:val="20"/>
                <w:lang w:eastAsia="zh-CN"/>
              </w:rPr>
              <w:t>分</w:t>
            </w:r>
            <w:r>
              <w:rPr>
                <w:rFonts w:hint="eastAsia"/>
                <w:sz w:val="20"/>
                <w:szCs w:val="20"/>
                <w:lang w:eastAsia="zh-CN"/>
              </w:rPr>
              <w:t>，每出现一处缺漏项的情况扣</w:t>
            </w:r>
            <w:r>
              <w:rPr>
                <w:rFonts w:hint="eastAsia"/>
                <w:sz w:val="20"/>
                <w:szCs w:val="20"/>
                <w:lang w:val="en-US" w:eastAsia="zh-CN"/>
              </w:rPr>
              <w:t>2</w:t>
            </w:r>
            <w:r>
              <w:rPr>
                <w:rFonts w:hint="eastAsia"/>
                <w:sz w:val="20"/>
                <w:szCs w:val="20"/>
                <w:lang w:eastAsia="zh-CN"/>
              </w:rPr>
              <w:t>分，每出现一处欠完善或针对性欠缺的每项扣</w:t>
            </w:r>
            <w:r>
              <w:rPr>
                <w:rFonts w:hint="eastAsia"/>
                <w:sz w:val="20"/>
                <w:szCs w:val="20"/>
                <w:lang w:val="en-US" w:eastAsia="zh-CN"/>
              </w:rPr>
              <w:t>1</w:t>
            </w:r>
            <w:r>
              <w:rPr>
                <w:rFonts w:hint="eastAsia"/>
                <w:sz w:val="20"/>
                <w:szCs w:val="20"/>
                <w:lang w:eastAsia="zh-CN"/>
              </w:rPr>
              <w:t>分，</w:t>
            </w:r>
            <w:r>
              <w:rPr>
                <w:rFonts w:hint="eastAsia" w:ascii="Times New Roman" w:eastAsia="宋体"/>
                <w:sz w:val="20"/>
                <w:szCs w:val="20"/>
                <w:lang w:val="en-US" w:eastAsia="zh-CN"/>
              </w:rPr>
              <w:t>每单项</w:t>
            </w:r>
            <w:r>
              <w:rPr>
                <w:rFonts w:hint="eastAsia"/>
                <w:sz w:val="20"/>
                <w:szCs w:val="20"/>
                <w:lang w:eastAsia="zh-CN"/>
              </w:rPr>
              <w:t>上述分值扣完为止。未提供方案的不计分。</w:t>
            </w:r>
          </w:p>
          <w:p w14:paraId="04B5B3FB">
            <w:pPr>
              <w:keepNext w:val="0"/>
              <w:keepLines w:val="0"/>
              <w:pageBreakBefore w:val="0"/>
              <w:numPr>
                <w:ilvl w:val="0"/>
                <w:numId w:val="0"/>
              </w:numPr>
              <w:kinsoku/>
              <w:wordWrap/>
              <w:overflowPunct/>
              <w:topLinePunct w:val="0"/>
              <w:autoSpaceDE/>
              <w:autoSpaceDN/>
              <w:bidi w:val="0"/>
              <w:spacing w:line="400" w:lineRule="exact"/>
              <w:rPr>
                <w:rFonts w:hint="eastAsia"/>
                <w:sz w:val="20"/>
                <w:szCs w:val="20"/>
                <w:lang w:eastAsia="zh-CN"/>
              </w:rPr>
            </w:pPr>
            <w:r>
              <w:rPr>
                <w:rFonts w:hint="eastAsia"/>
                <w:sz w:val="20"/>
                <w:szCs w:val="20"/>
                <w:lang w:eastAsia="zh-CN"/>
              </w:rPr>
              <w:t>注：</w:t>
            </w:r>
          </w:p>
          <w:p w14:paraId="127FA87C">
            <w:pPr>
              <w:keepNext w:val="0"/>
              <w:keepLines w:val="0"/>
              <w:pageBreakBefore w:val="0"/>
              <w:numPr>
                <w:ilvl w:val="0"/>
                <w:numId w:val="0"/>
              </w:numPr>
              <w:kinsoku/>
              <w:wordWrap/>
              <w:overflowPunct/>
              <w:topLinePunct w:val="0"/>
              <w:autoSpaceDE/>
              <w:autoSpaceDN/>
              <w:bidi w:val="0"/>
              <w:spacing w:line="400" w:lineRule="exact"/>
              <w:rPr>
                <w:rFonts w:hint="eastAsia"/>
                <w:sz w:val="20"/>
                <w:szCs w:val="20"/>
                <w:lang w:eastAsia="zh-CN"/>
              </w:rPr>
            </w:pPr>
            <w:r>
              <w:rPr>
                <w:rFonts w:hint="eastAsia"/>
                <w:sz w:val="20"/>
                <w:szCs w:val="20"/>
                <w:lang w:eastAsia="zh-CN"/>
              </w:rPr>
              <w:t>1、“缺漏项”：缺漏项是指该项内容未提供具体的方案内容或者整段内容照搬采购需求的；</w:t>
            </w:r>
          </w:p>
          <w:p w14:paraId="1A8FB6B3">
            <w:pPr>
              <w:keepNext w:val="0"/>
              <w:keepLines w:val="0"/>
              <w:pageBreakBefore w:val="0"/>
              <w:numPr>
                <w:ilvl w:val="0"/>
                <w:numId w:val="0"/>
              </w:numPr>
              <w:kinsoku/>
              <w:wordWrap/>
              <w:overflowPunct/>
              <w:topLinePunct w:val="0"/>
              <w:autoSpaceDE/>
              <w:autoSpaceDN/>
              <w:bidi w:val="0"/>
              <w:spacing w:line="400" w:lineRule="exact"/>
              <w:rPr>
                <w:rFonts w:hint="eastAsia"/>
                <w:sz w:val="20"/>
                <w:szCs w:val="20"/>
                <w:lang w:eastAsia="zh-CN"/>
              </w:rPr>
            </w:pPr>
            <w:r>
              <w:rPr>
                <w:rFonts w:hint="eastAsia"/>
                <w:sz w:val="20"/>
                <w:szCs w:val="20"/>
                <w:lang w:eastAsia="zh-CN"/>
              </w:rPr>
              <w:t>2、“欠完善或针对性欠缺”是指内容不完整或者缺少关键实质性内容或者方案内容空洞、语义表述不清，存在歧义、逻辑混乱、内容不完善等。</w:t>
            </w:r>
          </w:p>
        </w:tc>
      </w:tr>
      <w:tr w14:paraId="3C6AFE1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26" w:hRule="atLeast"/>
          <w:jc w:val="center"/>
        </w:trPr>
        <w:tc>
          <w:tcPr>
            <w:tcW w:w="727" w:type="dxa"/>
            <w:vMerge w:val="continue"/>
            <w:tcBorders>
              <w:right w:val="single" w:color="auto" w:sz="4" w:space="0"/>
            </w:tcBorders>
            <w:noWrap/>
            <w:vAlign w:val="center"/>
          </w:tcPr>
          <w:p w14:paraId="212F13DF">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p>
        </w:tc>
        <w:tc>
          <w:tcPr>
            <w:tcW w:w="2114" w:type="dxa"/>
            <w:tcBorders>
              <w:left w:val="single" w:color="auto" w:sz="4" w:space="0"/>
            </w:tcBorders>
            <w:noWrap/>
            <w:vAlign w:val="center"/>
          </w:tcPr>
          <w:p w14:paraId="18F4E6F6">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r>
              <w:rPr>
                <w:rFonts w:hint="eastAsia" w:ascii="宋体" w:hAnsi="宋体" w:eastAsia="宋体" w:cs="宋体"/>
                <w:sz w:val="20"/>
                <w:szCs w:val="20"/>
              </w:rPr>
              <w:t>优先采购加分</w:t>
            </w:r>
          </w:p>
          <w:p w14:paraId="4D44223C">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r>
              <w:rPr>
                <w:rFonts w:hint="eastAsia" w:ascii="宋体" w:hAnsi="宋体" w:eastAsia="宋体" w:cs="宋体"/>
                <w:sz w:val="20"/>
                <w:szCs w:val="20"/>
              </w:rPr>
              <w:t>（F</w:t>
            </w:r>
            <w:r>
              <w:rPr>
                <w:rFonts w:hint="eastAsia" w:ascii="宋体" w:hAnsi="宋体" w:eastAsia="宋体" w:cs="宋体"/>
                <w:sz w:val="20"/>
                <w:szCs w:val="20"/>
                <w:vertAlign w:val="subscript"/>
              </w:rPr>
              <w:t>优先采购加分</w:t>
            </w:r>
            <w:r>
              <w:rPr>
                <w:rFonts w:hint="eastAsia" w:ascii="宋体" w:hAnsi="宋体" w:eastAsia="宋体" w:cs="宋体"/>
                <w:sz w:val="20"/>
                <w:szCs w:val="20"/>
              </w:rPr>
              <w:t>）</w:t>
            </w:r>
          </w:p>
        </w:tc>
        <w:tc>
          <w:tcPr>
            <w:tcW w:w="5882" w:type="dxa"/>
            <w:gridSpan w:val="2"/>
            <w:tcBorders>
              <w:bottom w:val="single" w:color="auto" w:sz="4" w:space="0"/>
            </w:tcBorders>
            <w:noWrap/>
            <w:vAlign w:val="center"/>
          </w:tcPr>
          <w:p w14:paraId="14DB54C2">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w:t>
            </w:r>
          </w:p>
        </w:tc>
      </w:tr>
      <w:tr w14:paraId="5071F8B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jc w:val="center"/>
        </w:trPr>
        <w:tc>
          <w:tcPr>
            <w:tcW w:w="727" w:type="dxa"/>
            <w:tcBorders>
              <w:right w:val="single" w:color="auto" w:sz="4" w:space="0"/>
            </w:tcBorders>
            <w:noWrap/>
            <w:vAlign w:val="center"/>
          </w:tcPr>
          <w:p w14:paraId="093DE4B5">
            <w:pPr>
              <w:keepNext w:val="0"/>
              <w:keepLines w:val="0"/>
              <w:pageBreakBefore w:val="0"/>
              <w:kinsoku/>
              <w:wordWrap/>
              <w:overflowPunct/>
              <w:topLinePunct w:val="0"/>
              <w:autoSpaceDE/>
              <w:autoSpaceDN/>
              <w:bidi w:val="0"/>
              <w:adjustRightInd w:val="0"/>
              <w:snapToGrid w:val="0"/>
              <w:spacing w:line="400" w:lineRule="exact"/>
              <w:jc w:val="center"/>
              <w:textAlignment w:val="auto"/>
              <w:rPr>
                <w:rFonts w:hint="eastAsia" w:ascii="宋体" w:hAnsi="宋体" w:eastAsia="宋体" w:cs="宋体"/>
                <w:sz w:val="20"/>
                <w:szCs w:val="20"/>
              </w:rPr>
            </w:pPr>
            <w:r>
              <w:rPr>
                <w:rFonts w:hint="eastAsia" w:ascii="宋体" w:hAnsi="宋体" w:eastAsia="宋体" w:cs="宋体"/>
                <w:sz w:val="20"/>
                <w:szCs w:val="20"/>
              </w:rPr>
              <w:t>∑</w:t>
            </w:r>
          </w:p>
        </w:tc>
        <w:tc>
          <w:tcPr>
            <w:tcW w:w="7996" w:type="dxa"/>
            <w:gridSpan w:val="3"/>
            <w:tcBorders>
              <w:left w:val="single" w:color="auto" w:sz="4" w:space="0"/>
            </w:tcBorders>
            <w:noWrap/>
            <w:vAlign w:val="center"/>
          </w:tcPr>
          <w:p w14:paraId="6A0A85B2">
            <w:pPr>
              <w:keepNext w:val="0"/>
              <w:keepLines w:val="0"/>
              <w:pageBreakBefore w:val="0"/>
              <w:kinsoku/>
              <w:wordWrap/>
              <w:overflowPunct/>
              <w:topLinePunct w:val="0"/>
              <w:autoSpaceDE/>
              <w:autoSpaceDN/>
              <w:bidi w:val="0"/>
              <w:adjustRightInd w:val="0"/>
              <w:snapToGrid w:val="0"/>
              <w:spacing w:line="400" w:lineRule="exact"/>
              <w:textAlignment w:val="auto"/>
              <w:rPr>
                <w:rFonts w:hint="eastAsia" w:ascii="宋体" w:hAnsi="宋体" w:eastAsia="宋体" w:cs="宋体"/>
                <w:sz w:val="20"/>
                <w:szCs w:val="20"/>
              </w:rPr>
            </w:pPr>
            <w:r>
              <w:rPr>
                <w:rFonts w:hint="eastAsia" w:ascii="宋体" w:hAnsi="宋体" w:eastAsia="宋体" w:cs="宋体"/>
                <w:sz w:val="20"/>
                <w:szCs w:val="20"/>
              </w:rPr>
              <w:t>F</w:t>
            </w:r>
            <w:r>
              <w:rPr>
                <w:rFonts w:hint="eastAsia" w:ascii="宋体" w:hAnsi="宋体" w:eastAsia="宋体" w:cs="宋体"/>
                <w:sz w:val="20"/>
                <w:szCs w:val="20"/>
                <w:vertAlign w:val="subscript"/>
              </w:rPr>
              <w:t>2</w:t>
            </w:r>
            <w:r>
              <w:rPr>
                <w:rFonts w:hint="eastAsia" w:ascii="宋体" w:hAnsi="宋体" w:eastAsia="宋体" w:cs="宋体"/>
                <w:sz w:val="20"/>
                <w:szCs w:val="20"/>
              </w:rPr>
              <w:t>=F+F</w:t>
            </w:r>
            <w:r>
              <w:rPr>
                <w:rFonts w:hint="eastAsia" w:ascii="宋体" w:hAnsi="宋体" w:eastAsia="宋体" w:cs="宋体"/>
                <w:sz w:val="20"/>
                <w:szCs w:val="20"/>
                <w:vertAlign w:val="subscript"/>
              </w:rPr>
              <w:t>优先采购加分</w:t>
            </w:r>
          </w:p>
        </w:tc>
      </w:tr>
    </w:tbl>
    <w:tbl>
      <w:tblPr>
        <w:tblStyle w:val="45"/>
        <w:tblpPr w:leftFromText="180" w:rightFromText="180" w:vertAnchor="text" w:horzAnchor="page" w:tblpX="1613" w:tblpY="393"/>
        <w:tblOverlap w:val="never"/>
        <w:tblW w:w="9021"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28"/>
        <w:gridCol w:w="1723"/>
        <w:gridCol w:w="1452"/>
        <w:gridCol w:w="5118"/>
      </w:tblGrid>
      <w:tr w14:paraId="30D596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78" w:hRule="atLeast"/>
        </w:trPr>
        <w:tc>
          <w:tcPr>
            <w:tcW w:w="728" w:type="dxa"/>
            <w:tcBorders>
              <w:right w:val="single" w:color="auto" w:sz="4" w:space="0"/>
            </w:tcBorders>
            <w:noWrap/>
            <w:vAlign w:val="center"/>
          </w:tcPr>
          <w:p w14:paraId="1E155E0A">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序号</w:t>
            </w:r>
          </w:p>
        </w:tc>
        <w:tc>
          <w:tcPr>
            <w:tcW w:w="1723" w:type="dxa"/>
            <w:tcBorders>
              <w:left w:val="single" w:color="auto" w:sz="4" w:space="0"/>
              <w:right w:val="single" w:color="auto" w:sz="4" w:space="0"/>
            </w:tcBorders>
            <w:noWrap/>
            <w:vAlign w:val="center"/>
          </w:tcPr>
          <w:p w14:paraId="4F47CC8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1"/>
                <w:szCs w:val="21"/>
              </w:rPr>
            </w:pPr>
            <w:r>
              <w:rPr>
                <w:rFonts w:hint="eastAsia" w:ascii="宋体" w:hAnsi="宋体" w:eastAsia="宋体" w:cs="宋体"/>
                <w:b/>
                <w:sz w:val="21"/>
                <w:szCs w:val="21"/>
              </w:rPr>
              <w:t>评标因素（分值）</w:t>
            </w:r>
          </w:p>
        </w:tc>
        <w:tc>
          <w:tcPr>
            <w:tcW w:w="6570" w:type="dxa"/>
            <w:gridSpan w:val="2"/>
            <w:tcBorders>
              <w:left w:val="single" w:color="auto" w:sz="4" w:space="0"/>
            </w:tcBorders>
            <w:noWrap/>
            <w:vAlign w:val="center"/>
          </w:tcPr>
          <w:p w14:paraId="04FA46EE">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b/>
                <w:sz w:val="21"/>
                <w:szCs w:val="21"/>
              </w:rPr>
            </w:pPr>
            <w:r>
              <w:rPr>
                <w:rFonts w:hint="eastAsia" w:eastAsia="宋体"/>
                <w:b/>
                <w:bCs/>
              </w:rPr>
              <w:t>附表1.3商务部分评审标准表</w:t>
            </w:r>
            <w:r>
              <w:rPr>
                <w:rFonts w:hint="eastAsia" w:eastAsia="宋体"/>
                <w:b/>
                <w:bCs/>
                <w:lang w:val="en-US" w:eastAsia="zh-CN"/>
              </w:rPr>
              <w:t xml:space="preserve">  </w:t>
            </w:r>
          </w:p>
        </w:tc>
      </w:tr>
      <w:tr w14:paraId="46FB5E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728" w:type="dxa"/>
            <w:vMerge w:val="restart"/>
            <w:tcBorders>
              <w:right w:val="single" w:color="auto" w:sz="4" w:space="0"/>
            </w:tcBorders>
            <w:noWrap/>
            <w:vAlign w:val="center"/>
          </w:tcPr>
          <w:p w14:paraId="20128D10">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lang w:eastAsia="zh-CN"/>
              </w:rPr>
            </w:pPr>
            <w:r>
              <w:rPr>
                <w:rFonts w:hint="eastAsia" w:ascii="宋体" w:hAnsi="宋体" w:cs="宋体"/>
                <w:sz w:val="21"/>
                <w:szCs w:val="21"/>
                <w:lang w:val="en-US" w:eastAsia="zh-CN"/>
              </w:rPr>
              <w:t>3</w:t>
            </w:r>
          </w:p>
        </w:tc>
        <w:tc>
          <w:tcPr>
            <w:tcW w:w="1723" w:type="dxa"/>
            <w:vMerge w:val="restart"/>
            <w:tcBorders>
              <w:left w:val="single" w:color="auto" w:sz="4" w:space="0"/>
            </w:tcBorders>
            <w:noWrap/>
            <w:vAlign w:val="center"/>
          </w:tcPr>
          <w:p w14:paraId="0C00F20F">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商务评价项</w:t>
            </w:r>
          </w:p>
          <w:p w14:paraId="4467CE52">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（F=</w:t>
            </w:r>
            <w:r>
              <w:rPr>
                <w:rFonts w:hint="eastAsia" w:ascii="宋体" w:hAnsi="宋体" w:cs="宋体"/>
                <w:sz w:val="21"/>
                <w:szCs w:val="21"/>
                <w:lang w:val="en-US" w:eastAsia="zh-CN"/>
              </w:rPr>
              <w:t>40</w:t>
            </w:r>
            <w:r>
              <w:rPr>
                <w:rFonts w:hint="eastAsia" w:ascii="宋体" w:hAnsi="宋体" w:eastAsia="宋体" w:cs="宋体"/>
                <w:sz w:val="21"/>
                <w:szCs w:val="21"/>
              </w:rPr>
              <w:t>分）</w:t>
            </w:r>
          </w:p>
        </w:tc>
        <w:tc>
          <w:tcPr>
            <w:tcW w:w="1452" w:type="dxa"/>
            <w:shd w:val="clear" w:color="auto" w:fill="auto"/>
            <w:noWrap/>
            <w:vAlign w:val="center"/>
          </w:tcPr>
          <w:p w14:paraId="3898AE5C">
            <w:pPr>
              <w:pStyle w:val="364"/>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拟派人员证书</w:t>
            </w:r>
          </w:p>
          <w:p w14:paraId="03B02863">
            <w:pPr>
              <w:pStyle w:val="364"/>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sz w:val="20"/>
                <w:szCs w:val="20"/>
                <w:lang w:val="en-US" w:eastAsia="zh-CN"/>
              </w:rPr>
              <w:t>（30分）</w:t>
            </w:r>
          </w:p>
        </w:tc>
        <w:tc>
          <w:tcPr>
            <w:tcW w:w="5118" w:type="dxa"/>
            <w:noWrap/>
            <w:vAlign w:val="center"/>
          </w:tcPr>
          <w:p w14:paraId="6CE6D083">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eastAsia" w:ascii="宋体" w:hAnsi="宋体" w:eastAsia="宋体" w:cs="宋体"/>
                <w:kern w:val="0"/>
                <w:sz w:val="20"/>
                <w:szCs w:val="20"/>
                <w:highlight w:val="none"/>
                <w:lang w:val="en-US" w:eastAsia="zh-CN" w:bidi="ar-SA"/>
              </w:rPr>
            </w:pPr>
            <w:r>
              <w:rPr>
                <w:rFonts w:hint="eastAsia" w:ascii="宋体" w:hAnsi="宋体" w:eastAsia="宋体" w:cs="宋体"/>
                <w:sz w:val="20"/>
                <w:szCs w:val="20"/>
                <w:highlight w:val="none"/>
                <w:lang w:val="en-US" w:eastAsia="zh-CN"/>
              </w:rPr>
              <w:t>①投标人</w:t>
            </w:r>
            <w:r>
              <w:rPr>
                <w:rFonts w:hint="eastAsia" w:ascii="宋体" w:hAnsi="宋体" w:eastAsia="宋体" w:cs="宋体"/>
                <w:kern w:val="0"/>
                <w:sz w:val="20"/>
                <w:szCs w:val="20"/>
                <w:highlight w:val="none"/>
                <w:lang w:val="en-US" w:eastAsia="zh-CN" w:bidi="ar-SA"/>
              </w:rPr>
              <w:t>拟派本项目</w:t>
            </w:r>
            <w:r>
              <w:rPr>
                <w:rFonts w:hint="eastAsia" w:ascii="宋体" w:hAnsi="宋体" w:cs="宋体"/>
                <w:kern w:val="0"/>
                <w:sz w:val="20"/>
                <w:szCs w:val="20"/>
                <w:highlight w:val="none"/>
                <w:lang w:val="en-US" w:eastAsia="zh-CN" w:bidi="ar-SA"/>
              </w:rPr>
              <w:t>项目管理人员</w:t>
            </w:r>
            <w:r>
              <w:rPr>
                <w:rFonts w:hint="eastAsia" w:ascii="宋体" w:hAnsi="宋体" w:eastAsia="宋体" w:cs="宋体"/>
                <w:kern w:val="0"/>
                <w:sz w:val="20"/>
                <w:szCs w:val="20"/>
                <w:highlight w:val="none"/>
                <w:lang w:val="en-US" w:eastAsia="zh-CN" w:bidi="ar-SA"/>
              </w:rPr>
              <w:t>需经正规食品安全培训，持有市场监管部门认可的食品安全管理</w:t>
            </w:r>
            <w:r>
              <w:rPr>
                <w:rFonts w:hint="eastAsia" w:ascii="宋体" w:hAnsi="宋体" w:cs="宋体"/>
                <w:kern w:val="0"/>
                <w:sz w:val="20"/>
                <w:szCs w:val="20"/>
                <w:highlight w:val="none"/>
                <w:lang w:val="en-US" w:eastAsia="zh-CN" w:bidi="ar-SA"/>
              </w:rPr>
              <w:t>/</w:t>
            </w:r>
            <w:r>
              <w:rPr>
                <w:rFonts w:hint="eastAsia" w:ascii="宋体" w:hAnsi="宋体" w:eastAsia="宋体" w:cs="宋体"/>
                <w:kern w:val="0"/>
                <w:sz w:val="20"/>
                <w:szCs w:val="20"/>
                <w:highlight w:val="none"/>
                <w:lang w:val="en-US" w:eastAsia="zh-CN" w:bidi="ar-SA"/>
              </w:rPr>
              <w:t>食品安全总监证书：</w:t>
            </w:r>
            <w:r>
              <w:rPr>
                <w:rFonts w:hint="eastAsia" w:ascii="宋体" w:hAnsi="宋体" w:cs="宋体"/>
                <w:kern w:val="0"/>
                <w:sz w:val="20"/>
                <w:szCs w:val="20"/>
                <w:highlight w:val="none"/>
                <w:lang w:val="en-US" w:eastAsia="zh-CN" w:bidi="ar-SA"/>
              </w:rPr>
              <w:t>计5</w:t>
            </w:r>
            <w:r>
              <w:rPr>
                <w:rFonts w:hint="eastAsia" w:ascii="宋体" w:hAnsi="宋体" w:eastAsia="宋体" w:cs="宋体"/>
                <w:kern w:val="0"/>
                <w:sz w:val="20"/>
                <w:szCs w:val="20"/>
                <w:highlight w:val="none"/>
                <w:lang w:val="en-US" w:eastAsia="zh-CN" w:bidi="ar-SA"/>
              </w:rPr>
              <w:t>分</w:t>
            </w:r>
            <w:r>
              <w:rPr>
                <w:rFonts w:hint="eastAsia" w:ascii="宋体" w:hAnsi="宋体" w:cs="宋体"/>
                <w:kern w:val="0"/>
                <w:sz w:val="20"/>
                <w:szCs w:val="20"/>
                <w:highlight w:val="none"/>
                <w:lang w:val="en-US" w:eastAsia="zh-CN" w:bidi="ar-SA"/>
              </w:rPr>
              <w:t>；</w:t>
            </w:r>
            <w:r>
              <w:rPr>
                <w:rFonts w:hint="eastAsia" w:ascii="宋体" w:hAnsi="宋体" w:eastAsia="宋体" w:cs="宋体"/>
                <w:kern w:val="0"/>
                <w:sz w:val="20"/>
                <w:szCs w:val="20"/>
                <w:highlight w:val="none"/>
                <w:lang w:val="en-US" w:eastAsia="zh-CN" w:bidi="ar-SA"/>
              </w:rPr>
              <w:t xml:space="preserve">同时持有餐饮职业经理人/ 酒店管理相关证书：计1 </w:t>
            </w:r>
            <w:r>
              <w:rPr>
                <w:rFonts w:hint="eastAsia" w:ascii="宋体" w:hAnsi="宋体" w:cs="宋体"/>
                <w:kern w:val="0"/>
                <w:sz w:val="20"/>
                <w:szCs w:val="20"/>
                <w:highlight w:val="none"/>
                <w:lang w:val="en-US" w:eastAsia="zh-CN" w:bidi="ar-SA"/>
              </w:rPr>
              <w:t>.5</w:t>
            </w:r>
            <w:r>
              <w:rPr>
                <w:rFonts w:hint="eastAsia" w:ascii="宋体" w:hAnsi="宋体" w:eastAsia="宋体" w:cs="宋体"/>
                <w:kern w:val="0"/>
                <w:sz w:val="20"/>
                <w:szCs w:val="20"/>
                <w:highlight w:val="none"/>
                <w:lang w:val="en-US" w:eastAsia="zh-CN" w:bidi="ar-SA"/>
              </w:rPr>
              <w:t>分；同时持有物业管理相关证书：计1</w:t>
            </w:r>
            <w:r>
              <w:rPr>
                <w:rFonts w:hint="eastAsia" w:ascii="宋体" w:hAnsi="宋体" w:cs="宋体"/>
                <w:kern w:val="0"/>
                <w:sz w:val="20"/>
                <w:szCs w:val="20"/>
                <w:highlight w:val="none"/>
                <w:lang w:val="en-US" w:eastAsia="zh-CN" w:bidi="ar-SA"/>
              </w:rPr>
              <w:t>.5</w:t>
            </w:r>
            <w:r>
              <w:rPr>
                <w:rFonts w:hint="eastAsia" w:ascii="宋体" w:hAnsi="宋体" w:eastAsia="宋体" w:cs="宋体"/>
                <w:kern w:val="0"/>
                <w:sz w:val="20"/>
                <w:szCs w:val="20"/>
                <w:highlight w:val="none"/>
                <w:lang w:val="en-US" w:eastAsia="zh-CN" w:bidi="ar-SA"/>
              </w:rPr>
              <w:t xml:space="preserve"> 分</w:t>
            </w:r>
            <w:r>
              <w:rPr>
                <w:rFonts w:hint="eastAsia" w:ascii="宋体" w:hAnsi="宋体" w:cs="宋体"/>
                <w:kern w:val="0"/>
                <w:sz w:val="20"/>
                <w:szCs w:val="20"/>
                <w:highlight w:val="none"/>
                <w:lang w:val="en-US" w:eastAsia="zh-CN" w:bidi="ar-SA"/>
              </w:rPr>
              <w:t>。</w:t>
            </w:r>
          </w:p>
          <w:p w14:paraId="6E70D161">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60" w:lineRule="atLeast"/>
              <w:ind w:left="0" w:right="0"/>
              <w:jc w:val="left"/>
              <w:rPr>
                <w:rFonts w:hint="default" w:ascii="宋体" w:hAnsi="宋体" w:eastAsia="宋体" w:cs="宋体"/>
                <w:sz w:val="20"/>
                <w:szCs w:val="20"/>
                <w:highlight w:val="none"/>
                <w:lang w:val="en-US" w:eastAsia="zh-CN"/>
              </w:rPr>
            </w:pPr>
            <w:r>
              <w:rPr>
                <w:rFonts w:hint="eastAsia" w:ascii="宋体" w:hAnsi="宋体" w:cs="宋体"/>
                <w:kern w:val="0"/>
                <w:sz w:val="20"/>
                <w:szCs w:val="20"/>
                <w:highlight w:val="none"/>
                <w:lang w:val="en-US" w:eastAsia="zh-CN" w:bidi="ar-SA"/>
              </w:rPr>
              <w:t>（</w:t>
            </w:r>
            <w:r>
              <w:rPr>
                <w:rFonts w:hint="eastAsia" w:ascii="宋体" w:hAnsi="宋体" w:eastAsia="宋体" w:cs="宋体"/>
                <w:kern w:val="0"/>
                <w:sz w:val="20"/>
                <w:szCs w:val="20"/>
                <w:highlight w:val="none"/>
                <w:lang w:val="en-US" w:eastAsia="zh-CN" w:bidi="ar-SA"/>
              </w:rPr>
              <w:t>注：同一人多证方可累加，未取得食品安全证书本项不得分</w:t>
            </w:r>
            <w:r>
              <w:rPr>
                <w:rFonts w:hint="eastAsia" w:ascii="宋体" w:hAnsi="宋体" w:cs="宋体"/>
                <w:kern w:val="0"/>
                <w:sz w:val="20"/>
                <w:szCs w:val="20"/>
                <w:highlight w:val="none"/>
                <w:lang w:val="en-US" w:eastAsia="zh-CN" w:bidi="ar-SA"/>
              </w:rPr>
              <w:t>，</w:t>
            </w:r>
            <w:r>
              <w:rPr>
                <w:rFonts w:hint="eastAsia" w:ascii="宋体" w:hAnsi="宋体" w:eastAsia="宋体" w:cs="宋体"/>
                <w:sz w:val="20"/>
                <w:szCs w:val="20"/>
                <w:highlight w:val="none"/>
                <w:lang w:val="en-US" w:eastAsia="zh-CN"/>
              </w:rPr>
              <w:t>本项最高计8分。</w:t>
            </w:r>
            <w:r>
              <w:rPr>
                <w:rFonts w:hint="eastAsia" w:ascii="宋体" w:hAnsi="宋体" w:cs="宋体"/>
                <w:kern w:val="0"/>
                <w:sz w:val="20"/>
                <w:szCs w:val="20"/>
                <w:highlight w:val="none"/>
                <w:lang w:val="en-US" w:eastAsia="zh-CN" w:bidi="ar-SA"/>
              </w:rPr>
              <w:t>）</w:t>
            </w:r>
          </w:p>
          <w:p w14:paraId="5F561919">
            <w:pPr>
              <w:pStyle w:val="364"/>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0"/>
                <w:szCs w:val="20"/>
                <w:highlight w:val="none"/>
                <w:lang w:val="en-US" w:eastAsia="zh-CN"/>
              </w:rPr>
            </w:pPr>
            <w:r>
              <w:rPr>
                <w:rFonts w:hint="eastAsia" w:ascii="宋体" w:hAnsi="宋体" w:eastAsia="宋体" w:cs="宋体"/>
                <w:sz w:val="20"/>
                <w:szCs w:val="20"/>
                <w:highlight w:val="none"/>
                <w:lang w:val="en-US" w:eastAsia="zh-CN"/>
              </w:rPr>
              <w:t>②投标人拟派本项目的主厨具一级厨师证（中式烹调（烹饪）师证）的提供1个证书计5分，二级厨师证（中式烹调（烹饪）师证）的提供1个证书计4分，三级厨师证（中式烹调（烹饪）师证）提供1个证书计3分，四级的提供1个证书计2分，本项最高计20分。</w:t>
            </w:r>
          </w:p>
          <w:p w14:paraId="267A38CA">
            <w:pPr>
              <w:pStyle w:val="364"/>
              <w:keepNext w:val="0"/>
              <w:keepLines w:val="0"/>
              <w:pageBreakBefore w:val="0"/>
              <w:kinsoku/>
              <w:wordWrap/>
              <w:overflowPunct/>
              <w:topLinePunct w:val="0"/>
              <w:autoSpaceDE/>
              <w:autoSpaceDN/>
              <w:bidi w:val="0"/>
              <w:adjustRightInd/>
              <w:snapToGrid/>
              <w:spacing w:line="400" w:lineRule="exact"/>
              <w:jc w:val="left"/>
              <w:textAlignment w:val="auto"/>
              <w:rPr>
                <w:rFonts w:hint="default" w:ascii="宋体" w:hAnsi="宋体" w:eastAsia="宋体" w:cs="宋体"/>
                <w:sz w:val="20"/>
                <w:szCs w:val="20"/>
                <w:highlight w:val="none"/>
                <w:lang w:val="en-US" w:eastAsia="zh-CN"/>
              </w:rPr>
            </w:pPr>
            <w:r>
              <w:rPr>
                <w:rFonts w:hint="default" w:ascii="宋体" w:hAnsi="宋体" w:eastAsia="宋体" w:cs="宋体"/>
                <w:sz w:val="20"/>
                <w:szCs w:val="20"/>
                <w:highlight w:val="none"/>
                <w:lang w:val="en-US" w:eastAsia="zh-CN"/>
              </w:rPr>
              <w:t>③</w:t>
            </w:r>
            <w:r>
              <w:rPr>
                <w:rFonts w:hint="eastAsia" w:ascii="宋体" w:hAnsi="宋体" w:eastAsia="宋体" w:cs="宋体"/>
                <w:sz w:val="20"/>
                <w:szCs w:val="20"/>
                <w:highlight w:val="none"/>
                <w:lang w:val="en-US" w:eastAsia="zh-CN"/>
              </w:rPr>
              <w:t>投标人拟派本项目的人员具有中式面点师的提供1个证书计2分，本项最高计2分。</w:t>
            </w:r>
          </w:p>
          <w:p w14:paraId="7D2D4A0B">
            <w:pPr>
              <w:keepNext w:val="0"/>
              <w:keepLines w:val="0"/>
              <w:widowControl/>
              <w:suppressLineNumbers w:val="0"/>
              <w:jc w:val="left"/>
              <w:rPr>
                <w:rFonts w:hint="default" w:ascii="宋体" w:hAnsi="宋体" w:eastAsia="宋体" w:cs="宋体"/>
                <w:sz w:val="21"/>
                <w:szCs w:val="21"/>
                <w:lang w:val="en-US" w:eastAsia="zh-CN"/>
              </w:rPr>
            </w:pPr>
            <w:r>
              <w:rPr>
                <w:rFonts w:hint="eastAsia" w:ascii="宋体" w:hAnsi="宋体" w:eastAsia="宋体" w:cs="宋体"/>
                <w:kern w:val="0"/>
                <w:sz w:val="20"/>
                <w:szCs w:val="20"/>
                <w:lang w:val="en-US" w:eastAsia="zh-CN" w:bidi="ar-SA"/>
              </w:rPr>
              <w:t>（注：以上人员不可重复加分，必须提供以上人员证书复印件和投标单位为其缴纳的近六个月（指2025年11月至2026年4月连续6个月）社保证明材料复印件并加盖投标单位公章）</w:t>
            </w:r>
            <w:r>
              <w:rPr>
                <w:rFonts w:hint="eastAsia" w:ascii="宋体" w:hAnsi="宋体" w:cs="宋体"/>
                <w:kern w:val="0"/>
                <w:sz w:val="20"/>
                <w:szCs w:val="20"/>
                <w:lang w:val="en-US" w:eastAsia="zh-CN" w:bidi="ar-SA"/>
              </w:rPr>
              <w:t>；</w:t>
            </w:r>
            <w:r>
              <w:rPr>
                <w:rFonts w:hint="eastAsia" w:ascii="宋体" w:hAnsi="宋体" w:eastAsia="宋体" w:cs="宋体"/>
                <w:sz w:val="20"/>
                <w:szCs w:val="20"/>
                <w:highlight w:val="none"/>
                <w:lang w:val="en-US" w:eastAsia="zh-CN"/>
              </w:rPr>
              <w:t>厨师证（中式烹调（烹饪）师证）</w:t>
            </w:r>
            <w:r>
              <w:rPr>
                <w:rFonts w:hint="eastAsia" w:ascii="宋体" w:hAnsi="宋体" w:cs="宋体"/>
                <w:kern w:val="0"/>
                <w:sz w:val="20"/>
                <w:szCs w:val="20"/>
                <w:highlight w:val="none"/>
                <w:lang w:val="en-US" w:eastAsia="zh-CN" w:bidi="ar-SA"/>
              </w:rPr>
              <w:t>和</w:t>
            </w:r>
            <w:r>
              <w:rPr>
                <w:rFonts w:hint="eastAsia" w:ascii="宋体" w:hAnsi="宋体" w:eastAsia="宋体" w:cs="宋体"/>
                <w:sz w:val="20"/>
                <w:szCs w:val="20"/>
                <w:highlight w:val="none"/>
                <w:lang w:val="en-US" w:eastAsia="zh-CN"/>
              </w:rPr>
              <w:t>中式面点师</w:t>
            </w:r>
            <w:r>
              <w:rPr>
                <w:rFonts w:hint="eastAsia" w:ascii="宋体" w:hAnsi="宋体" w:cs="宋体"/>
                <w:kern w:val="0"/>
                <w:sz w:val="20"/>
                <w:szCs w:val="20"/>
                <w:highlight w:val="none"/>
                <w:lang w:val="en-US" w:eastAsia="zh-CN" w:bidi="ar-SA"/>
              </w:rPr>
              <w:t>证需同时附“技能人才评价证书全国联网查询系统”网站查询截图（http://jndj.ost a.org.cn）</w:t>
            </w:r>
          </w:p>
        </w:tc>
      </w:tr>
      <w:tr w14:paraId="51CC4A4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0" w:hRule="atLeast"/>
        </w:trPr>
        <w:tc>
          <w:tcPr>
            <w:tcW w:w="728" w:type="dxa"/>
            <w:vMerge w:val="continue"/>
            <w:tcBorders>
              <w:right w:val="single" w:color="auto" w:sz="4" w:space="0"/>
            </w:tcBorders>
            <w:noWrap/>
            <w:vAlign w:val="center"/>
          </w:tcPr>
          <w:p w14:paraId="17722238">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p>
        </w:tc>
        <w:tc>
          <w:tcPr>
            <w:tcW w:w="1723" w:type="dxa"/>
            <w:vMerge w:val="continue"/>
            <w:tcBorders>
              <w:left w:val="single" w:color="auto" w:sz="4" w:space="0"/>
            </w:tcBorders>
            <w:noWrap/>
            <w:vAlign w:val="center"/>
          </w:tcPr>
          <w:p w14:paraId="7E624364">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p>
        </w:tc>
        <w:tc>
          <w:tcPr>
            <w:tcW w:w="1452" w:type="dxa"/>
            <w:shd w:val="clear" w:color="auto" w:fill="auto"/>
            <w:noWrap/>
            <w:vAlign w:val="center"/>
          </w:tcPr>
          <w:p w14:paraId="32CBEA28">
            <w:pPr>
              <w:pStyle w:val="364"/>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sz w:val="20"/>
                <w:szCs w:val="20"/>
                <w:lang w:val="en-US" w:eastAsia="zh-CN"/>
              </w:rPr>
            </w:pPr>
            <w:r>
              <w:rPr>
                <w:rFonts w:hint="eastAsia" w:ascii="宋体" w:hAnsi="宋体" w:eastAsia="宋体" w:cs="宋体"/>
                <w:sz w:val="20"/>
                <w:szCs w:val="20"/>
                <w:lang w:val="en-US" w:eastAsia="zh-CN"/>
              </w:rPr>
              <w:t>类似业绩</w:t>
            </w:r>
          </w:p>
          <w:p w14:paraId="2082BA67">
            <w:pPr>
              <w:pStyle w:val="364"/>
              <w:keepNext w:val="0"/>
              <w:keepLines w:val="0"/>
              <w:pageBreakBefore w:val="0"/>
              <w:kinsoku/>
              <w:wordWrap/>
              <w:overflowPunct/>
              <w:topLinePunct w:val="0"/>
              <w:autoSpaceDE/>
              <w:autoSpaceDN/>
              <w:bidi w:val="0"/>
              <w:adjustRightInd/>
              <w:snapToGrid/>
              <w:spacing w:line="400" w:lineRule="exact"/>
              <w:jc w:val="center"/>
              <w:textAlignment w:val="auto"/>
              <w:rPr>
                <w:rFonts w:hint="eastAsia" w:ascii="宋体" w:hAnsi="宋体" w:eastAsia="宋体" w:cs="宋体"/>
                <w:color w:val="000000"/>
                <w:kern w:val="2"/>
                <w:sz w:val="21"/>
                <w:szCs w:val="21"/>
                <w:lang w:val="en-US" w:eastAsia="zh-CN" w:bidi="ar-SA"/>
              </w:rPr>
            </w:pPr>
            <w:r>
              <w:rPr>
                <w:rFonts w:hint="eastAsia" w:ascii="宋体" w:hAnsi="宋体" w:eastAsia="宋体" w:cs="宋体"/>
                <w:sz w:val="20"/>
                <w:szCs w:val="20"/>
                <w:lang w:val="en-US" w:eastAsia="zh-CN"/>
              </w:rPr>
              <w:t>（10分）</w:t>
            </w:r>
          </w:p>
        </w:tc>
        <w:tc>
          <w:tcPr>
            <w:tcW w:w="5118" w:type="dxa"/>
            <w:shd w:val="clear" w:color="auto" w:fill="auto"/>
            <w:noWrap/>
            <w:vAlign w:val="center"/>
          </w:tcPr>
          <w:p w14:paraId="0129E8B1">
            <w:pPr>
              <w:keepNext w:val="0"/>
              <w:keepLines w:val="0"/>
              <w:pageBreakBefore w:val="0"/>
              <w:kinsoku/>
              <w:wordWrap/>
              <w:overflowPunct/>
              <w:topLinePunct w:val="0"/>
              <w:autoSpaceDE/>
              <w:autoSpaceDN/>
              <w:bidi w:val="0"/>
              <w:adjustRightInd/>
              <w:snapToGrid/>
              <w:spacing w:line="400" w:lineRule="exact"/>
              <w:textAlignment w:val="auto"/>
              <w:rPr>
                <w:rFonts w:hint="eastAsia" w:ascii="宋体" w:hAnsi="宋体" w:eastAsia="宋体" w:cs="宋体"/>
                <w:color w:val="auto"/>
                <w:sz w:val="20"/>
                <w:szCs w:val="20"/>
                <w:highlight w:val="none"/>
                <w:lang w:eastAsia="zh-CN"/>
              </w:rPr>
            </w:pPr>
            <w:r>
              <w:rPr>
                <w:rFonts w:hint="eastAsia" w:ascii="宋体" w:hAnsi="宋体" w:cs="宋体"/>
                <w:color w:val="auto"/>
                <w:sz w:val="20"/>
                <w:szCs w:val="20"/>
                <w:highlight w:val="none"/>
                <w:lang w:val="en-US" w:eastAsia="zh-CN"/>
              </w:rPr>
              <w:t>投标人</w:t>
            </w:r>
            <w:r>
              <w:rPr>
                <w:rFonts w:hint="eastAsia" w:ascii="宋体" w:hAnsi="宋体" w:eastAsia="宋体" w:cs="宋体"/>
                <w:color w:val="auto"/>
                <w:sz w:val="20"/>
                <w:szCs w:val="20"/>
                <w:highlight w:val="none"/>
                <w:lang w:val="en-US" w:eastAsia="zh-CN"/>
              </w:rPr>
              <w:t>有</w:t>
            </w:r>
            <w:r>
              <w:rPr>
                <w:rFonts w:hint="eastAsia" w:ascii="宋体" w:hAnsi="宋体" w:eastAsia="宋体" w:cs="宋体"/>
                <w:color w:val="auto"/>
                <w:sz w:val="20"/>
                <w:szCs w:val="20"/>
                <w:highlight w:val="none"/>
              </w:rPr>
              <w:t>近</w:t>
            </w:r>
            <w:r>
              <w:rPr>
                <w:rFonts w:hint="eastAsia" w:ascii="宋体" w:hAnsi="宋体" w:eastAsia="宋体" w:cs="宋体"/>
                <w:color w:val="auto"/>
                <w:sz w:val="20"/>
                <w:szCs w:val="20"/>
                <w:highlight w:val="none"/>
                <w:lang w:eastAsia="zh-CN"/>
              </w:rPr>
              <w:t>三</w:t>
            </w:r>
            <w:r>
              <w:rPr>
                <w:rFonts w:hint="eastAsia" w:ascii="宋体" w:hAnsi="宋体" w:eastAsia="宋体" w:cs="宋体"/>
                <w:color w:val="auto"/>
                <w:sz w:val="20"/>
                <w:szCs w:val="20"/>
                <w:highlight w:val="none"/>
              </w:rPr>
              <w:t>年内的</w:t>
            </w:r>
            <w:r>
              <w:rPr>
                <w:rFonts w:hint="eastAsia" w:ascii="宋体" w:hAnsi="宋体" w:eastAsia="宋体" w:cs="宋体"/>
                <w:color w:val="auto"/>
                <w:sz w:val="20"/>
                <w:szCs w:val="20"/>
                <w:highlight w:val="none"/>
                <w:lang w:val="en-US" w:eastAsia="zh-CN"/>
              </w:rPr>
              <w:t>食堂承包</w:t>
            </w:r>
            <w:r>
              <w:rPr>
                <w:rFonts w:hint="eastAsia" w:ascii="宋体" w:hAnsi="宋体" w:eastAsia="宋体" w:cs="宋体"/>
                <w:color w:val="auto"/>
                <w:sz w:val="20"/>
                <w:szCs w:val="20"/>
                <w:highlight w:val="none"/>
              </w:rPr>
              <w:t>项目</w:t>
            </w:r>
            <w:r>
              <w:rPr>
                <w:rFonts w:hint="eastAsia" w:ascii="宋体" w:hAnsi="宋体" w:eastAsia="宋体" w:cs="宋体"/>
                <w:color w:val="auto"/>
                <w:sz w:val="20"/>
                <w:szCs w:val="20"/>
                <w:highlight w:val="none"/>
                <w:lang w:val="en-US" w:eastAsia="zh-CN"/>
              </w:rPr>
              <w:t>业绩</w:t>
            </w:r>
            <w:r>
              <w:rPr>
                <w:rFonts w:hint="eastAsia" w:ascii="宋体" w:hAnsi="宋体" w:eastAsia="宋体" w:cs="宋体"/>
                <w:color w:val="auto"/>
                <w:sz w:val="20"/>
                <w:szCs w:val="20"/>
                <w:highlight w:val="none"/>
              </w:rPr>
              <w:t>，每个计</w:t>
            </w:r>
            <w:r>
              <w:rPr>
                <w:rFonts w:hint="eastAsia" w:ascii="宋体" w:hAnsi="宋体" w:cs="宋体"/>
                <w:color w:val="auto"/>
                <w:sz w:val="20"/>
                <w:szCs w:val="20"/>
                <w:highlight w:val="none"/>
                <w:lang w:val="en-US" w:eastAsia="zh-CN"/>
              </w:rPr>
              <w:t>5</w:t>
            </w:r>
            <w:r>
              <w:rPr>
                <w:rFonts w:hint="eastAsia" w:ascii="宋体" w:hAnsi="宋体" w:eastAsia="宋体" w:cs="宋体"/>
                <w:color w:val="auto"/>
                <w:sz w:val="20"/>
                <w:szCs w:val="20"/>
                <w:highlight w:val="none"/>
              </w:rPr>
              <w:t>分，最多计</w:t>
            </w:r>
            <w:r>
              <w:rPr>
                <w:rFonts w:hint="eastAsia" w:ascii="宋体" w:hAnsi="宋体" w:cs="宋体"/>
                <w:color w:val="auto"/>
                <w:sz w:val="20"/>
                <w:szCs w:val="20"/>
                <w:highlight w:val="none"/>
                <w:lang w:val="en-US" w:eastAsia="zh-CN"/>
              </w:rPr>
              <w:t>10</w:t>
            </w:r>
            <w:r>
              <w:rPr>
                <w:rFonts w:hint="eastAsia" w:ascii="宋体" w:hAnsi="宋体" w:eastAsia="宋体" w:cs="宋体"/>
                <w:color w:val="auto"/>
                <w:sz w:val="20"/>
                <w:szCs w:val="20"/>
                <w:highlight w:val="none"/>
                <w:lang w:eastAsia="zh-CN"/>
              </w:rPr>
              <w:t>分，</w:t>
            </w:r>
            <w:r>
              <w:rPr>
                <w:rFonts w:hint="eastAsia" w:ascii="宋体" w:hAnsi="宋体" w:eastAsia="宋体" w:cs="宋体"/>
                <w:color w:val="auto"/>
                <w:sz w:val="20"/>
                <w:szCs w:val="20"/>
                <w:highlight w:val="none"/>
              </w:rPr>
              <w:t>没有不计分</w:t>
            </w:r>
            <w:r>
              <w:rPr>
                <w:rFonts w:hint="eastAsia" w:ascii="宋体" w:hAnsi="宋体" w:eastAsia="宋体" w:cs="宋体"/>
                <w:color w:val="auto"/>
                <w:sz w:val="20"/>
                <w:szCs w:val="20"/>
                <w:highlight w:val="none"/>
                <w:lang w:eastAsia="zh-CN"/>
              </w:rPr>
              <w:t>。</w:t>
            </w:r>
          </w:p>
          <w:p w14:paraId="066372AE">
            <w:pPr>
              <w:pStyle w:val="364"/>
              <w:keepNext w:val="0"/>
              <w:keepLines w:val="0"/>
              <w:pageBreakBefore w:val="0"/>
              <w:kinsoku/>
              <w:wordWrap/>
              <w:overflowPunct/>
              <w:topLinePunct w:val="0"/>
              <w:autoSpaceDE/>
              <w:autoSpaceDN/>
              <w:bidi w:val="0"/>
              <w:adjustRightInd/>
              <w:snapToGrid/>
              <w:spacing w:line="400" w:lineRule="exact"/>
              <w:jc w:val="left"/>
              <w:textAlignment w:val="auto"/>
              <w:rPr>
                <w:rFonts w:hint="eastAsia" w:ascii="宋体" w:hAnsi="宋体" w:eastAsia="宋体" w:cs="宋体"/>
                <w:sz w:val="21"/>
                <w:szCs w:val="21"/>
                <w:highlight w:val="none"/>
                <w:lang w:val="en-US" w:eastAsia="zh-CN"/>
              </w:rPr>
            </w:pPr>
            <w:r>
              <w:rPr>
                <w:rFonts w:hint="eastAsia" w:ascii="宋体" w:hAnsi="宋体" w:eastAsia="宋体" w:cs="宋体"/>
                <w:sz w:val="20"/>
                <w:szCs w:val="20"/>
                <w:lang w:val="en-US" w:eastAsia="zh-CN"/>
              </w:rPr>
              <w:t>（提供合同或中标通知书原件扫描件并须提供公共资源交易中心</w:t>
            </w:r>
            <w:r>
              <w:rPr>
                <w:rFonts w:hint="eastAsia" w:ascii="宋体" w:hAnsi="宋体" w:eastAsia="宋体" w:cs="宋体"/>
                <w:sz w:val="20"/>
                <w:szCs w:val="20"/>
                <w:highlight w:val="none"/>
                <w:lang w:val="en-US" w:eastAsia="zh-CN"/>
              </w:rPr>
              <w:t>和</w:t>
            </w:r>
            <w:r>
              <w:rPr>
                <w:rFonts w:hint="eastAsia" w:ascii="宋体" w:hAnsi="宋体" w:eastAsia="宋体" w:cs="宋体"/>
                <w:sz w:val="20"/>
                <w:szCs w:val="20"/>
                <w:lang w:val="en-US" w:eastAsia="zh-CN"/>
              </w:rPr>
              <w:t>政府采购网成交结果公示的截图，以上证明材料均需加盖投标人公章，否则不计分）</w:t>
            </w:r>
          </w:p>
        </w:tc>
      </w:tr>
      <w:tr w14:paraId="00D42548">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99" w:hRule="atLeast"/>
        </w:trPr>
        <w:tc>
          <w:tcPr>
            <w:tcW w:w="728" w:type="dxa"/>
            <w:vMerge w:val="continue"/>
            <w:tcBorders>
              <w:right w:val="single" w:color="auto" w:sz="4" w:space="0"/>
            </w:tcBorders>
            <w:noWrap/>
            <w:vAlign w:val="center"/>
          </w:tcPr>
          <w:p w14:paraId="796C2D4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p>
        </w:tc>
        <w:tc>
          <w:tcPr>
            <w:tcW w:w="1723" w:type="dxa"/>
            <w:tcBorders>
              <w:left w:val="single" w:color="auto" w:sz="4" w:space="0"/>
            </w:tcBorders>
            <w:noWrap/>
            <w:vAlign w:val="center"/>
          </w:tcPr>
          <w:p w14:paraId="73FFB68D">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优先采购加分</w:t>
            </w:r>
          </w:p>
          <w:p w14:paraId="0E849426">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（F</w:t>
            </w:r>
            <w:r>
              <w:rPr>
                <w:rFonts w:hint="eastAsia" w:ascii="宋体" w:hAnsi="宋体" w:eastAsia="宋体" w:cs="宋体"/>
                <w:sz w:val="21"/>
                <w:szCs w:val="21"/>
                <w:vertAlign w:val="subscript"/>
              </w:rPr>
              <w:t>优先采购加分</w:t>
            </w:r>
            <w:r>
              <w:rPr>
                <w:rFonts w:hint="eastAsia" w:ascii="宋体" w:hAnsi="宋体" w:eastAsia="宋体" w:cs="宋体"/>
                <w:sz w:val="21"/>
                <w:szCs w:val="21"/>
              </w:rPr>
              <w:t>）</w:t>
            </w:r>
          </w:p>
        </w:tc>
        <w:tc>
          <w:tcPr>
            <w:tcW w:w="6570" w:type="dxa"/>
            <w:gridSpan w:val="2"/>
            <w:tcBorders>
              <w:bottom w:val="single" w:color="auto" w:sz="4" w:space="0"/>
            </w:tcBorders>
            <w:noWrap/>
            <w:vAlign w:val="center"/>
          </w:tcPr>
          <w:p w14:paraId="62E8F688">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w:t>
            </w:r>
          </w:p>
        </w:tc>
      </w:tr>
      <w:tr w14:paraId="737AC01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10" w:hRule="atLeast"/>
        </w:trPr>
        <w:tc>
          <w:tcPr>
            <w:tcW w:w="728" w:type="dxa"/>
            <w:tcBorders>
              <w:right w:val="single" w:color="auto" w:sz="4" w:space="0"/>
            </w:tcBorders>
            <w:noWrap/>
            <w:vAlign w:val="center"/>
          </w:tcPr>
          <w:p w14:paraId="0E0D7CB7">
            <w:pPr>
              <w:keepNext w:val="0"/>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eastAsia" w:ascii="宋体" w:hAnsi="宋体" w:eastAsia="宋体" w:cs="宋体"/>
                <w:sz w:val="21"/>
                <w:szCs w:val="21"/>
              </w:rPr>
            </w:pPr>
            <w:r>
              <w:rPr>
                <w:rFonts w:hint="eastAsia" w:ascii="宋体" w:hAnsi="宋体" w:eastAsia="宋体" w:cs="宋体"/>
                <w:sz w:val="21"/>
                <w:szCs w:val="21"/>
              </w:rPr>
              <w:t>∑</w:t>
            </w:r>
          </w:p>
        </w:tc>
        <w:tc>
          <w:tcPr>
            <w:tcW w:w="8293" w:type="dxa"/>
            <w:gridSpan w:val="3"/>
            <w:tcBorders>
              <w:left w:val="single" w:color="auto" w:sz="4" w:space="0"/>
            </w:tcBorders>
            <w:noWrap/>
            <w:vAlign w:val="center"/>
          </w:tcPr>
          <w:p w14:paraId="643C9EC2">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sz w:val="21"/>
                <w:szCs w:val="21"/>
              </w:rPr>
            </w:pPr>
            <w:r>
              <w:rPr>
                <w:rFonts w:hint="eastAsia" w:ascii="宋体" w:hAnsi="宋体" w:eastAsia="宋体" w:cs="宋体"/>
                <w:sz w:val="21"/>
                <w:szCs w:val="21"/>
              </w:rPr>
              <w:t>F</w:t>
            </w:r>
            <w:r>
              <w:rPr>
                <w:rFonts w:hint="eastAsia" w:ascii="宋体" w:hAnsi="宋体" w:eastAsia="宋体" w:cs="宋体"/>
                <w:sz w:val="21"/>
                <w:szCs w:val="21"/>
                <w:vertAlign w:val="subscript"/>
              </w:rPr>
              <w:t>3</w:t>
            </w:r>
            <w:r>
              <w:rPr>
                <w:rFonts w:hint="eastAsia" w:ascii="宋体" w:hAnsi="宋体" w:eastAsia="宋体" w:cs="宋体"/>
                <w:sz w:val="21"/>
                <w:szCs w:val="21"/>
              </w:rPr>
              <w:t>=F+F</w:t>
            </w:r>
            <w:r>
              <w:rPr>
                <w:rFonts w:hint="eastAsia" w:ascii="宋体" w:hAnsi="宋体" w:eastAsia="宋体" w:cs="宋体"/>
                <w:sz w:val="21"/>
                <w:szCs w:val="21"/>
                <w:vertAlign w:val="subscript"/>
              </w:rPr>
              <w:t>优先采购加分</w:t>
            </w:r>
          </w:p>
        </w:tc>
      </w:tr>
    </w:tbl>
    <w:p w14:paraId="0757CA49">
      <w:pPr>
        <w:rPr>
          <w:rFonts w:hint="eastAsia"/>
        </w:rPr>
      </w:pPr>
    </w:p>
    <w:p w14:paraId="7B3349C2">
      <w:pPr>
        <w:rPr>
          <w:rFonts w:hint="eastAsia" w:ascii="黑体" w:hAnsi="华文中宋" w:eastAsia="黑体"/>
          <w:color w:val="000000"/>
          <w:sz w:val="32"/>
          <w:szCs w:val="32"/>
        </w:rPr>
      </w:pPr>
    </w:p>
    <w:p w14:paraId="616EFDDB">
      <w:pPr>
        <w:pStyle w:val="3"/>
        <w:keepNext/>
        <w:keepLines w:val="0"/>
        <w:pageBreakBefore w:val="0"/>
        <w:widowControl w:val="0"/>
        <w:kinsoku/>
        <w:wordWrap/>
        <w:overflowPunct/>
        <w:topLinePunct w:val="0"/>
        <w:autoSpaceDE/>
        <w:autoSpaceDN/>
        <w:bidi w:val="0"/>
        <w:adjustRightInd/>
        <w:snapToGrid/>
        <w:spacing w:line="360" w:lineRule="auto"/>
        <w:ind w:firstLine="0" w:firstLineChars="0"/>
        <w:jc w:val="center"/>
        <w:textAlignment w:val="auto"/>
        <w:rPr>
          <w:rFonts w:hint="eastAsia" w:ascii="宋体" w:hAnsi="宋体" w:cs="宋体"/>
          <w:b/>
          <w:szCs w:val="21"/>
        </w:rPr>
      </w:pPr>
      <w:bookmarkStart w:id="101" w:name="_Toc11926"/>
      <w:r>
        <w:rPr>
          <w:rFonts w:hint="eastAsia" w:ascii="黑体" w:hAnsi="华文中宋" w:eastAsia="黑体"/>
          <w:color w:val="000000"/>
          <w:sz w:val="32"/>
          <w:szCs w:val="32"/>
        </w:rPr>
        <w:t>第五章 采购需求</w:t>
      </w:r>
      <w:bookmarkEnd w:id="96"/>
      <w:bookmarkEnd w:id="101"/>
    </w:p>
    <w:p w14:paraId="4EA1C7B8">
      <w:pPr>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一、采购人权利和义务</w:t>
      </w:r>
    </w:p>
    <w:p w14:paraId="3B85C910">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1、建立健全运行管理制度和考核评分细则。</w:t>
      </w:r>
    </w:p>
    <w:p w14:paraId="3EC69B10">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2、负责食品原材料的采购、食品安全、卫生管理、费用结算、刷卡服务、监督考核、证照办理（办理采购方的食品经营许可证）及日清月结。</w:t>
      </w:r>
    </w:p>
    <w:p w14:paraId="777724F2">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3、负责机关食堂水、电、燃料供应和设施修缮。</w:t>
      </w:r>
    </w:p>
    <w:p w14:paraId="5CF4190A">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4、负责提供必需的工作条件和餐饮加工条件，冲洗消毒设备，食品存储设备，用餐桌凳，监控设备，工作衣帽等。</w:t>
      </w:r>
    </w:p>
    <w:p w14:paraId="7786C733">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5、按月考核支付承包方劳务费。</w:t>
      </w:r>
    </w:p>
    <w:p w14:paraId="7E39358D">
      <w:pPr>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default"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二、投标人服务内容</w:t>
      </w:r>
    </w:p>
    <w:p w14:paraId="01F26086">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负责提供机关食堂一楼职工食堂（一餐厅）和三楼二餐厅的早、中、晚工作餐加工、供应的劳动服务，定期更新菜品，提前提供菜品的预购清单，做到品种多样，色、香、味美，品质精良，保证随时供餐。</w:t>
      </w:r>
    </w:p>
    <w:p w14:paraId="625FE33A">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负责做好机关食堂二楼包厢、宴会厅的接待餐，包括食品加工、传送、服务、清洁工作，前台接待订餐下单，结算、对账报单、送单等，根据需要临时雇请工作人员。</w:t>
      </w:r>
    </w:p>
    <w:p w14:paraId="143AF02C">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认真做好机关食堂的食品安全，卫生管理，加强水、电、燃气管理，按时开关，节约使用，确保安全无事故。</w:t>
      </w:r>
    </w:p>
    <w:p w14:paraId="732A6643">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按要求配置人员，员工持证上岗，工作规范，作风严谨，自觉遵守机关食堂的各项规章制度，自觉接受机关事务服务中心的考核和相关职能部门的监督、管理。</w:t>
      </w:r>
    </w:p>
    <w:p w14:paraId="0A2E1729">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5</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负责落实员工生活待遇（含工资，养老保险，医疗保险、工伤和失业保险），负责组织定期培训，每天晨会及工作安排，考核管理。</w:t>
      </w:r>
    </w:p>
    <w:p w14:paraId="6CDB8F78">
      <w:pPr>
        <w:keepLines w:val="0"/>
        <w:pageBreakBefore w:val="0"/>
        <w:widowControl w:val="0"/>
        <w:kinsoku/>
        <w:wordWrap/>
        <w:overflowPunct/>
        <w:topLinePunct w:val="0"/>
        <w:autoSpaceDE/>
        <w:autoSpaceDN/>
        <w:bidi w:val="0"/>
        <w:adjustRightInd w:val="0"/>
        <w:snapToGrid w:val="0"/>
        <w:spacing w:line="360" w:lineRule="auto"/>
        <w:jc w:val="center"/>
        <w:textAlignment w:val="auto"/>
        <w:rPr>
          <w:rFonts w:hint="default" w:ascii="宋体" w:hAnsi="宋体" w:eastAsia="宋体" w:cs="Times New Roman"/>
          <w:color w:val="auto"/>
          <w:sz w:val="21"/>
          <w:szCs w:val="21"/>
          <w:highlight w:val="none"/>
          <w:lang w:val="en-US" w:eastAsia="zh-CN"/>
        </w:rPr>
      </w:pPr>
      <w:r>
        <w:rPr>
          <w:rFonts w:hint="eastAsia" w:ascii="黑体" w:hAnsi="黑体" w:eastAsia="黑体" w:cs="Times New Roman"/>
          <w:color w:val="auto"/>
          <w:sz w:val="28"/>
          <w:szCs w:val="28"/>
          <w:highlight w:val="none"/>
        </w:rPr>
        <w:br w:type="page"/>
      </w:r>
      <w:bookmarkStart w:id="102" w:name="_Toc22107"/>
      <w:r>
        <w:rPr>
          <w:rFonts w:hint="eastAsia" w:ascii="Arial" w:hAnsi="Arial" w:eastAsia="宋体" w:cs="Times New Roman"/>
          <w:b/>
          <w:bCs/>
          <w:color w:val="auto"/>
          <w:szCs w:val="32"/>
          <w:highlight w:val="none"/>
          <w:lang w:val="en-US" w:eastAsia="zh-CN"/>
        </w:rPr>
        <w:t>第二节 服务要求</w:t>
      </w:r>
      <w:bookmarkEnd w:id="102"/>
    </w:p>
    <w:p w14:paraId="68949C30">
      <w:pPr>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一、人员要求</w:t>
      </w:r>
    </w:p>
    <w:p w14:paraId="12ABA5C5">
      <w:pPr>
        <w:keepLines w:val="0"/>
        <w:pageBreakBefore w:val="0"/>
        <w:widowControl w:val="0"/>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宋体" w:hAnsi="宋体" w:eastAsia="宋体" w:cs="Times New Roman"/>
          <w:color w:val="auto"/>
          <w:sz w:val="21"/>
          <w:szCs w:val="21"/>
          <w:highlight w:val="none"/>
          <w:lang w:val="en-US" w:eastAsia="zh-CN"/>
          <w14:ligatures w14:val="none"/>
        </w:rPr>
      </w:pPr>
      <w:r>
        <w:rPr>
          <w:rFonts w:hint="eastAsia" w:ascii="宋体" w:hAnsi="宋体" w:eastAsia="宋体" w:cs="Times New Roman"/>
          <w:color w:val="auto"/>
          <w:sz w:val="21"/>
          <w:szCs w:val="21"/>
          <w:highlight w:val="none"/>
          <w:lang w:val="en-US" w:eastAsia="zh-CN"/>
          <w14:ligatures w14:val="none"/>
        </w:rPr>
        <w:t>需要配备管理人员、厨师及服务人员</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2</w:t>
      </w:r>
      <w:r>
        <w:rPr>
          <w:rFonts w:hint="default" w:ascii="宋体" w:hAnsi="宋体" w:eastAsia="宋体" w:cs="Times New Roman"/>
          <w:color w:val="auto"/>
          <w:sz w:val="21"/>
          <w:szCs w:val="21"/>
          <w:highlight w:val="none"/>
          <w:lang w:val="en-US" w:eastAsia="zh-CN"/>
          <w14:ligatures w14:val="none"/>
        </w:rPr>
        <w:t>0</w:t>
      </w:r>
      <w:r>
        <w:rPr>
          <w:rFonts w:hint="eastAsia" w:ascii="宋体" w:hAnsi="宋体" w:eastAsia="宋体" w:cs="Times New Roman"/>
          <w:color w:val="auto"/>
          <w:sz w:val="21"/>
          <w:szCs w:val="21"/>
          <w:highlight w:val="none"/>
          <w:lang w:val="en-US" w:eastAsia="zh-CN"/>
          <w14:ligatures w14:val="none"/>
        </w:rPr>
        <w:t>人。</w:t>
      </w:r>
    </w:p>
    <w:p w14:paraId="4FCDECAB">
      <w:pPr>
        <w:keepLines w:val="0"/>
        <w:pageBreakBefore w:val="0"/>
        <w:widowControl w:val="0"/>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宋体" w:hAnsi="宋体" w:eastAsia="宋体" w:cs="Times New Roman"/>
          <w:color w:val="auto"/>
          <w:sz w:val="21"/>
          <w:szCs w:val="21"/>
          <w:highlight w:val="none"/>
          <w:lang w:val="en-US" w:eastAsia="zh-CN"/>
          <w14:ligatures w14:val="none"/>
        </w:rPr>
      </w:pPr>
      <w:r>
        <w:rPr>
          <w:rFonts w:hint="eastAsia" w:ascii="宋体" w:hAnsi="宋体" w:eastAsia="宋体" w:cs="Times New Roman"/>
          <w:color w:val="auto"/>
          <w:sz w:val="21"/>
          <w:szCs w:val="21"/>
          <w:highlight w:val="none"/>
          <w:lang w:val="en-US" w:eastAsia="zh-CN"/>
          <w14:ligatures w14:val="none"/>
        </w:rPr>
        <w:t>1、管理人员</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1人；</w:t>
      </w:r>
    </w:p>
    <w:p w14:paraId="5700BED3">
      <w:pPr>
        <w:keepLines w:val="0"/>
        <w:pageBreakBefore w:val="0"/>
        <w:widowControl w:val="0"/>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宋体" w:hAnsi="宋体" w:eastAsia="宋体" w:cs="Times New Roman"/>
          <w:color w:val="auto"/>
          <w:sz w:val="21"/>
          <w:szCs w:val="21"/>
          <w:highlight w:val="none"/>
          <w:lang w:val="en-US" w:eastAsia="zh-CN"/>
          <w14:ligatures w14:val="none"/>
        </w:rPr>
      </w:pPr>
      <w:r>
        <w:rPr>
          <w:rFonts w:hint="eastAsia" w:ascii="宋体" w:hAnsi="宋体" w:eastAsia="宋体" w:cs="Times New Roman"/>
          <w:color w:val="auto"/>
          <w:sz w:val="21"/>
          <w:szCs w:val="21"/>
          <w:highlight w:val="none"/>
          <w:lang w:val="en-US" w:eastAsia="zh-CN"/>
          <w14:ligatures w14:val="none"/>
        </w:rPr>
        <w:t>2、一楼职工食堂（一餐厅）</w:t>
      </w:r>
      <w:r>
        <w:rPr>
          <w:rFonts w:ascii="Helvetica" w:hAnsi="Helvetica" w:eastAsia="Helvetica" w:cs="Helvetica"/>
          <w:i w:val="0"/>
          <w:iCs w:val="0"/>
          <w:caps w:val="0"/>
          <w:color w:val="333333"/>
          <w:spacing w:val="0"/>
          <w:sz w:val="21"/>
          <w:szCs w:val="21"/>
          <w:shd w:val="clear" w:fill="F9F9F9"/>
          <w14:ligatures w14:val="none"/>
        </w:rPr>
        <w:t>不少于</w:t>
      </w:r>
      <w:r>
        <w:rPr>
          <w:rFonts w:hint="default" w:ascii="宋体" w:hAnsi="宋体" w:eastAsia="宋体" w:cs="Times New Roman"/>
          <w:color w:val="auto"/>
          <w:sz w:val="21"/>
          <w:szCs w:val="21"/>
          <w:highlight w:val="none"/>
          <w:lang w:val="en-US" w:eastAsia="zh-CN"/>
          <w14:ligatures w14:val="none"/>
        </w:rPr>
        <w:t>9</w:t>
      </w:r>
      <w:r>
        <w:rPr>
          <w:rFonts w:hint="eastAsia" w:ascii="宋体" w:hAnsi="宋体" w:eastAsia="宋体" w:cs="Times New Roman"/>
          <w:color w:val="auto"/>
          <w:sz w:val="21"/>
          <w:szCs w:val="21"/>
          <w:highlight w:val="none"/>
          <w:lang w:val="en-US" w:eastAsia="zh-CN"/>
          <w14:ligatures w14:val="none"/>
        </w:rPr>
        <w:t>人，其中厨师</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2人、配菜</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2人、蒸菜师</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1人、白案</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1人、洗碗</w:t>
      </w:r>
      <w:r>
        <w:rPr>
          <w:rFonts w:ascii="Helvetica" w:hAnsi="Helvetica" w:eastAsia="Helvetica" w:cs="Helvetica"/>
          <w:i w:val="0"/>
          <w:iCs w:val="0"/>
          <w:caps w:val="0"/>
          <w:color w:val="333333"/>
          <w:spacing w:val="0"/>
          <w:sz w:val="21"/>
          <w:szCs w:val="21"/>
          <w:shd w:val="clear" w:fill="F9F9F9"/>
          <w14:ligatures w14:val="none"/>
        </w:rPr>
        <w:t>不少于</w:t>
      </w:r>
      <w:r>
        <w:rPr>
          <w:rFonts w:hint="default" w:ascii="宋体" w:hAnsi="宋体" w:eastAsia="宋体" w:cs="Times New Roman"/>
          <w:color w:val="auto"/>
          <w:sz w:val="21"/>
          <w:szCs w:val="21"/>
          <w:highlight w:val="none"/>
          <w:lang w:val="en-US" w:eastAsia="zh-CN"/>
          <w14:ligatures w14:val="none"/>
        </w:rPr>
        <w:t>3</w:t>
      </w:r>
      <w:r>
        <w:rPr>
          <w:rFonts w:hint="eastAsia" w:ascii="宋体" w:hAnsi="宋体" w:eastAsia="宋体" w:cs="Times New Roman"/>
          <w:color w:val="auto"/>
          <w:sz w:val="21"/>
          <w:szCs w:val="21"/>
          <w:highlight w:val="none"/>
          <w:lang w:val="en-US" w:eastAsia="zh-CN"/>
          <w14:ligatures w14:val="none"/>
        </w:rPr>
        <w:t>人；</w:t>
      </w:r>
    </w:p>
    <w:p w14:paraId="685EC2B7">
      <w:pPr>
        <w:keepLines w:val="0"/>
        <w:pageBreakBefore w:val="0"/>
        <w:widowControl w:val="0"/>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宋体" w:hAnsi="宋体" w:eastAsia="宋体" w:cs="Times New Roman"/>
          <w:color w:val="auto"/>
          <w:sz w:val="21"/>
          <w:szCs w:val="21"/>
          <w:highlight w:val="none"/>
          <w:lang w:val="en-US" w:eastAsia="zh-CN"/>
          <w14:ligatures w14:val="none"/>
        </w:rPr>
      </w:pPr>
      <w:r>
        <w:rPr>
          <w:rFonts w:hint="eastAsia" w:ascii="宋体" w:hAnsi="宋体" w:eastAsia="宋体" w:cs="Times New Roman"/>
          <w:color w:val="auto"/>
          <w:sz w:val="21"/>
          <w:szCs w:val="21"/>
          <w:highlight w:val="none"/>
          <w:lang w:val="en-US" w:eastAsia="zh-CN"/>
          <w14:ligatures w14:val="none"/>
        </w:rPr>
        <w:t>3、三楼二餐厅</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3人，其中厨师</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1人、服务员</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1人、配菜（兼洗碗）</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1人；</w:t>
      </w:r>
    </w:p>
    <w:p w14:paraId="2629FC02">
      <w:pPr>
        <w:keepLines w:val="0"/>
        <w:pageBreakBefore w:val="0"/>
        <w:widowControl w:val="0"/>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宋体" w:hAnsi="宋体" w:eastAsia="宋体" w:cs="Times New Roman"/>
          <w:color w:val="auto"/>
          <w:sz w:val="21"/>
          <w:szCs w:val="21"/>
          <w:highlight w:val="none"/>
          <w:lang w:val="en-US" w:eastAsia="zh-CN"/>
          <w14:ligatures w14:val="none"/>
        </w:rPr>
      </w:pPr>
      <w:r>
        <w:rPr>
          <w:rFonts w:hint="eastAsia" w:ascii="宋体" w:hAnsi="宋体" w:eastAsia="宋体" w:cs="Times New Roman"/>
          <w:color w:val="auto"/>
          <w:sz w:val="21"/>
          <w:szCs w:val="21"/>
          <w:highlight w:val="none"/>
          <w:lang w:val="en-US" w:eastAsia="zh-CN"/>
          <w14:ligatures w14:val="none"/>
        </w:rPr>
        <w:t>4、包厢、宴会厅</w:t>
      </w:r>
      <w:r>
        <w:rPr>
          <w:rFonts w:ascii="Helvetica" w:hAnsi="Helvetica" w:eastAsia="Helvetica" w:cs="Helvetica"/>
          <w:i w:val="0"/>
          <w:iCs w:val="0"/>
          <w:caps w:val="0"/>
          <w:color w:val="333333"/>
          <w:spacing w:val="0"/>
          <w:sz w:val="21"/>
          <w:szCs w:val="21"/>
          <w:shd w:val="clear" w:fill="F9F9F9"/>
          <w14:ligatures w14:val="none"/>
        </w:rPr>
        <w:t>不少于</w:t>
      </w:r>
      <w:r>
        <w:rPr>
          <w:rFonts w:hint="default" w:ascii="宋体" w:hAnsi="宋体" w:eastAsia="宋体" w:cs="Times New Roman"/>
          <w:color w:val="auto"/>
          <w:sz w:val="21"/>
          <w:szCs w:val="21"/>
          <w:highlight w:val="none"/>
          <w:lang w:val="en-US" w:eastAsia="zh-CN"/>
          <w14:ligatures w14:val="none"/>
        </w:rPr>
        <w:t>4</w:t>
      </w:r>
      <w:r>
        <w:rPr>
          <w:rFonts w:hint="eastAsia" w:ascii="宋体" w:hAnsi="宋体" w:eastAsia="宋体" w:cs="Times New Roman"/>
          <w:color w:val="auto"/>
          <w:sz w:val="21"/>
          <w:szCs w:val="21"/>
          <w:highlight w:val="none"/>
          <w:lang w:val="en-US" w:eastAsia="zh-CN"/>
          <w14:ligatures w14:val="none"/>
        </w:rPr>
        <w:t>人，其中厨师</w:t>
      </w:r>
      <w:r>
        <w:rPr>
          <w:rFonts w:ascii="Helvetica" w:hAnsi="Helvetica" w:eastAsia="Helvetica" w:cs="Helvetica"/>
          <w:i w:val="0"/>
          <w:iCs w:val="0"/>
          <w:caps w:val="0"/>
          <w:color w:val="333333"/>
          <w:spacing w:val="0"/>
          <w:sz w:val="21"/>
          <w:szCs w:val="21"/>
          <w:shd w:val="clear" w:fill="F9F9F9"/>
          <w14:ligatures w14:val="none"/>
        </w:rPr>
        <w:t>不少于</w:t>
      </w:r>
      <w:r>
        <w:rPr>
          <w:rFonts w:hint="default" w:ascii="宋体" w:hAnsi="宋体" w:eastAsia="宋体" w:cs="Times New Roman"/>
          <w:color w:val="auto"/>
          <w:sz w:val="21"/>
          <w:szCs w:val="21"/>
          <w:highlight w:val="none"/>
          <w:lang w:val="en-US" w:eastAsia="zh-CN"/>
          <w14:ligatures w14:val="none"/>
        </w:rPr>
        <w:t>1</w:t>
      </w:r>
      <w:r>
        <w:rPr>
          <w:rFonts w:hint="eastAsia" w:ascii="宋体" w:hAnsi="宋体" w:eastAsia="宋体" w:cs="Times New Roman"/>
          <w:color w:val="auto"/>
          <w:sz w:val="21"/>
          <w:szCs w:val="21"/>
          <w:highlight w:val="none"/>
          <w:lang w:val="en-US" w:eastAsia="zh-CN"/>
          <w14:ligatures w14:val="none"/>
        </w:rPr>
        <w:t>人、服务员</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3人（包括楼面经理），洗碗、配菜、蒸菜师傅与白案师傅与职工食堂共用，既分工又合作；</w:t>
      </w:r>
    </w:p>
    <w:p w14:paraId="5EFB1580">
      <w:pPr>
        <w:keepLines w:val="0"/>
        <w:pageBreakBefore w:val="0"/>
        <w:widowControl w:val="0"/>
        <w:kinsoku/>
        <w:wordWrap/>
        <w:overflowPunct/>
        <w:topLinePunct w:val="0"/>
        <w:autoSpaceDE/>
        <w:autoSpaceDN/>
        <w:bidi w:val="0"/>
        <w:adjustRightInd w:val="0"/>
        <w:snapToGrid w:val="0"/>
        <w:spacing w:after="0" w:line="360" w:lineRule="auto"/>
        <w:ind w:firstLine="420" w:firstLineChars="200"/>
        <w:jc w:val="left"/>
        <w:textAlignment w:val="auto"/>
        <w:rPr>
          <w:rFonts w:hint="eastAsia" w:ascii="宋体" w:hAnsi="宋体" w:eastAsia="宋体" w:cs="Times New Roman"/>
          <w:color w:val="auto"/>
          <w:sz w:val="21"/>
          <w:szCs w:val="21"/>
          <w:highlight w:val="none"/>
          <w:lang w:val="en-US" w:eastAsia="zh-CN"/>
          <w14:ligatures w14:val="none"/>
        </w:rPr>
      </w:pPr>
      <w:r>
        <w:rPr>
          <w:rFonts w:hint="eastAsia" w:ascii="宋体" w:hAnsi="宋体" w:eastAsia="宋体" w:cs="Times New Roman"/>
          <w:color w:val="auto"/>
          <w:sz w:val="21"/>
          <w:szCs w:val="21"/>
          <w:highlight w:val="none"/>
          <w:lang w:val="en-US" w:eastAsia="zh-CN"/>
          <w14:ligatures w14:val="none"/>
        </w:rPr>
        <w:t>5、仓库销售员</w:t>
      </w:r>
      <w:r>
        <w:rPr>
          <w:rFonts w:hint="default" w:ascii="宋体" w:hAnsi="宋体" w:eastAsia="宋体" w:cs="Times New Roman"/>
          <w:color w:val="auto"/>
          <w:sz w:val="21"/>
          <w:szCs w:val="21"/>
          <w:highlight w:val="none"/>
          <w:lang w:val="en-US" w:eastAsia="zh-CN"/>
          <w14:ligatures w14:val="none"/>
        </w:rPr>
        <w:t>(</w:t>
      </w:r>
      <w:r>
        <w:rPr>
          <w:rFonts w:hint="eastAsia" w:ascii="宋体" w:hAnsi="宋体" w:eastAsia="宋体" w:cs="Times New Roman"/>
          <w:color w:val="auto"/>
          <w:sz w:val="21"/>
          <w:szCs w:val="21"/>
          <w:highlight w:val="none"/>
          <w:lang w:val="en-US" w:eastAsia="zh-CN"/>
          <w14:ligatures w14:val="none"/>
        </w:rPr>
        <w:t>兼职负责一楼职工食堂刷卡服务）</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2人；</w:t>
      </w:r>
    </w:p>
    <w:p w14:paraId="301A6436">
      <w:pPr>
        <w:keepLines w:val="0"/>
        <w:pageBreakBefore w:val="0"/>
        <w:widowControl w:val="0"/>
        <w:kinsoku/>
        <w:wordWrap/>
        <w:overflowPunct/>
        <w:topLinePunct w:val="0"/>
        <w:autoSpaceDE/>
        <w:autoSpaceDN/>
        <w:bidi w:val="0"/>
        <w:adjustRightInd w:val="0"/>
        <w:snapToGrid w:val="0"/>
        <w:spacing w:after="0" w:line="360" w:lineRule="auto"/>
        <w:ind w:firstLine="420" w:firstLineChars="200"/>
        <w:jc w:val="left"/>
        <w:textAlignment w:val="auto"/>
        <w:rPr>
          <w:rFonts w:hint="default" w:ascii="宋体" w:hAnsi="宋体" w:eastAsia="宋体" w:cs="Times New Roman"/>
          <w:color w:val="auto"/>
          <w:sz w:val="21"/>
          <w:szCs w:val="21"/>
          <w:highlight w:val="none"/>
          <w:lang w:val="en-US" w:eastAsia="zh-CN"/>
          <w14:ligatures w14:val="none"/>
        </w:rPr>
      </w:pPr>
      <w:r>
        <w:rPr>
          <w:rFonts w:hint="eastAsia" w:ascii="宋体" w:hAnsi="宋体" w:eastAsia="宋体" w:cs="Times New Roman"/>
          <w:color w:val="auto"/>
          <w:sz w:val="21"/>
          <w:szCs w:val="21"/>
          <w:highlight w:val="none"/>
          <w:lang w:val="en-US" w:eastAsia="zh-CN"/>
          <w14:ligatures w14:val="none"/>
        </w:rPr>
        <w:t>6、清洁员</w:t>
      </w:r>
      <w:r>
        <w:rPr>
          <w:rFonts w:ascii="Helvetica" w:hAnsi="Helvetica" w:eastAsia="Helvetica" w:cs="Helvetica"/>
          <w:i w:val="0"/>
          <w:iCs w:val="0"/>
          <w:caps w:val="0"/>
          <w:color w:val="333333"/>
          <w:spacing w:val="0"/>
          <w:sz w:val="21"/>
          <w:szCs w:val="21"/>
          <w:shd w:val="clear" w:fill="F9F9F9"/>
          <w14:ligatures w14:val="none"/>
        </w:rPr>
        <w:t>不少于</w:t>
      </w:r>
      <w:r>
        <w:rPr>
          <w:rFonts w:hint="eastAsia" w:ascii="宋体" w:hAnsi="宋体" w:eastAsia="宋体" w:cs="Times New Roman"/>
          <w:color w:val="auto"/>
          <w:sz w:val="21"/>
          <w:szCs w:val="21"/>
          <w:highlight w:val="none"/>
          <w:lang w:val="en-US" w:eastAsia="zh-CN"/>
          <w14:ligatures w14:val="none"/>
        </w:rPr>
        <w:t>1人。</w:t>
      </w:r>
    </w:p>
    <w:p w14:paraId="0C3A3B63">
      <w:pPr>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Times New Roman"/>
          <w:b/>
          <w:bCs/>
          <w:color w:val="auto"/>
          <w:sz w:val="21"/>
          <w:szCs w:val="21"/>
          <w:highlight w:val="none"/>
          <w:lang w:val="en-US" w:eastAsia="zh-CN"/>
        </w:rPr>
      </w:pPr>
      <w:r>
        <w:rPr>
          <w:rFonts w:hint="eastAsia" w:ascii="宋体" w:hAnsi="宋体" w:eastAsia="宋体" w:cs="Times New Roman"/>
          <w:b/>
          <w:bCs/>
          <w:color w:val="auto"/>
          <w:sz w:val="21"/>
          <w:szCs w:val="21"/>
          <w:highlight w:val="none"/>
          <w:lang w:val="en-US" w:eastAsia="zh-CN"/>
        </w:rPr>
        <w:t>二、技术要求</w:t>
      </w:r>
    </w:p>
    <w:p w14:paraId="6D53629F">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一楼职工食堂（一餐厅）、三楼二餐厅工作餐标准：早餐为自助餐，提供米粉、面条、包子、鸡蛋、豆浆、稀饭等自助食品，每天保证不少于10个品种，适时更新；中、晚餐一楼职工食堂（一餐厅）提供三荤两素一汤和米饭，三楼二餐厅提供四荤两素一汤和米饭，特殊情况个性化炒菜供应。</w:t>
      </w:r>
    </w:p>
    <w:p w14:paraId="3E051032">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 xml:space="preserve"> 2、包厢、宴会厅接待餐要求：按照星级酒店餐饮标准，做好食品加工和服务工作，及时更新菜谱，不断提升服务工作水平。                 </w:t>
      </w:r>
    </w:p>
    <w:p w14:paraId="7E222457">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3、要加强餐饮服务质量管理，确保食品安全、卫生、可口，严防食品安全事故。注重服务能力、服务态度、服务质量、服务品牌的提升。</w:t>
      </w:r>
    </w:p>
    <w:p w14:paraId="1D8186AF">
      <w:pPr>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4、按规范做好食品留样、储存、清洗、加工等工作，及时搞好厨房、加工间、餐厅及综合服务楼一、二楼、三楼二餐厅及周边的环境卫生工作。</w:t>
      </w:r>
    </w:p>
    <w:p w14:paraId="0F6D56D4">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center"/>
        <w:textAlignment w:val="auto"/>
        <w:rPr>
          <w:rFonts w:ascii="黑体" w:hAnsi="黑体" w:eastAsia="黑体" w:cs="Times New Roman"/>
          <w:color w:val="auto"/>
          <w:kern w:val="2"/>
          <w:sz w:val="28"/>
          <w:szCs w:val="28"/>
          <w:highlight w:val="none"/>
          <w:lang w:val="en-US" w:eastAsia="zh-CN" w:bidi="ar-SA"/>
        </w:rPr>
      </w:pPr>
      <w:r>
        <w:rPr>
          <w:rFonts w:hint="eastAsia" w:ascii="Arial" w:hAnsi="Arial" w:eastAsia="宋体" w:cs="Times New Roman"/>
          <w:b/>
          <w:bCs/>
          <w:color w:val="auto"/>
          <w:kern w:val="2"/>
          <w:sz w:val="24"/>
          <w:szCs w:val="32"/>
          <w:highlight w:val="none"/>
          <w:lang w:val="en-US" w:eastAsia="zh-CN" w:bidi="ar-SA"/>
        </w:rPr>
        <w:br w:type="page"/>
      </w:r>
      <w:bookmarkStart w:id="103" w:name="_Toc15873"/>
      <w:r>
        <w:rPr>
          <w:rFonts w:hint="eastAsia" w:ascii="Arial" w:hAnsi="Arial" w:eastAsia="宋体" w:cs="Times New Roman"/>
          <w:b/>
          <w:bCs/>
          <w:color w:val="auto"/>
          <w:kern w:val="2"/>
          <w:sz w:val="24"/>
          <w:szCs w:val="32"/>
          <w:highlight w:val="none"/>
          <w:lang w:val="en-US" w:eastAsia="zh-CN" w:bidi="ar-SA"/>
        </w:rPr>
        <w:t>第三节 商务要求</w:t>
      </w:r>
      <w:bookmarkEnd w:id="103"/>
    </w:p>
    <w:p w14:paraId="56B3FD6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宋体"/>
          <w:b/>
          <w:bCs/>
          <w:color w:val="auto"/>
          <w:sz w:val="21"/>
          <w:highlight w:val="none"/>
          <w:lang w:val="en-US" w:eastAsia="zh-CN"/>
        </w:rPr>
        <w:t>一、服务标准：</w:t>
      </w:r>
      <w:r>
        <w:rPr>
          <w:rFonts w:hint="eastAsia" w:ascii="宋体" w:hAnsi="宋体" w:eastAsia="宋体" w:cs="宋体"/>
          <w:color w:val="auto"/>
          <w:sz w:val="21"/>
          <w:highlight w:val="none"/>
          <w:lang w:val="en-US" w:eastAsia="zh-CN"/>
        </w:rPr>
        <w:t>通过采购人每月</w:t>
      </w:r>
      <w:r>
        <w:rPr>
          <w:rFonts w:hint="eastAsia" w:ascii="宋体" w:hAnsi="宋体" w:eastAsia="宋体" w:cs="宋体"/>
          <w:color w:val="auto"/>
          <w:sz w:val="21"/>
          <w:highlight w:val="none"/>
          <w:lang w:eastAsia="zh-CN"/>
        </w:rPr>
        <w:t>的</w:t>
      </w:r>
      <w:r>
        <w:rPr>
          <w:rFonts w:hint="eastAsia" w:ascii="宋体" w:hAnsi="宋体" w:eastAsia="宋体" w:cs="宋体"/>
          <w:color w:val="auto"/>
          <w:sz w:val="21"/>
          <w:highlight w:val="none"/>
          <w:lang w:val="en-US" w:eastAsia="zh-CN"/>
        </w:rPr>
        <w:t>满意度测评。</w:t>
      </w:r>
    </w:p>
    <w:p w14:paraId="2465A587">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sz w:val="21"/>
          <w:highlight w:val="none"/>
          <w:lang w:val="en-US" w:eastAsia="zh-CN"/>
        </w:rPr>
      </w:pPr>
      <w:r>
        <w:rPr>
          <w:rFonts w:hint="eastAsia" w:ascii="宋体" w:hAnsi="宋体" w:eastAsia="宋体" w:cs="宋体"/>
          <w:b/>
          <w:bCs/>
          <w:color w:val="auto"/>
          <w:sz w:val="21"/>
          <w:highlight w:val="none"/>
          <w:lang w:val="en-US" w:eastAsia="zh-CN"/>
        </w:rPr>
        <w:t>二、机关食堂绩效测评办法</w:t>
      </w:r>
    </w:p>
    <w:p w14:paraId="07CA7C9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实行机关食堂满意度测评。每月由机关食堂管理人员组织，随机抽取就餐人员对当月服务进行测评，测评分值占60%；机关事务服务中心班子成员、各部室负责人进行测评，测评分值占40%；两项相加为当月测评分值。</w:t>
      </w:r>
    </w:p>
    <w:p w14:paraId="213B7470">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2、测评内容分为：花样口味、服务态度、环境卫生、工资保险落实情况四个方面，采取100分制，分三个等级，85分以上（含85分）为满意，75分（含75分）以上85分以下为基本满意，75分及以下为不满意。</w:t>
      </w:r>
    </w:p>
    <w:p w14:paraId="2DDFEBE1">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3、机关事务服务中心每月在应支付的劳务费中提留3000元对餐饮公司进行考评，对</w:t>
      </w:r>
      <w:r>
        <w:rPr>
          <w:rFonts w:hint="eastAsia" w:ascii="宋体" w:hAnsi="宋体" w:cs="Times New Roman"/>
          <w:color w:val="auto"/>
          <w:sz w:val="21"/>
          <w:szCs w:val="21"/>
          <w:highlight w:val="none"/>
          <w:lang w:val="en-US" w:eastAsia="zh-CN"/>
        </w:rPr>
        <w:t>当</w:t>
      </w:r>
      <w:r>
        <w:rPr>
          <w:rFonts w:hint="eastAsia" w:ascii="宋体" w:hAnsi="宋体" w:eastAsia="宋体" w:cs="Times New Roman"/>
          <w:color w:val="auto"/>
          <w:sz w:val="21"/>
          <w:szCs w:val="21"/>
          <w:highlight w:val="none"/>
          <w:lang w:val="en-US" w:eastAsia="zh-CN"/>
        </w:rPr>
        <w:t>月综合考评满意的予以全额返回；对</w:t>
      </w:r>
      <w:r>
        <w:rPr>
          <w:rFonts w:hint="eastAsia" w:ascii="宋体" w:hAnsi="宋体" w:cs="Times New Roman"/>
          <w:color w:val="auto"/>
          <w:sz w:val="21"/>
          <w:szCs w:val="21"/>
          <w:highlight w:val="none"/>
          <w:lang w:val="en-US" w:eastAsia="zh-CN"/>
        </w:rPr>
        <w:t>当</w:t>
      </w:r>
      <w:r>
        <w:rPr>
          <w:rFonts w:hint="eastAsia" w:ascii="宋体" w:hAnsi="宋体" w:eastAsia="宋体" w:cs="Times New Roman"/>
          <w:color w:val="auto"/>
          <w:sz w:val="21"/>
          <w:szCs w:val="21"/>
          <w:highlight w:val="none"/>
          <w:lang w:val="en-US" w:eastAsia="zh-CN"/>
        </w:rPr>
        <w:t>月综合考评基本满意的返回1500元；对</w:t>
      </w:r>
      <w:r>
        <w:rPr>
          <w:rFonts w:hint="eastAsia" w:ascii="宋体" w:hAnsi="宋体" w:cs="Times New Roman"/>
          <w:color w:val="auto"/>
          <w:sz w:val="21"/>
          <w:szCs w:val="21"/>
          <w:highlight w:val="none"/>
          <w:lang w:val="en-US" w:eastAsia="zh-CN"/>
        </w:rPr>
        <w:t>当</w:t>
      </w:r>
      <w:r>
        <w:rPr>
          <w:rFonts w:hint="eastAsia" w:ascii="宋体" w:hAnsi="宋体" w:eastAsia="宋体" w:cs="Times New Roman"/>
          <w:color w:val="auto"/>
          <w:sz w:val="21"/>
          <w:szCs w:val="21"/>
          <w:highlight w:val="none"/>
          <w:lang w:val="en-US" w:eastAsia="zh-CN"/>
        </w:rPr>
        <w:t>月综合考评不满意的不予返回，并给予餐饮公司书面警告；对连续二个月月综合考评不满意的，要求餐饮公司立即调换主管级别以上管理人员；对连续三个月不满意的，业主单位可以单方面</w:t>
      </w:r>
      <w:r>
        <w:rPr>
          <w:rFonts w:hint="eastAsia" w:ascii="宋体" w:hAnsi="宋体" w:cs="Times New Roman"/>
          <w:color w:val="auto"/>
          <w:sz w:val="21"/>
          <w:szCs w:val="21"/>
          <w:highlight w:val="none"/>
          <w:lang w:val="en-US" w:eastAsia="zh-CN"/>
        </w:rPr>
        <w:t>行使</w:t>
      </w:r>
      <w:r>
        <w:rPr>
          <w:rFonts w:hint="eastAsia" w:ascii="宋体" w:hAnsi="宋体" w:eastAsia="宋体" w:cs="Times New Roman"/>
          <w:color w:val="auto"/>
          <w:sz w:val="21"/>
          <w:szCs w:val="21"/>
          <w:highlight w:val="none"/>
          <w:lang w:val="en-US" w:eastAsia="zh-CN"/>
        </w:rPr>
        <w:t>合同解除权并追究承包方的违约责任，履约保证金</w:t>
      </w:r>
      <w:r>
        <w:rPr>
          <w:rFonts w:hint="eastAsia" w:ascii="宋体" w:hAnsi="宋体" w:cs="Times New Roman"/>
          <w:color w:val="auto"/>
          <w:sz w:val="21"/>
          <w:szCs w:val="21"/>
          <w:highlight w:val="none"/>
          <w:lang w:val="en-US" w:eastAsia="zh-CN"/>
        </w:rPr>
        <w:t>转</w:t>
      </w:r>
      <w:r>
        <w:rPr>
          <w:rFonts w:hint="eastAsia" w:ascii="宋体" w:hAnsi="宋体" w:eastAsia="宋体" w:cs="Times New Roman"/>
          <w:color w:val="auto"/>
          <w:sz w:val="21"/>
          <w:szCs w:val="21"/>
          <w:highlight w:val="none"/>
          <w:lang w:val="en-US" w:eastAsia="zh-CN"/>
        </w:rPr>
        <w:t>作违约金不予退回。</w:t>
      </w:r>
    </w:p>
    <w:p w14:paraId="236050EC">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4、包厢、宴会厅接待餐加班提成以年为标准，按营业额10%提取工作人员加班费。加班费用按承包年度一次性结算到位。</w:t>
      </w:r>
    </w:p>
    <w:p w14:paraId="37365308">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宋体"/>
          <w:b/>
          <w:bCs/>
          <w:color w:val="auto"/>
          <w:sz w:val="21"/>
          <w:highlight w:val="none"/>
          <w:lang w:val="en-US" w:eastAsia="zh-CN"/>
        </w:rPr>
      </w:pPr>
      <w:r>
        <w:rPr>
          <w:rFonts w:hint="eastAsia" w:ascii="宋体" w:hAnsi="宋体" w:cs="宋体"/>
          <w:b/>
          <w:bCs/>
          <w:color w:val="auto"/>
          <w:sz w:val="21"/>
          <w:highlight w:val="none"/>
          <w:lang w:val="en-US" w:eastAsia="zh-CN"/>
        </w:rPr>
        <w:t>三</w:t>
      </w:r>
      <w:r>
        <w:rPr>
          <w:rFonts w:hint="eastAsia" w:ascii="宋体" w:hAnsi="宋体" w:eastAsia="宋体" w:cs="宋体"/>
          <w:b/>
          <w:bCs/>
          <w:color w:val="auto"/>
          <w:sz w:val="21"/>
          <w:highlight w:val="none"/>
          <w:lang w:val="en-US" w:eastAsia="zh-CN"/>
        </w:rPr>
        <w:t>、结算办法</w:t>
      </w:r>
    </w:p>
    <w:p w14:paraId="4F2D6F1B">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1、工作人员就餐实行刷卡消费，按季度由机关事务服务中心提供实际消费结算报表至各单位。</w:t>
      </w:r>
    </w:p>
    <w:p w14:paraId="1E6F3E4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2、承包人员工资结算于次月15号前由承包方开具劳务发票，机关事务服务中心根据当月的测评结果对劳务承包款进行结算。</w:t>
      </w:r>
    </w:p>
    <w:p w14:paraId="0F476324">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3、各单位的</w:t>
      </w:r>
      <w:r>
        <w:rPr>
          <w:rFonts w:hint="eastAsia" w:ascii="宋体" w:hAnsi="宋体" w:cs="Times New Roman"/>
          <w:color w:val="auto"/>
          <w:sz w:val="21"/>
          <w:szCs w:val="21"/>
          <w:highlight w:val="none"/>
          <w:lang w:val="en-US" w:eastAsia="zh-CN"/>
        </w:rPr>
        <w:t>消费</w:t>
      </w:r>
      <w:r>
        <w:rPr>
          <w:rFonts w:hint="eastAsia" w:ascii="宋体" w:hAnsi="宋体" w:eastAsia="宋体" w:cs="Times New Roman"/>
          <w:color w:val="auto"/>
          <w:sz w:val="21"/>
          <w:szCs w:val="21"/>
          <w:highlight w:val="none"/>
          <w:lang w:val="en-US" w:eastAsia="zh-CN"/>
        </w:rPr>
        <w:t>票据由承包方派专人送单至各单位，并签收后将回单交机关事务服务中心。</w:t>
      </w:r>
    </w:p>
    <w:p w14:paraId="4D443730">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宋体" w:hAnsi="宋体" w:eastAsia="宋体" w:cs="Times New Roman"/>
          <w:b/>
          <w:bCs/>
          <w:color w:val="auto"/>
          <w:sz w:val="21"/>
          <w:szCs w:val="21"/>
          <w:highlight w:val="none"/>
          <w:lang w:val="en-US" w:eastAsia="zh-CN"/>
        </w:rPr>
      </w:pPr>
      <w:r>
        <w:rPr>
          <w:rFonts w:hint="eastAsia" w:ascii="宋体" w:hAnsi="宋体" w:cs="Times New Roman"/>
          <w:b/>
          <w:bCs/>
          <w:color w:val="auto"/>
          <w:sz w:val="21"/>
          <w:szCs w:val="21"/>
          <w:highlight w:val="none"/>
          <w:lang w:val="en-US" w:eastAsia="zh-CN"/>
        </w:rPr>
        <w:t>四</w:t>
      </w:r>
      <w:r>
        <w:rPr>
          <w:rFonts w:hint="eastAsia" w:ascii="宋体" w:hAnsi="宋体" w:eastAsia="宋体" w:cs="Times New Roman"/>
          <w:b/>
          <w:bCs/>
          <w:color w:val="auto"/>
          <w:sz w:val="21"/>
          <w:szCs w:val="21"/>
          <w:highlight w:val="none"/>
          <w:lang w:val="en-US" w:eastAsia="zh-CN"/>
        </w:rPr>
        <w:t>、其他要求及说明</w:t>
      </w:r>
    </w:p>
    <w:p w14:paraId="697893E9">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1、本项目采购人不组织供应商进行统一的现场踏勘，所有获取磋商文件的供应商自行前往项目现场进行踏勘，以取得与本项目相关的数据。现场踏勘准确与否由供应商自己承担。</w:t>
      </w:r>
    </w:p>
    <w:p w14:paraId="2415FEB7">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2、本项目合同价格不以市场价格波动而作任何调整。</w:t>
      </w:r>
    </w:p>
    <w:p w14:paraId="36BD9736">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3</w:t>
      </w:r>
      <w:r>
        <w:rPr>
          <w:rFonts w:hint="eastAsia" w:ascii="宋体" w:hAnsi="宋体" w:cs="Times New Roman"/>
          <w:color w:val="auto"/>
          <w:sz w:val="21"/>
          <w:szCs w:val="21"/>
          <w:highlight w:val="none"/>
          <w:lang w:val="en-US" w:eastAsia="zh-CN"/>
        </w:rPr>
        <w:t>、</w:t>
      </w:r>
      <w:r>
        <w:rPr>
          <w:rFonts w:hint="eastAsia" w:ascii="宋体" w:hAnsi="宋体" w:eastAsia="宋体" w:cs="Times New Roman"/>
          <w:color w:val="auto"/>
          <w:sz w:val="21"/>
          <w:szCs w:val="21"/>
          <w:highlight w:val="none"/>
          <w:lang w:val="en-US" w:eastAsia="zh-CN"/>
        </w:rPr>
        <w:t>争议的解决：本合同在履行过程中发生争议，双方应及时协商解决，协商不成时，可向采购人住所地有管辖权的人民法院提起诉讼。</w:t>
      </w:r>
    </w:p>
    <w:p w14:paraId="5ABDFA32">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1"/>
          <w:szCs w:val="21"/>
          <w:highlight w:val="none"/>
          <w:lang w:val="en-US" w:eastAsia="zh-CN"/>
        </w:rPr>
        <w:t>4、未尽事宜以第四章政府采购合同协议书为准并按国家相关法律及行业标准执行。</w:t>
      </w:r>
    </w:p>
    <w:p w14:paraId="7E519D05">
      <w:pPr>
        <w:keepNext w:val="0"/>
        <w:keepLines w:val="0"/>
        <w:pageBreakBefore w:val="0"/>
        <w:widowControl w:val="0"/>
        <w:kinsoku/>
        <w:wordWrap/>
        <w:overflowPunct/>
        <w:topLinePunct w:val="0"/>
        <w:autoSpaceDE/>
        <w:autoSpaceDN/>
        <w:bidi w:val="0"/>
        <w:adjustRightInd w:val="0"/>
        <w:snapToGrid w:val="0"/>
        <w:spacing w:line="360" w:lineRule="auto"/>
        <w:ind w:firstLine="420" w:firstLineChars="200"/>
        <w:jc w:val="left"/>
        <w:textAlignment w:val="auto"/>
        <w:rPr>
          <w:rFonts w:hint="eastAsia" w:ascii="宋体" w:hAnsi="宋体" w:eastAsia="宋体" w:cs="Times New Roman"/>
          <w:color w:val="auto"/>
          <w:sz w:val="21"/>
          <w:szCs w:val="21"/>
          <w:highlight w:val="none"/>
          <w:lang w:val="en-US" w:eastAsia="zh-CN"/>
        </w:rPr>
      </w:pPr>
    </w:p>
    <w:p w14:paraId="46D9F9B9">
      <w:pPr>
        <w:keepNext w:val="0"/>
        <w:keepLines w:val="0"/>
        <w:pageBreakBefore w:val="0"/>
        <w:widowControl w:val="0"/>
        <w:kinsoku/>
        <w:wordWrap/>
        <w:overflowPunct/>
        <w:topLinePunct w:val="0"/>
        <w:autoSpaceDE/>
        <w:autoSpaceDN/>
        <w:bidi w:val="0"/>
        <w:adjustRightInd w:val="0"/>
        <w:snapToGrid w:val="0"/>
        <w:spacing w:line="360" w:lineRule="auto"/>
        <w:ind w:firstLine="422" w:firstLineChars="200"/>
        <w:jc w:val="left"/>
        <w:textAlignment w:val="auto"/>
        <w:rPr>
          <w:rFonts w:hint="eastAsia" w:ascii="黑体" w:hAnsi="华文中宋" w:eastAsia="黑体"/>
          <w:color w:val="000000"/>
          <w:sz w:val="32"/>
          <w:szCs w:val="32"/>
        </w:rPr>
      </w:pPr>
      <w:r>
        <w:rPr>
          <w:rFonts w:hint="eastAsia" w:ascii="宋体" w:hAnsi="宋体" w:eastAsia="宋体" w:cs="Times New Roman"/>
          <w:b/>
          <w:bCs/>
          <w:color w:val="auto"/>
          <w:sz w:val="21"/>
          <w:szCs w:val="21"/>
          <w:highlight w:val="none"/>
          <w:lang w:val="en-US" w:eastAsia="zh-CN"/>
        </w:rPr>
        <w:t>注明：</w:t>
      </w:r>
      <w:r>
        <w:rPr>
          <w:rFonts w:hint="eastAsia" w:ascii="宋体" w:hAnsi="宋体" w:eastAsia="宋体" w:cs="Times New Roman"/>
          <w:color w:val="auto"/>
          <w:sz w:val="21"/>
          <w:szCs w:val="21"/>
          <w:highlight w:val="none"/>
          <w:lang w:val="en-US" w:eastAsia="zh-CN"/>
        </w:rPr>
        <w:t>对于上述项目所有采购要求，供应商应在响应文件中进行响应。</w:t>
      </w:r>
    </w:p>
    <w:p w14:paraId="48440C25">
      <w:pPr>
        <w:pStyle w:val="3"/>
        <w:ind w:firstLine="2570" w:firstLineChars="800"/>
        <w:jc w:val="both"/>
      </w:pPr>
      <w:bookmarkStart w:id="104" w:name="_Toc12170"/>
      <w:r>
        <w:rPr>
          <w:rFonts w:hint="eastAsia" w:ascii="黑体" w:hAnsi="华文中宋" w:eastAsia="黑体"/>
          <w:color w:val="000000"/>
          <w:sz w:val="32"/>
          <w:szCs w:val="32"/>
        </w:rPr>
        <w:t>第六章 政府采购合同</w:t>
      </w:r>
      <w:bookmarkEnd w:id="104"/>
    </w:p>
    <w:p w14:paraId="751C060C">
      <w:pPr>
        <w:keepNext/>
        <w:keepLines/>
        <w:widowControl w:val="0"/>
        <w:adjustRightInd w:val="0"/>
        <w:snapToGrid w:val="0"/>
        <w:spacing w:line="360" w:lineRule="auto"/>
        <w:jc w:val="center"/>
        <w:outlineLvl w:val="1"/>
        <w:rPr>
          <w:rFonts w:ascii="宋体" w:hAnsi="宋体" w:eastAsia="宋体" w:cs="Times New Roman"/>
          <w:b/>
          <w:kern w:val="0"/>
          <w:sz w:val="28"/>
          <w:lang w:val="en-US" w:eastAsia="zh-CN" w:bidi="ar-SA"/>
        </w:rPr>
      </w:pPr>
      <w:bookmarkStart w:id="105" w:name="_Toc8096"/>
      <w:bookmarkStart w:id="106" w:name="_Toc8983755"/>
      <w:bookmarkStart w:id="107" w:name="_Toc225"/>
      <w:bookmarkStart w:id="108" w:name="_Toc11638"/>
      <w:r>
        <w:rPr>
          <w:rFonts w:hint="eastAsia" w:ascii="宋体" w:hAnsi="宋体" w:eastAsia="宋体" w:cs="Times New Roman"/>
          <w:b/>
          <w:kern w:val="0"/>
          <w:sz w:val="28"/>
          <w:lang w:val="en-US" w:eastAsia="zh-CN" w:bidi="ar-SA"/>
        </w:rPr>
        <w:t>第一节 政府采购合同协议书</w:t>
      </w:r>
      <w:bookmarkEnd w:id="105"/>
      <w:bookmarkEnd w:id="106"/>
      <w:bookmarkEnd w:id="107"/>
      <w:bookmarkEnd w:id="108"/>
    </w:p>
    <w:p w14:paraId="6352CC92">
      <w:pPr>
        <w:adjustRightInd w:val="0"/>
        <w:snapToGrid w:val="0"/>
        <w:spacing w:line="360" w:lineRule="auto"/>
        <w:jc w:val="center"/>
        <w:rPr>
          <w:rFonts w:ascii="宋体" w:hAnsi="宋体"/>
          <w:sz w:val="21"/>
          <w:szCs w:val="20"/>
        </w:rPr>
      </w:pPr>
      <w:r>
        <w:rPr>
          <w:rFonts w:hint="eastAsia" w:ascii="宋体" w:hAnsi="宋体"/>
          <w:sz w:val="21"/>
          <w:szCs w:val="20"/>
        </w:rPr>
        <w:t xml:space="preserve">                                                        </w:t>
      </w:r>
    </w:p>
    <w:p w14:paraId="67E6BEAC">
      <w:pPr>
        <w:pageBreakBefore w:val="0"/>
        <w:widowControl w:val="0"/>
        <w:kinsoku/>
        <w:wordWrap/>
        <w:overflowPunct/>
        <w:topLinePunct w:val="0"/>
        <w:autoSpaceDE/>
        <w:autoSpaceDN/>
        <w:bidi w:val="0"/>
        <w:adjustRightInd w:val="0"/>
        <w:snapToGrid w:val="0"/>
        <w:spacing w:line="440" w:lineRule="exact"/>
        <w:ind w:firstLine="420" w:firstLineChars="200"/>
        <w:jc w:val="right"/>
        <w:textAlignment w:val="auto"/>
        <w:rPr>
          <w:rFonts w:hint="eastAsia" w:ascii="宋体" w:hAnsi="宋体" w:cs="宋体"/>
          <w:b/>
          <w:sz w:val="21"/>
          <w:szCs w:val="21"/>
        </w:rPr>
      </w:pPr>
      <w:r>
        <w:rPr>
          <w:rFonts w:hint="eastAsia" w:ascii="宋体" w:hAnsi="宋体" w:cs="宋体"/>
          <w:sz w:val="21"/>
          <w:szCs w:val="21"/>
        </w:rPr>
        <w:t>采购合同编号：</w:t>
      </w:r>
      <w:r>
        <w:rPr>
          <w:rFonts w:hint="eastAsia" w:ascii="宋体" w:hAnsi="宋体" w:cs="宋体"/>
          <w:sz w:val="21"/>
          <w:szCs w:val="21"/>
          <w:u w:val="single"/>
        </w:rPr>
        <w:t xml:space="preserve"> </w:t>
      </w:r>
      <w:r>
        <w:rPr>
          <w:rFonts w:hint="eastAsia" w:ascii="宋体" w:hAnsi="宋体" w:cs="宋体"/>
          <w:sz w:val="21"/>
          <w:szCs w:val="21"/>
          <w:highlight w:val="none"/>
          <w:u w:val="single"/>
          <w:lang w:val="en-US" w:eastAsia="zh-CN"/>
        </w:rPr>
        <w:t xml:space="preserve">    </w:t>
      </w:r>
      <w:r>
        <w:rPr>
          <w:rFonts w:hint="eastAsia" w:ascii="宋体" w:hAnsi="宋体" w:cs="宋体"/>
          <w:sz w:val="21"/>
          <w:szCs w:val="21"/>
          <w:u w:val="single"/>
        </w:rPr>
        <w:t xml:space="preserve">                           </w:t>
      </w:r>
    </w:p>
    <w:p w14:paraId="66C082AB">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采购人（全称）：</w:t>
      </w:r>
      <w:r>
        <w:rPr>
          <w:rFonts w:hint="eastAsia" w:ascii="宋体" w:hAnsi="宋体" w:cs="宋体"/>
          <w:sz w:val="21"/>
          <w:szCs w:val="21"/>
          <w:u w:val="single"/>
        </w:rPr>
        <w:t xml:space="preserve"> </w:t>
      </w:r>
      <w:r>
        <w:rPr>
          <w:rFonts w:hint="eastAsia" w:ascii="宋体" w:hAnsi="宋体"/>
          <w:spacing w:val="-8"/>
          <w:sz w:val="21"/>
          <w:szCs w:val="20"/>
          <w:u w:val="single"/>
          <w:lang w:eastAsia="zh-CN"/>
        </w:rPr>
        <w:t>双峰县机关事务服务中心</w:t>
      </w:r>
      <w:r>
        <w:rPr>
          <w:rFonts w:hint="eastAsia" w:ascii="宋体" w:hAnsi="宋体"/>
          <w:spacing w:val="-8"/>
          <w:sz w:val="21"/>
          <w:szCs w:val="20"/>
          <w:u w:val="single"/>
        </w:rPr>
        <w:t xml:space="preserve"> </w:t>
      </w:r>
      <w:r>
        <w:rPr>
          <w:rFonts w:ascii="宋体" w:hAnsi="宋体" w:cs="宋体"/>
          <w:sz w:val="21"/>
          <w:szCs w:val="21"/>
          <w:u w:val="single"/>
        </w:rPr>
        <w:t xml:space="preserve">  </w:t>
      </w:r>
      <w:r>
        <w:rPr>
          <w:rFonts w:hint="eastAsia" w:ascii="宋体" w:hAnsi="宋体" w:cs="宋体"/>
          <w:sz w:val="21"/>
          <w:szCs w:val="21"/>
          <w:u w:val="single"/>
        </w:rPr>
        <w:t xml:space="preserve"> </w:t>
      </w:r>
      <w:r>
        <w:rPr>
          <w:rFonts w:hint="eastAsia" w:ascii="宋体" w:hAnsi="宋体" w:cs="宋体"/>
          <w:sz w:val="21"/>
          <w:szCs w:val="21"/>
        </w:rPr>
        <w:t>（甲方）</w:t>
      </w:r>
    </w:p>
    <w:p w14:paraId="0124D42F">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供应商（全称）：</w:t>
      </w:r>
      <w:r>
        <w:rPr>
          <w:rFonts w:hint="eastAsia" w:ascii="宋体" w:hAnsi="宋体" w:cs="宋体"/>
          <w:sz w:val="21"/>
          <w:szCs w:val="21"/>
          <w:u w:val="single"/>
        </w:rPr>
        <w:t xml:space="preserve">                             </w:t>
      </w:r>
      <w:r>
        <w:rPr>
          <w:rFonts w:hint="eastAsia" w:ascii="宋体" w:hAnsi="宋体" w:cs="宋体"/>
          <w:sz w:val="21"/>
          <w:szCs w:val="21"/>
        </w:rPr>
        <w:t>（乙方）</w:t>
      </w:r>
    </w:p>
    <w:p w14:paraId="6979C14F">
      <w:pPr>
        <w:pStyle w:val="375"/>
        <w:pageBreakBefore w:val="0"/>
        <w:widowControl w:val="0"/>
        <w:kinsoku/>
        <w:wordWrap/>
        <w:overflowPunct/>
        <w:topLinePunct w:val="0"/>
        <w:autoSpaceDE/>
        <w:autoSpaceDN/>
        <w:bidi w:val="0"/>
        <w:adjustRightInd w:val="0"/>
        <w:snapToGrid w:val="0"/>
        <w:spacing w:after="0" w:line="440" w:lineRule="exact"/>
        <w:ind w:left="0" w:leftChars="0" w:firstLine="420" w:firstLineChars="200"/>
        <w:textAlignment w:val="auto"/>
        <w:rPr>
          <w:rFonts w:hint="eastAsia" w:ascii="宋体" w:hAnsi="宋体" w:cs="宋体"/>
          <w:szCs w:val="21"/>
        </w:rPr>
      </w:pPr>
    </w:p>
    <w:p w14:paraId="07B4079F">
      <w:pPr>
        <w:pStyle w:val="375"/>
        <w:pageBreakBefore w:val="0"/>
        <w:widowControl w:val="0"/>
        <w:kinsoku/>
        <w:wordWrap/>
        <w:overflowPunct/>
        <w:topLinePunct w:val="0"/>
        <w:autoSpaceDE/>
        <w:autoSpaceDN/>
        <w:bidi w:val="0"/>
        <w:adjustRightInd w:val="0"/>
        <w:snapToGrid w:val="0"/>
        <w:spacing w:after="0" w:line="440" w:lineRule="exact"/>
        <w:ind w:left="0" w:leftChars="0" w:firstLine="420" w:firstLineChars="200"/>
        <w:textAlignment w:val="auto"/>
        <w:rPr>
          <w:rFonts w:hint="eastAsia" w:ascii="宋体" w:hAnsi="宋体" w:cs="宋体"/>
          <w:szCs w:val="21"/>
        </w:rPr>
      </w:pPr>
      <w:r>
        <w:rPr>
          <w:rFonts w:hint="eastAsia" w:ascii="宋体" w:hAnsi="宋体" w:cs="宋体"/>
          <w:szCs w:val="21"/>
        </w:rPr>
        <w:t>为了保护甲、乙双方合法权益，根据《中华人民共和国民法典》、《中华人民共和国政府采购法》及其他有关法律、法规、规章，双方签订本合同协议书。</w:t>
      </w:r>
    </w:p>
    <w:p w14:paraId="57CD7B82">
      <w:pPr>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cs="宋体"/>
          <w:b/>
          <w:sz w:val="21"/>
          <w:szCs w:val="21"/>
        </w:rPr>
      </w:pPr>
      <w:r>
        <w:rPr>
          <w:rFonts w:hint="eastAsia" w:ascii="宋体" w:hAnsi="宋体" w:cs="宋体"/>
          <w:b/>
          <w:sz w:val="21"/>
          <w:szCs w:val="21"/>
        </w:rPr>
        <w:t>1.项目信息</w:t>
      </w:r>
    </w:p>
    <w:p w14:paraId="406B6DFC">
      <w:pPr>
        <w:pStyle w:val="375"/>
        <w:pageBreakBefore w:val="0"/>
        <w:widowControl w:val="0"/>
        <w:kinsoku/>
        <w:wordWrap/>
        <w:overflowPunct/>
        <w:topLinePunct w:val="0"/>
        <w:autoSpaceDE/>
        <w:autoSpaceDN/>
        <w:bidi w:val="0"/>
        <w:adjustRightInd w:val="0"/>
        <w:snapToGrid w:val="0"/>
        <w:spacing w:after="0" w:line="440" w:lineRule="exact"/>
        <w:ind w:left="0" w:leftChars="0" w:firstLine="420" w:firstLineChars="200"/>
        <w:textAlignment w:val="auto"/>
        <w:rPr>
          <w:rFonts w:hint="eastAsia" w:ascii="宋体" w:hAnsi="宋体" w:cs="宋体"/>
          <w:color w:val="000000"/>
          <w:szCs w:val="21"/>
        </w:rPr>
      </w:pPr>
      <w:r>
        <w:rPr>
          <w:rFonts w:hint="eastAsia" w:ascii="宋体" w:hAnsi="宋体" w:cs="宋体"/>
          <w:szCs w:val="21"/>
        </w:rPr>
        <w:t>（</w:t>
      </w:r>
      <w:r>
        <w:rPr>
          <w:rFonts w:hint="eastAsia" w:ascii="宋体" w:hAnsi="宋体" w:cs="宋体"/>
          <w:color w:val="000000"/>
          <w:szCs w:val="21"/>
        </w:rPr>
        <w:t>1）采购项目名称：</w:t>
      </w:r>
      <w:r>
        <w:rPr>
          <w:rFonts w:hint="eastAsia" w:ascii="宋体" w:hAnsi="宋体" w:cs="宋体"/>
          <w:color w:val="000000"/>
          <w:szCs w:val="21"/>
          <w:u w:val="single"/>
          <w:lang w:eastAsia="zh-CN"/>
        </w:rPr>
        <w:t>双峰县行政中心机关食堂经营项目</w:t>
      </w:r>
      <w:r>
        <w:rPr>
          <w:rFonts w:hint="eastAsia" w:ascii="宋体" w:hAnsi="宋体" w:cs="宋体"/>
          <w:color w:val="000000"/>
          <w:szCs w:val="21"/>
          <w:u w:val="single"/>
        </w:rPr>
        <w:t xml:space="preserve">                                                      </w:t>
      </w:r>
    </w:p>
    <w:p w14:paraId="554BA529">
      <w:pPr>
        <w:pStyle w:val="375"/>
        <w:pageBreakBefore w:val="0"/>
        <w:widowControl w:val="0"/>
        <w:kinsoku/>
        <w:wordWrap/>
        <w:overflowPunct/>
        <w:topLinePunct w:val="0"/>
        <w:autoSpaceDE/>
        <w:autoSpaceDN/>
        <w:bidi w:val="0"/>
        <w:adjustRightInd w:val="0"/>
        <w:snapToGrid w:val="0"/>
        <w:spacing w:after="0" w:line="440" w:lineRule="exact"/>
        <w:ind w:left="0" w:leftChars="0" w:firstLine="420" w:firstLineChars="200"/>
        <w:textAlignment w:val="auto"/>
        <w:rPr>
          <w:rFonts w:hint="eastAsia" w:ascii="宋体" w:hAnsi="宋体" w:cs="宋体"/>
          <w:color w:val="000000"/>
          <w:szCs w:val="21"/>
        </w:rPr>
      </w:pPr>
      <w:r>
        <w:rPr>
          <w:rFonts w:hint="eastAsia" w:ascii="宋体" w:hAnsi="宋体" w:cs="宋体"/>
          <w:color w:val="000000"/>
          <w:szCs w:val="21"/>
        </w:rPr>
        <w:t>（2）采购计划编号：</w:t>
      </w:r>
      <w:r>
        <w:rPr>
          <w:rFonts w:hint="eastAsia" w:ascii="宋体" w:hAnsi="宋体" w:cs="宋体"/>
          <w:color w:val="000000"/>
          <w:szCs w:val="21"/>
          <w:highlight w:val="none"/>
          <w:u w:val="single"/>
          <w:lang w:val="en-US" w:eastAsia="zh-CN"/>
        </w:rPr>
        <w:t xml:space="preserve">      </w:t>
      </w:r>
      <w:r>
        <w:rPr>
          <w:rFonts w:hint="eastAsia" w:ascii="宋体" w:hAnsi="宋体" w:cs="宋体"/>
          <w:color w:val="000000"/>
          <w:szCs w:val="21"/>
          <w:u w:val="single"/>
        </w:rPr>
        <w:t xml:space="preserve">                                                      </w:t>
      </w:r>
      <w:r>
        <w:rPr>
          <w:rFonts w:hint="eastAsia" w:ascii="宋体" w:hAnsi="宋体" w:cs="宋体"/>
          <w:color w:val="000000"/>
          <w:szCs w:val="21"/>
        </w:rPr>
        <w:t xml:space="preserve"> </w:t>
      </w:r>
    </w:p>
    <w:p w14:paraId="0FD3185F">
      <w:pPr>
        <w:keepNext w:val="0"/>
        <w:keepLines w:val="0"/>
        <w:pageBreakBefore w:val="0"/>
        <w:widowControl w:val="0"/>
        <w:kinsoku/>
        <w:wordWrap/>
        <w:overflowPunct/>
        <w:topLinePunct w:val="0"/>
        <w:autoSpaceDE/>
        <w:autoSpaceDN/>
        <w:bidi w:val="0"/>
        <w:adjustRightInd/>
        <w:snapToGrid/>
        <w:spacing w:line="440" w:lineRule="exact"/>
        <w:ind w:firstLine="420" w:firstLineChars="200"/>
        <w:jc w:val="both"/>
        <w:textAlignment w:val="auto"/>
        <w:rPr>
          <w:rFonts w:hint="eastAsia" w:ascii="宋体" w:hAnsi="宋体" w:eastAsia="宋体" w:cs="宋体"/>
          <w:sz w:val="21"/>
          <w:szCs w:val="21"/>
          <w:u w:val="single"/>
          <w:lang w:eastAsia="zh-CN"/>
        </w:rPr>
      </w:pPr>
      <w:r>
        <w:rPr>
          <w:rFonts w:hint="eastAsia" w:ascii="宋体" w:hAnsi="宋体" w:cs="宋体"/>
          <w:color w:val="000000"/>
          <w:sz w:val="21"/>
          <w:szCs w:val="21"/>
        </w:rPr>
        <w:t>（3）项目内容：</w:t>
      </w:r>
      <w:r>
        <w:rPr>
          <w:rFonts w:hint="eastAsia" w:ascii="宋体" w:hAnsi="宋体" w:eastAsia="宋体" w:cs="宋体"/>
          <w:color w:val="000000"/>
          <w:kern w:val="2"/>
          <w:sz w:val="21"/>
          <w:szCs w:val="21"/>
          <w:u w:val="single"/>
          <w:lang w:val="en-US" w:eastAsia="zh-CN" w:bidi="ar-SA"/>
        </w:rPr>
        <w:t>县行政中心机关食堂是公益性、非盈利性机构，按非盈利模式提供餐饮服务，财务实行统一管理，独立核算，收支平衡。行政中心机关食堂继续实行“包工不包料”的方式，由具有资质且前期在餐饮行业有先进承包经验和优秀团队的餐饮企业提供服务。食材采购、食品安全、卫生管理、费用结算、监督考核，健康证办理等由县机关事务服务中心指派专人负责。</w:t>
      </w:r>
    </w:p>
    <w:p w14:paraId="149AF1C6">
      <w:pPr>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cs="宋体"/>
          <w:b/>
          <w:color w:val="000000"/>
          <w:sz w:val="21"/>
          <w:szCs w:val="21"/>
        </w:rPr>
      </w:pPr>
      <w:r>
        <w:rPr>
          <w:rFonts w:hint="eastAsia" w:ascii="宋体" w:hAnsi="宋体" w:cs="宋体"/>
          <w:b/>
          <w:color w:val="000000"/>
          <w:sz w:val="21"/>
          <w:szCs w:val="21"/>
        </w:rPr>
        <w:t>2.合同金额</w:t>
      </w:r>
    </w:p>
    <w:p w14:paraId="068DE9DE">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u w:val="single"/>
        </w:rPr>
      </w:pPr>
      <w:r>
        <w:rPr>
          <w:rFonts w:hint="eastAsia" w:ascii="宋体" w:hAnsi="宋体" w:cs="宋体"/>
          <w:sz w:val="21"/>
          <w:szCs w:val="21"/>
        </w:rPr>
        <w:t>（1）合同金额小写：</w:t>
      </w:r>
      <w:r>
        <w:rPr>
          <w:rFonts w:hint="eastAsia" w:ascii="宋体" w:hAnsi="宋体" w:cs="宋体"/>
          <w:sz w:val="21"/>
          <w:szCs w:val="21"/>
          <w:u w:val="single"/>
        </w:rPr>
        <w:t xml:space="preserve">                                </w:t>
      </w:r>
    </w:p>
    <w:p w14:paraId="1333A6AA">
      <w:pPr>
        <w:pageBreakBefore w:val="0"/>
        <w:widowControl w:val="0"/>
        <w:kinsoku/>
        <w:wordWrap/>
        <w:overflowPunct/>
        <w:topLinePunct w:val="0"/>
        <w:autoSpaceDE/>
        <w:autoSpaceDN/>
        <w:bidi w:val="0"/>
        <w:adjustRightInd w:val="0"/>
        <w:snapToGrid w:val="0"/>
        <w:spacing w:line="440" w:lineRule="exact"/>
        <w:ind w:firstLine="1785" w:firstLineChars="850"/>
        <w:textAlignment w:val="auto"/>
        <w:rPr>
          <w:rFonts w:hint="eastAsia" w:ascii="宋体" w:hAnsi="宋体" w:cs="宋体"/>
          <w:b/>
          <w:sz w:val="21"/>
          <w:szCs w:val="21"/>
        </w:rPr>
      </w:pPr>
      <w:r>
        <w:rPr>
          <w:rFonts w:hint="eastAsia" w:ascii="宋体" w:hAnsi="宋体" w:cs="宋体"/>
          <w:sz w:val="21"/>
          <w:szCs w:val="21"/>
        </w:rPr>
        <w:t>大写：</w:t>
      </w:r>
      <w:r>
        <w:rPr>
          <w:rFonts w:hint="eastAsia" w:ascii="宋体" w:hAnsi="宋体" w:cs="宋体"/>
          <w:sz w:val="21"/>
          <w:szCs w:val="21"/>
          <w:u w:val="single"/>
        </w:rPr>
        <w:t xml:space="preserve">                                    </w:t>
      </w:r>
    </w:p>
    <w:p w14:paraId="47F0D929">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（2）具体标的见附件。</w:t>
      </w:r>
    </w:p>
    <w:p w14:paraId="7D8635E6">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u w:val="single"/>
        </w:rPr>
      </w:pPr>
      <w:r>
        <w:rPr>
          <w:rFonts w:hint="eastAsia" w:ascii="宋体" w:hAnsi="宋体" w:cs="宋体"/>
          <w:sz w:val="21"/>
          <w:szCs w:val="21"/>
        </w:rPr>
        <w:t>（3）合同价格形式：</w:t>
      </w:r>
      <w:r>
        <w:rPr>
          <w:rFonts w:hint="eastAsia" w:ascii="宋体" w:hAnsi="宋体" w:cs="宋体"/>
          <w:sz w:val="21"/>
          <w:szCs w:val="21"/>
          <w:u w:val="single"/>
        </w:rPr>
        <w:t>固定</w:t>
      </w:r>
      <w:r>
        <w:rPr>
          <w:rFonts w:hint="eastAsia" w:ascii="宋体" w:hAnsi="宋体" w:cs="宋体"/>
          <w:sz w:val="21"/>
          <w:szCs w:val="21"/>
          <w:u w:val="single"/>
          <w:lang w:val="en-US" w:eastAsia="zh-CN"/>
        </w:rPr>
        <w:t>单</w:t>
      </w:r>
      <w:r>
        <w:rPr>
          <w:rFonts w:hint="eastAsia" w:ascii="宋体" w:hAnsi="宋体" w:cs="宋体"/>
          <w:sz w:val="21"/>
          <w:szCs w:val="21"/>
          <w:u w:val="single"/>
        </w:rPr>
        <w:t>价</w:t>
      </w:r>
    </w:p>
    <w:p w14:paraId="6D467361">
      <w:pPr>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cs="宋体"/>
          <w:sz w:val="21"/>
          <w:szCs w:val="21"/>
          <w:u w:val="single"/>
        </w:rPr>
      </w:pPr>
      <w:r>
        <w:rPr>
          <w:rFonts w:hint="eastAsia" w:ascii="宋体" w:hAnsi="宋体" w:cs="宋体"/>
          <w:b/>
          <w:sz w:val="21"/>
          <w:szCs w:val="21"/>
        </w:rPr>
        <w:t>3.履行合同的时间、</w:t>
      </w:r>
      <w:r>
        <w:rPr>
          <w:rFonts w:hint="eastAsia" w:ascii="宋体" w:hAnsi="宋体" w:cs="宋体"/>
          <w:b/>
          <w:sz w:val="21"/>
          <w:szCs w:val="21"/>
          <w:lang w:eastAsia="zh-CN"/>
        </w:rPr>
        <w:t>参保对象</w:t>
      </w:r>
      <w:r>
        <w:rPr>
          <w:rFonts w:hint="eastAsia" w:ascii="宋体" w:hAnsi="宋体" w:cs="宋体"/>
          <w:b/>
          <w:sz w:val="21"/>
          <w:szCs w:val="21"/>
        </w:rPr>
        <w:t>及</w:t>
      </w:r>
      <w:r>
        <w:rPr>
          <w:rFonts w:hint="eastAsia" w:ascii="宋体" w:hAnsi="宋体" w:cs="宋体"/>
          <w:b/>
          <w:sz w:val="21"/>
          <w:szCs w:val="21"/>
          <w:lang w:eastAsia="zh-CN"/>
        </w:rPr>
        <w:t>保费标准</w:t>
      </w:r>
      <w:r>
        <w:rPr>
          <w:rFonts w:hint="eastAsia" w:ascii="宋体" w:hAnsi="宋体" w:cs="宋体"/>
          <w:sz w:val="21"/>
          <w:szCs w:val="21"/>
          <w:u w:val="single"/>
        </w:rPr>
        <w:t xml:space="preserve"> </w:t>
      </w:r>
    </w:p>
    <w:p w14:paraId="6C663490">
      <w:pPr>
        <w:keepNext w:val="0"/>
        <w:keepLines w:val="0"/>
        <w:pageBreakBefore w:val="0"/>
        <w:widowControl w:val="0"/>
        <w:kinsoku/>
        <w:wordWrap/>
        <w:overflowPunct/>
        <w:topLinePunct w:val="0"/>
        <w:autoSpaceDE/>
        <w:autoSpaceDN/>
        <w:bidi w:val="0"/>
        <w:adjustRightInd/>
        <w:snapToGrid/>
        <w:spacing w:before="158" w:beforeLines="50"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起始日期：</w:t>
      </w:r>
      <w:r>
        <w:rPr>
          <w:rFonts w:hint="eastAsia" w:ascii="宋体" w:hAnsi="宋体" w:cs="宋体"/>
          <w:sz w:val="21"/>
          <w:szCs w:val="21"/>
          <w:u w:val="single"/>
        </w:rPr>
        <w:t xml:space="preserve"> 202</w:t>
      </w:r>
      <w:r>
        <w:rPr>
          <w:rFonts w:hint="eastAsia" w:ascii="宋体" w:hAnsi="宋体" w:cs="宋体"/>
          <w:sz w:val="21"/>
          <w:szCs w:val="21"/>
          <w:u w:val="single"/>
          <w:lang w:val="en-US" w:eastAsia="zh-CN"/>
        </w:rPr>
        <w:t>6</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lang w:val="en-US" w:eastAsia="zh-CN"/>
        </w:rPr>
        <w:t xml:space="preserve">  </w:t>
      </w:r>
      <w:r>
        <w:rPr>
          <w:rFonts w:hint="eastAsia" w:ascii="宋体" w:hAnsi="宋体" w:cs="宋体"/>
          <w:sz w:val="21"/>
          <w:szCs w:val="21"/>
        </w:rPr>
        <w:t>日，完成日期：</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lang w:val="en-US" w:eastAsia="zh-CN"/>
        </w:rPr>
        <w:t xml:space="preserve">  </w:t>
      </w:r>
      <w:r>
        <w:rPr>
          <w:rFonts w:hint="eastAsia" w:ascii="宋体" w:hAnsi="宋体" w:cs="宋体"/>
          <w:sz w:val="21"/>
          <w:szCs w:val="21"/>
        </w:rPr>
        <w:t>月</w:t>
      </w:r>
      <w:r>
        <w:rPr>
          <w:rFonts w:hint="eastAsia" w:ascii="宋体" w:hAnsi="宋体" w:cs="宋体"/>
          <w:sz w:val="21"/>
          <w:szCs w:val="21"/>
          <w:u w:val="single"/>
          <w:lang w:val="en-US" w:eastAsia="zh-CN"/>
        </w:rPr>
        <w:t xml:space="preserve">  </w:t>
      </w:r>
      <w:r>
        <w:rPr>
          <w:rFonts w:hint="eastAsia" w:ascii="宋体" w:hAnsi="宋体" w:cs="宋体"/>
          <w:sz w:val="21"/>
          <w:szCs w:val="21"/>
        </w:rPr>
        <w:t>日；</w:t>
      </w:r>
    </w:p>
    <w:p w14:paraId="210EA0CB">
      <w:pPr>
        <w:keepNext w:val="0"/>
        <w:keepLines w:val="0"/>
        <w:pageBreakBefore w:val="0"/>
        <w:widowControl w:val="0"/>
        <w:kinsoku/>
        <w:wordWrap/>
        <w:overflowPunct/>
        <w:topLinePunct w:val="0"/>
        <w:autoSpaceDE/>
        <w:autoSpaceDN/>
        <w:bidi w:val="0"/>
        <w:adjustRightInd/>
        <w:snapToGrid/>
        <w:spacing w:before="158" w:beforeLines="50" w:line="440" w:lineRule="exact"/>
        <w:ind w:firstLine="420" w:firstLineChars="200"/>
        <w:textAlignment w:val="auto"/>
        <w:rPr>
          <w:rFonts w:hint="eastAsia" w:ascii="宋体" w:hAnsi="宋体" w:cs="宋体"/>
          <w:sz w:val="21"/>
          <w:szCs w:val="21"/>
          <w:u w:val="single"/>
        </w:rPr>
      </w:pPr>
      <w:r>
        <w:rPr>
          <w:rFonts w:hint="eastAsia" w:ascii="宋体" w:hAnsi="宋体" w:cs="宋体"/>
          <w:sz w:val="21"/>
          <w:szCs w:val="21"/>
          <w:lang w:eastAsia="zh-CN"/>
        </w:rPr>
        <w:t>服务期限</w:t>
      </w:r>
      <w:r>
        <w:rPr>
          <w:rFonts w:hint="eastAsia" w:ascii="宋体" w:hAnsi="宋体" w:cs="宋体"/>
          <w:sz w:val="21"/>
          <w:szCs w:val="21"/>
        </w:rPr>
        <w:t>：</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两年</w:t>
      </w:r>
      <w:r>
        <w:rPr>
          <w:rFonts w:hint="eastAsia" w:ascii="宋体" w:hAnsi="宋体" w:cs="宋体"/>
          <w:sz w:val="21"/>
          <w:szCs w:val="21"/>
          <w:u w:val="single"/>
        </w:rPr>
        <w:t>。</w:t>
      </w:r>
    </w:p>
    <w:p w14:paraId="269D9115">
      <w:pPr>
        <w:keepNext w:val="0"/>
        <w:keepLines w:val="0"/>
        <w:pageBreakBefore w:val="0"/>
        <w:widowControl w:val="0"/>
        <w:kinsoku/>
        <w:wordWrap/>
        <w:overflowPunct/>
        <w:topLinePunct w:val="0"/>
        <w:autoSpaceDE/>
        <w:autoSpaceDN/>
        <w:bidi w:val="0"/>
        <w:adjustRightInd/>
        <w:snapToGrid/>
        <w:spacing w:before="158" w:beforeLines="50" w:line="440" w:lineRule="exact"/>
        <w:ind w:firstLine="422" w:firstLineChars="200"/>
        <w:textAlignment w:val="auto"/>
        <w:rPr>
          <w:rFonts w:hint="eastAsia" w:ascii="宋体" w:hAnsi="宋体" w:cs="宋体"/>
          <w:sz w:val="21"/>
          <w:szCs w:val="21"/>
          <w:u w:val="single"/>
          <w:lang w:val="en-US" w:eastAsia="zh-CN"/>
        </w:rPr>
      </w:pPr>
      <w:r>
        <w:rPr>
          <w:rFonts w:hint="eastAsia" w:ascii="宋体" w:hAnsi="宋体" w:eastAsia="宋体" w:cs="宋体"/>
          <w:b/>
          <w:bCs/>
          <w:sz w:val="21"/>
          <w:szCs w:val="21"/>
          <w:lang w:val="en-US" w:eastAsia="zh-CN"/>
        </w:rPr>
        <w:t>4.付款方式：</w:t>
      </w:r>
      <w:r>
        <w:rPr>
          <w:rFonts w:hint="eastAsia" w:ascii="宋体" w:hAnsi="宋体" w:cs="宋体"/>
          <w:sz w:val="21"/>
          <w:szCs w:val="21"/>
          <w:u w:val="single"/>
          <w:lang w:val="en-US" w:eastAsia="zh-CN"/>
        </w:rPr>
        <w:t>4.1工作人员就餐实行刷卡消费，按季度由机关事务服务中心提供实际消费结算报表至各单位。</w:t>
      </w:r>
    </w:p>
    <w:p w14:paraId="3958FD95">
      <w:pPr>
        <w:keepNext w:val="0"/>
        <w:keepLines w:val="0"/>
        <w:pageBreakBefore w:val="0"/>
        <w:widowControl w:val="0"/>
        <w:kinsoku/>
        <w:wordWrap/>
        <w:overflowPunct/>
        <w:topLinePunct w:val="0"/>
        <w:autoSpaceDE/>
        <w:autoSpaceDN/>
        <w:bidi w:val="0"/>
        <w:adjustRightInd/>
        <w:snapToGrid/>
        <w:spacing w:before="158" w:beforeLines="50" w:line="440" w:lineRule="exact"/>
        <w:ind w:firstLine="420" w:firstLineChars="200"/>
        <w:textAlignment w:val="auto"/>
        <w:rPr>
          <w:rFonts w:hint="eastAsia" w:ascii="宋体" w:hAnsi="宋体" w:cs="宋体"/>
          <w:sz w:val="21"/>
          <w:szCs w:val="21"/>
          <w:u w:val="single"/>
          <w:lang w:val="en-US" w:eastAsia="zh-CN"/>
        </w:rPr>
      </w:pPr>
      <w:r>
        <w:rPr>
          <w:rFonts w:hint="eastAsia" w:ascii="宋体" w:hAnsi="宋体" w:cs="宋体"/>
          <w:sz w:val="21"/>
          <w:szCs w:val="21"/>
          <w:u w:val="single"/>
          <w:lang w:val="en-US" w:eastAsia="zh-CN"/>
        </w:rPr>
        <w:t>4.2承包人员工资结算于次月15号前由承包方开具劳务发票，机关事务服务中心根据当月的测评结果对劳务承包款进行结算。</w:t>
      </w:r>
    </w:p>
    <w:p w14:paraId="54D210BF">
      <w:pPr>
        <w:keepNext w:val="0"/>
        <w:keepLines w:val="0"/>
        <w:pageBreakBefore w:val="0"/>
        <w:widowControl w:val="0"/>
        <w:kinsoku/>
        <w:wordWrap/>
        <w:overflowPunct/>
        <w:topLinePunct w:val="0"/>
        <w:autoSpaceDE/>
        <w:autoSpaceDN/>
        <w:bidi w:val="0"/>
        <w:adjustRightInd/>
        <w:snapToGrid/>
        <w:spacing w:before="158" w:beforeLines="50" w:line="440" w:lineRule="exact"/>
        <w:ind w:firstLine="420" w:firstLineChars="200"/>
        <w:textAlignment w:val="auto"/>
        <w:rPr>
          <w:rFonts w:hint="eastAsia" w:ascii="宋体" w:hAnsi="宋体" w:cs="宋体"/>
          <w:sz w:val="21"/>
          <w:szCs w:val="21"/>
          <w:u w:val="single"/>
          <w:lang w:val="en-US" w:eastAsia="zh-CN"/>
        </w:rPr>
      </w:pPr>
      <w:r>
        <w:rPr>
          <w:rFonts w:hint="eastAsia" w:ascii="宋体" w:hAnsi="宋体" w:cs="宋体"/>
          <w:sz w:val="21"/>
          <w:szCs w:val="21"/>
          <w:u w:val="single"/>
          <w:lang w:val="en-US" w:eastAsia="zh-CN"/>
        </w:rPr>
        <w:t>4.3各单位的消费票据由承包方派专人送单至各单位，并签收后将回单交机关事务服务中心。</w:t>
      </w:r>
    </w:p>
    <w:p w14:paraId="1B436CB0">
      <w:pPr>
        <w:pageBreakBefore w:val="0"/>
        <w:widowControl w:val="0"/>
        <w:numPr>
          <w:ilvl w:val="0"/>
          <w:numId w:val="0"/>
        </w:numPr>
        <w:kinsoku/>
        <w:wordWrap/>
        <w:overflowPunct/>
        <w:topLinePunct w:val="0"/>
        <w:autoSpaceDE/>
        <w:autoSpaceDN/>
        <w:bidi w:val="0"/>
        <w:adjustRightInd w:val="0"/>
        <w:snapToGrid w:val="0"/>
        <w:spacing w:line="440" w:lineRule="exact"/>
        <w:textAlignment w:val="auto"/>
        <w:rPr>
          <w:rFonts w:hint="eastAsia" w:ascii="宋体" w:hAnsi="宋体" w:cs="宋体"/>
          <w:b/>
          <w:sz w:val="21"/>
          <w:szCs w:val="21"/>
        </w:rPr>
      </w:pPr>
      <w:r>
        <w:rPr>
          <w:rFonts w:hint="eastAsia" w:ascii="宋体" w:hAnsi="宋体" w:cs="宋体"/>
          <w:b/>
          <w:sz w:val="21"/>
          <w:szCs w:val="21"/>
          <w:lang w:val="en-US" w:eastAsia="zh-CN"/>
        </w:rPr>
        <w:t>5</w:t>
      </w:r>
      <w:r>
        <w:rPr>
          <w:rFonts w:hint="eastAsia" w:ascii="宋体" w:hAnsi="宋体" w:cs="宋体"/>
          <w:b/>
          <w:sz w:val="21"/>
          <w:szCs w:val="21"/>
        </w:rPr>
        <w:t>.解决合同纠纷方式</w:t>
      </w:r>
    </w:p>
    <w:p w14:paraId="392478FB">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首先通过双方协商解决，协商解决不成，则通过以下途径之一解决纠纷：</w:t>
      </w:r>
    </w:p>
    <w:p w14:paraId="6D79C9FE">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 xml:space="preserve">□ 提请仲裁；       </w:t>
      </w:r>
      <w:r>
        <w:rPr>
          <w:rFonts w:hint="eastAsia" w:ascii="宋体" w:hAnsi="宋体" w:cs="宋体"/>
          <w:sz w:val="21"/>
          <w:szCs w:val="21"/>
          <w:lang w:eastAsia="zh-CN"/>
        </w:rPr>
        <w:t>☑</w:t>
      </w:r>
      <w:r>
        <w:rPr>
          <w:rFonts w:hint="eastAsia" w:ascii="宋体" w:hAnsi="宋体" w:cs="宋体"/>
          <w:sz w:val="21"/>
          <w:szCs w:val="21"/>
        </w:rPr>
        <w:t xml:space="preserve"> 向人民法院提起诉讼。</w:t>
      </w:r>
    </w:p>
    <w:p w14:paraId="7C409DFB">
      <w:pPr>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cs="宋体"/>
          <w:b/>
          <w:sz w:val="21"/>
          <w:szCs w:val="21"/>
        </w:rPr>
      </w:pPr>
      <w:r>
        <w:rPr>
          <w:rFonts w:hint="eastAsia" w:ascii="宋体" w:hAnsi="宋体" w:cs="宋体"/>
          <w:b/>
          <w:sz w:val="21"/>
          <w:szCs w:val="21"/>
          <w:lang w:val="en-US" w:eastAsia="zh-CN"/>
        </w:rPr>
        <w:t>6</w:t>
      </w:r>
      <w:r>
        <w:rPr>
          <w:rFonts w:hint="eastAsia" w:ascii="宋体" w:hAnsi="宋体" w:cs="宋体"/>
          <w:b/>
          <w:sz w:val="21"/>
          <w:szCs w:val="21"/>
        </w:rPr>
        <w:t>.组成合同的文件</w:t>
      </w:r>
    </w:p>
    <w:p w14:paraId="406DB29C">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本协议书与下列文件一起构成合同文件，如下述文件之间有任何抵触、矛盾或歧义，应按以下顺序解释：</w:t>
      </w:r>
    </w:p>
    <w:p w14:paraId="2AB143EB">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（1）在招标或合同履行过程中乙方作出的承诺以及双方协商达成的变更或补充协议；</w:t>
      </w:r>
    </w:p>
    <w:p w14:paraId="787C2CBB">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（2）中标通知书；</w:t>
      </w:r>
    </w:p>
    <w:p w14:paraId="52CEA91C">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（3）投标文件；</w:t>
      </w:r>
    </w:p>
    <w:p w14:paraId="74A0B42C">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（4）政府采购合同格式条款及其附件；</w:t>
      </w:r>
    </w:p>
    <w:p w14:paraId="05AD4ED3">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（5）专用合同条款；</w:t>
      </w:r>
    </w:p>
    <w:p w14:paraId="33C25821">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（6）通用合同条款（如果有）；</w:t>
      </w:r>
    </w:p>
    <w:p w14:paraId="52B3A0CC">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（7）标准、规范及有关技术文件，图纸；</w:t>
      </w:r>
    </w:p>
    <w:p w14:paraId="66AFAB0E">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（8）其他合同文件。</w:t>
      </w:r>
    </w:p>
    <w:p w14:paraId="166272DF">
      <w:pPr>
        <w:pageBreakBefore w:val="0"/>
        <w:widowControl w:val="0"/>
        <w:kinsoku/>
        <w:wordWrap/>
        <w:overflowPunct/>
        <w:topLinePunct w:val="0"/>
        <w:autoSpaceDE/>
        <w:autoSpaceDN/>
        <w:bidi w:val="0"/>
        <w:adjustRightInd w:val="0"/>
        <w:snapToGrid w:val="0"/>
        <w:spacing w:line="440" w:lineRule="exact"/>
        <w:ind w:firstLine="422" w:firstLineChars="200"/>
        <w:textAlignment w:val="auto"/>
        <w:rPr>
          <w:rFonts w:hint="eastAsia" w:ascii="宋体" w:hAnsi="宋体" w:cs="宋体"/>
          <w:b/>
          <w:sz w:val="21"/>
          <w:szCs w:val="21"/>
          <w:lang w:val="en-US" w:eastAsia="zh-CN"/>
        </w:rPr>
      </w:pPr>
    </w:p>
    <w:p w14:paraId="75CDED9C">
      <w:pPr>
        <w:pageBreakBefore w:val="0"/>
        <w:widowControl w:val="0"/>
        <w:kinsoku/>
        <w:wordWrap/>
        <w:overflowPunct/>
        <w:topLinePunct w:val="0"/>
        <w:autoSpaceDE/>
        <w:autoSpaceDN/>
        <w:bidi w:val="0"/>
        <w:adjustRightInd w:val="0"/>
        <w:snapToGrid w:val="0"/>
        <w:spacing w:line="440" w:lineRule="exact"/>
        <w:ind w:firstLine="422" w:firstLineChars="200"/>
        <w:textAlignment w:val="auto"/>
        <w:rPr>
          <w:rFonts w:hint="eastAsia" w:ascii="宋体" w:hAnsi="宋体" w:cs="宋体"/>
          <w:b/>
          <w:sz w:val="21"/>
          <w:szCs w:val="21"/>
        </w:rPr>
      </w:pPr>
      <w:r>
        <w:rPr>
          <w:rFonts w:hint="eastAsia" w:ascii="宋体" w:hAnsi="宋体" w:cs="宋体"/>
          <w:b/>
          <w:sz w:val="21"/>
          <w:szCs w:val="21"/>
          <w:lang w:val="en-US" w:eastAsia="zh-CN"/>
        </w:rPr>
        <w:t>7</w:t>
      </w:r>
      <w:r>
        <w:rPr>
          <w:rFonts w:hint="eastAsia" w:ascii="宋体" w:hAnsi="宋体" w:cs="宋体"/>
          <w:b/>
          <w:sz w:val="21"/>
          <w:szCs w:val="21"/>
        </w:rPr>
        <w:t>.合同生效</w:t>
      </w:r>
    </w:p>
    <w:p w14:paraId="7C52647C">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本合同自</w:t>
      </w:r>
      <w:r>
        <w:rPr>
          <w:rFonts w:hint="eastAsia" w:ascii="宋体" w:hAnsi="宋体" w:cs="宋体"/>
          <w:sz w:val="21"/>
          <w:szCs w:val="21"/>
          <w:u w:val="single"/>
        </w:rPr>
        <w:t xml:space="preserve">   签字盖章后   </w:t>
      </w:r>
      <w:r>
        <w:rPr>
          <w:rFonts w:hint="eastAsia" w:ascii="宋体" w:hAnsi="宋体" w:cs="宋体"/>
          <w:sz w:val="21"/>
          <w:szCs w:val="21"/>
        </w:rPr>
        <w:t>生效。</w:t>
      </w:r>
    </w:p>
    <w:p w14:paraId="306FE825">
      <w:pPr>
        <w:pageBreakBefore w:val="0"/>
        <w:widowControl w:val="0"/>
        <w:kinsoku/>
        <w:wordWrap/>
        <w:overflowPunct/>
        <w:topLinePunct w:val="0"/>
        <w:autoSpaceDE/>
        <w:autoSpaceDN/>
        <w:bidi w:val="0"/>
        <w:adjustRightInd w:val="0"/>
        <w:snapToGrid w:val="0"/>
        <w:spacing w:line="440" w:lineRule="exact"/>
        <w:ind w:firstLine="422" w:firstLineChars="200"/>
        <w:textAlignment w:val="auto"/>
        <w:rPr>
          <w:rFonts w:hint="eastAsia" w:ascii="宋体" w:hAnsi="宋体" w:cs="宋体"/>
          <w:b/>
          <w:sz w:val="21"/>
          <w:szCs w:val="21"/>
        </w:rPr>
      </w:pPr>
      <w:r>
        <w:rPr>
          <w:rFonts w:hint="eastAsia" w:ascii="宋体" w:hAnsi="宋体" w:cs="宋体"/>
          <w:b/>
          <w:sz w:val="21"/>
          <w:szCs w:val="21"/>
          <w:lang w:val="en-US" w:eastAsia="zh-CN"/>
        </w:rPr>
        <w:t>8</w:t>
      </w:r>
      <w:r>
        <w:rPr>
          <w:rFonts w:hint="eastAsia" w:ascii="宋体" w:hAnsi="宋体" w:cs="宋体"/>
          <w:b/>
          <w:sz w:val="21"/>
          <w:szCs w:val="21"/>
        </w:rPr>
        <w:t>.合同份数</w:t>
      </w:r>
    </w:p>
    <w:p w14:paraId="4FEC425D">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本合同一式</w:t>
      </w:r>
      <w:r>
        <w:rPr>
          <w:rFonts w:hint="eastAsia" w:ascii="宋体" w:hAnsi="宋体" w:cs="宋体"/>
          <w:sz w:val="21"/>
          <w:szCs w:val="21"/>
          <w:u w:val="single"/>
        </w:rPr>
        <w:t xml:space="preserve">  陆  </w:t>
      </w:r>
      <w:r>
        <w:rPr>
          <w:rFonts w:hint="eastAsia" w:ascii="宋体" w:hAnsi="宋体" w:cs="宋体"/>
          <w:sz w:val="21"/>
          <w:szCs w:val="21"/>
        </w:rPr>
        <w:t>份，采购人执</w:t>
      </w:r>
      <w:r>
        <w:rPr>
          <w:rFonts w:hint="eastAsia" w:ascii="宋体" w:hAnsi="宋体" w:cs="宋体"/>
          <w:sz w:val="21"/>
          <w:szCs w:val="21"/>
          <w:u w:val="single"/>
        </w:rPr>
        <w:t xml:space="preserve">  贰  </w:t>
      </w:r>
      <w:r>
        <w:rPr>
          <w:rFonts w:hint="eastAsia" w:ascii="宋体" w:hAnsi="宋体" w:cs="宋体"/>
          <w:sz w:val="21"/>
          <w:szCs w:val="21"/>
        </w:rPr>
        <w:t>份，供应商执</w:t>
      </w:r>
      <w:r>
        <w:rPr>
          <w:rFonts w:hint="eastAsia" w:ascii="宋体" w:hAnsi="宋体" w:cs="宋体"/>
          <w:sz w:val="21"/>
          <w:szCs w:val="21"/>
          <w:u w:val="single"/>
        </w:rPr>
        <w:t xml:space="preserve"> 贰  </w:t>
      </w:r>
      <w:r>
        <w:rPr>
          <w:rFonts w:hint="eastAsia" w:ascii="宋体" w:hAnsi="宋体" w:cs="宋体"/>
          <w:sz w:val="21"/>
          <w:szCs w:val="21"/>
        </w:rPr>
        <w:t>份，监督管理部门执</w:t>
      </w:r>
      <w:r>
        <w:rPr>
          <w:rFonts w:hint="eastAsia" w:ascii="宋体" w:hAnsi="宋体" w:cs="宋体"/>
          <w:sz w:val="21"/>
          <w:szCs w:val="21"/>
          <w:u w:val="single"/>
        </w:rPr>
        <w:t xml:space="preserve"> 壹 </w:t>
      </w:r>
      <w:r>
        <w:rPr>
          <w:rFonts w:hint="eastAsia" w:ascii="宋体" w:hAnsi="宋体" w:cs="宋体"/>
          <w:sz w:val="21"/>
          <w:szCs w:val="21"/>
        </w:rPr>
        <w:t>份，代理机构执</w:t>
      </w:r>
      <w:r>
        <w:rPr>
          <w:rFonts w:hint="eastAsia" w:ascii="宋体" w:hAnsi="宋体" w:cs="宋体"/>
          <w:sz w:val="21"/>
          <w:szCs w:val="21"/>
          <w:u w:val="single"/>
        </w:rPr>
        <w:t xml:space="preserve">  壹  </w:t>
      </w:r>
      <w:r>
        <w:rPr>
          <w:rFonts w:hint="eastAsia" w:ascii="宋体" w:hAnsi="宋体" w:cs="宋体"/>
          <w:sz w:val="21"/>
          <w:szCs w:val="21"/>
        </w:rPr>
        <w:t>份，均具有同等法律效力。</w:t>
      </w:r>
    </w:p>
    <w:p w14:paraId="4EF9C382">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p>
    <w:p w14:paraId="3BE0AB7D">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合同订立时间：</w:t>
      </w:r>
      <w:r>
        <w:rPr>
          <w:rFonts w:hint="eastAsia" w:ascii="宋体" w:hAnsi="宋体" w:cs="宋体"/>
          <w:sz w:val="21"/>
          <w:szCs w:val="21"/>
          <w:u w:val="single"/>
        </w:rPr>
        <w:t xml:space="preserve">         </w:t>
      </w:r>
      <w:r>
        <w:rPr>
          <w:rFonts w:hint="eastAsia" w:ascii="宋体" w:hAnsi="宋体" w:cs="宋体"/>
          <w:sz w:val="21"/>
          <w:szCs w:val="21"/>
        </w:rPr>
        <w:t>年</w:t>
      </w:r>
      <w:r>
        <w:rPr>
          <w:rFonts w:hint="eastAsia" w:ascii="宋体" w:hAnsi="宋体" w:cs="宋体"/>
          <w:sz w:val="21"/>
          <w:szCs w:val="21"/>
          <w:u w:val="single"/>
        </w:rPr>
        <w:t xml:space="preserve">      </w:t>
      </w:r>
      <w:r>
        <w:rPr>
          <w:rFonts w:hint="eastAsia" w:ascii="宋体" w:hAnsi="宋体" w:cs="宋体"/>
          <w:sz w:val="21"/>
          <w:szCs w:val="21"/>
        </w:rPr>
        <w:t>月</w:t>
      </w:r>
      <w:r>
        <w:rPr>
          <w:rFonts w:hint="eastAsia" w:ascii="宋体" w:hAnsi="宋体" w:cs="宋体"/>
          <w:sz w:val="21"/>
          <w:szCs w:val="21"/>
          <w:u w:val="single"/>
        </w:rPr>
        <w:t xml:space="preserve">      </w:t>
      </w:r>
      <w:r>
        <w:rPr>
          <w:rFonts w:hint="eastAsia" w:ascii="宋体" w:hAnsi="宋体" w:cs="宋体"/>
          <w:sz w:val="21"/>
          <w:szCs w:val="21"/>
        </w:rPr>
        <w:t>日</w:t>
      </w:r>
    </w:p>
    <w:p w14:paraId="3170CE8B">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合同订立地点：</w:t>
      </w:r>
      <w:r>
        <w:rPr>
          <w:rFonts w:hint="eastAsia" w:ascii="宋体" w:hAnsi="宋体" w:cs="宋体"/>
          <w:sz w:val="21"/>
          <w:szCs w:val="21"/>
          <w:u w:val="single"/>
        </w:rPr>
        <w:t xml:space="preserve">                           </w:t>
      </w:r>
    </w:p>
    <w:p w14:paraId="12AB093A">
      <w:pPr>
        <w:pageBreakBefore w:val="0"/>
        <w:widowControl w:val="0"/>
        <w:kinsoku/>
        <w:wordWrap/>
        <w:overflowPunct/>
        <w:topLinePunct w:val="0"/>
        <w:autoSpaceDE/>
        <w:autoSpaceDN/>
        <w:bidi w:val="0"/>
        <w:adjustRightInd w:val="0"/>
        <w:snapToGrid w:val="0"/>
        <w:spacing w:line="440" w:lineRule="exact"/>
        <w:textAlignment w:val="auto"/>
        <w:rPr>
          <w:rFonts w:hint="eastAsia" w:ascii="宋体" w:hAnsi="宋体" w:cs="宋体"/>
          <w:sz w:val="21"/>
          <w:szCs w:val="21"/>
        </w:rPr>
      </w:pPr>
    </w:p>
    <w:p w14:paraId="41F785B3">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p>
    <w:p w14:paraId="3DA7BDCE">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甲      方：（公章）                     乙      方：（公章）</w:t>
      </w:r>
    </w:p>
    <w:p w14:paraId="49BD3555">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法定代表人：</w:t>
      </w:r>
      <w:r>
        <w:rPr>
          <w:rFonts w:hint="eastAsia" w:ascii="宋体" w:hAnsi="宋体" w:cs="宋体"/>
          <w:sz w:val="21"/>
          <w:szCs w:val="21"/>
          <w:u w:val="single"/>
        </w:rPr>
        <w:t xml:space="preserve">                   </w:t>
      </w:r>
      <w:r>
        <w:rPr>
          <w:rFonts w:hint="eastAsia" w:ascii="宋体" w:hAnsi="宋体" w:cs="宋体"/>
          <w:sz w:val="21"/>
          <w:szCs w:val="21"/>
        </w:rPr>
        <w:t xml:space="preserve">         法定代表人：</w:t>
      </w:r>
      <w:r>
        <w:rPr>
          <w:rFonts w:hint="eastAsia" w:ascii="宋体" w:hAnsi="宋体" w:cs="宋体"/>
          <w:sz w:val="21"/>
          <w:szCs w:val="21"/>
          <w:u w:val="single"/>
        </w:rPr>
        <w:t xml:space="preserve">                   </w:t>
      </w:r>
    </w:p>
    <w:p w14:paraId="3E7F4F45">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委托代理人：</w:t>
      </w:r>
      <w:r>
        <w:rPr>
          <w:rFonts w:hint="eastAsia" w:ascii="宋体" w:hAnsi="宋体" w:cs="宋体"/>
          <w:sz w:val="21"/>
          <w:szCs w:val="21"/>
          <w:u w:val="single"/>
        </w:rPr>
        <w:t xml:space="preserve">                   </w:t>
      </w:r>
      <w:r>
        <w:rPr>
          <w:rFonts w:hint="eastAsia" w:ascii="宋体" w:hAnsi="宋体" w:cs="宋体"/>
          <w:sz w:val="21"/>
          <w:szCs w:val="21"/>
        </w:rPr>
        <w:t xml:space="preserve">         委托代理人：</w:t>
      </w:r>
      <w:r>
        <w:rPr>
          <w:rFonts w:hint="eastAsia" w:ascii="宋体" w:hAnsi="宋体" w:cs="宋体"/>
          <w:sz w:val="21"/>
          <w:szCs w:val="21"/>
          <w:u w:val="single"/>
        </w:rPr>
        <w:t xml:space="preserve">                   </w:t>
      </w:r>
    </w:p>
    <w:p w14:paraId="54762AA8">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电      话：</w:t>
      </w:r>
      <w:r>
        <w:rPr>
          <w:rFonts w:hint="eastAsia" w:ascii="宋体" w:hAnsi="宋体" w:cs="宋体"/>
          <w:sz w:val="21"/>
          <w:szCs w:val="21"/>
          <w:u w:val="single"/>
        </w:rPr>
        <w:t xml:space="preserve">                   </w:t>
      </w:r>
      <w:r>
        <w:rPr>
          <w:rFonts w:hint="eastAsia" w:ascii="宋体" w:hAnsi="宋体" w:cs="宋体"/>
          <w:sz w:val="21"/>
          <w:szCs w:val="21"/>
        </w:rPr>
        <w:t xml:space="preserve">         电      话：</w:t>
      </w:r>
      <w:r>
        <w:rPr>
          <w:rFonts w:hint="eastAsia" w:ascii="宋体" w:hAnsi="宋体" w:cs="宋体"/>
          <w:sz w:val="21"/>
          <w:szCs w:val="21"/>
          <w:u w:val="single"/>
        </w:rPr>
        <w:t xml:space="preserve">                   </w:t>
      </w:r>
    </w:p>
    <w:p w14:paraId="047B16A0">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传      真：</w:t>
      </w:r>
      <w:r>
        <w:rPr>
          <w:rFonts w:hint="eastAsia" w:ascii="宋体" w:hAnsi="宋体" w:cs="宋体"/>
          <w:sz w:val="21"/>
          <w:szCs w:val="21"/>
          <w:u w:val="single"/>
        </w:rPr>
        <w:t xml:space="preserve">                   </w:t>
      </w:r>
      <w:r>
        <w:rPr>
          <w:rFonts w:hint="eastAsia" w:ascii="宋体" w:hAnsi="宋体" w:cs="宋体"/>
          <w:sz w:val="21"/>
          <w:szCs w:val="21"/>
        </w:rPr>
        <w:t xml:space="preserve">         传      真：</w:t>
      </w:r>
      <w:r>
        <w:rPr>
          <w:rFonts w:hint="eastAsia" w:ascii="宋体" w:hAnsi="宋体" w:cs="宋体"/>
          <w:sz w:val="21"/>
          <w:szCs w:val="21"/>
          <w:u w:val="single"/>
        </w:rPr>
        <w:t xml:space="preserve">                   </w:t>
      </w:r>
    </w:p>
    <w:p w14:paraId="5741A14B">
      <w:pPr>
        <w:pageBreakBefore w:val="0"/>
        <w:widowControl w:val="0"/>
        <w:kinsoku/>
        <w:wordWrap/>
        <w:overflowPunct/>
        <w:topLinePunct w:val="0"/>
        <w:autoSpaceDE/>
        <w:autoSpaceDN/>
        <w:bidi w:val="0"/>
        <w:adjustRightInd w:val="0"/>
        <w:snapToGrid w:val="0"/>
        <w:spacing w:line="440" w:lineRule="exact"/>
        <w:ind w:firstLine="420" w:firstLineChars="200"/>
        <w:textAlignment w:val="auto"/>
        <w:rPr>
          <w:rFonts w:hint="eastAsia" w:ascii="宋体" w:hAnsi="宋体" w:cs="宋体"/>
          <w:sz w:val="21"/>
          <w:szCs w:val="21"/>
        </w:rPr>
      </w:pPr>
      <w:r>
        <w:rPr>
          <w:rFonts w:hint="eastAsia" w:ascii="宋体" w:hAnsi="宋体" w:cs="宋体"/>
          <w:sz w:val="21"/>
          <w:szCs w:val="21"/>
        </w:rPr>
        <w:t xml:space="preserve">                                        开 户 银 行：</w:t>
      </w:r>
      <w:r>
        <w:rPr>
          <w:rFonts w:hint="eastAsia" w:ascii="宋体" w:hAnsi="宋体" w:cs="宋体"/>
          <w:sz w:val="21"/>
          <w:szCs w:val="21"/>
          <w:u w:val="single"/>
        </w:rPr>
        <w:t xml:space="preserve">                  </w:t>
      </w:r>
    </w:p>
    <w:p w14:paraId="107C8078">
      <w:pPr>
        <w:pageBreakBefore w:val="0"/>
        <w:widowControl w:val="0"/>
        <w:kinsoku/>
        <w:wordWrap/>
        <w:overflowPunct/>
        <w:topLinePunct w:val="0"/>
        <w:autoSpaceDE/>
        <w:autoSpaceDN/>
        <w:bidi w:val="0"/>
        <w:adjustRightInd w:val="0"/>
        <w:snapToGrid w:val="0"/>
        <w:spacing w:line="440" w:lineRule="exact"/>
        <w:ind w:firstLine="420" w:firstLineChars="200"/>
        <w:jc w:val="center"/>
        <w:textAlignment w:val="auto"/>
        <w:rPr>
          <w:rFonts w:hint="eastAsia" w:ascii="宋体" w:hAnsi="宋体" w:cs="宋体"/>
          <w:sz w:val="21"/>
          <w:szCs w:val="21"/>
          <w:u w:val="single"/>
        </w:rPr>
      </w:pPr>
      <w:r>
        <w:rPr>
          <w:rFonts w:hint="eastAsia" w:ascii="宋体" w:hAnsi="宋体" w:cs="宋体"/>
          <w:sz w:val="21"/>
          <w:szCs w:val="21"/>
        </w:rPr>
        <w:t xml:space="preserve">             </w:t>
      </w:r>
      <w:r>
        <w:rPr>
          <w:rFonts w:hint="eastAsia" w:ascii="宋体" w:hAnsi="宋体" w:cs="宋体"/>
          <w:sz w:val="21"/>
          <w:szCs w:val="21"/>
          <w:lang w:val="en-US" w:eastAsia="zh-CN"/>
        </w:rPr>
        <w:t xml:space="preserve">   </w:t>
      </w:r>
      <w:r>
        <w:rPr>
          <w:rFonts w:hint="eastAsia" w:ascii="宋体" w:hAnsi="宋体" w:cs="宋体"/>
          <w:sz w:val="21"/>
          <w:szCs w:val="21"/>
        </w:rPr>
        <w:t>帐       号：</w:t>
      </w:r>
      <w:r>
        <w:rPr>
          <w:rFonts w:hint="eastAsia" w:ascii="宋体" w:hAnsi="宋体" w:cs="宋体"/>
          <w:sz w:val="21"/>
          <w:szCs w:val="21"/>
          <w:u w:val="single"/>
        </w:rPr>
        <w:t xml:space="preserve"> </w:t>
      </w:r>
      <w:r>
        <w:rPr>
          <w:rFonts w:hint="eastAsia" w:ascii="宋体" w:hAnsi="宋体" w:cs="宋体"/>
          <w:sz w:val="21"/>
          <w:szCs w:val="21"/>
          <w:u w:val="single"/>
          <w:lang w:val="en-US" w:eastAsia="zh-CN"/>
        </w:rPr>
        <w:t xml:space="preserve">                 </w:t>
      </w:r>
      <w:r>
        <w:rPr>
          <w:rFonts w:hint="eastAsia" w:ascii="宋体" w:hAnsi="宋体" w:cs="宋体"/>
          <w:sz w:val="21"/>
          <w:szCs w:val="21"/>
          <w:u w:val="single"/>
        </w:rPr>
        <w:t xml:space="preserve"> </w:t>
      </w:r>
    </w:p>
    <w:p w14:paraId="5AE94ACF">
      <w:pPr>
        <w:pageBreakBefore w:val="0"/>
        <w:widowControl w:val="0"/>
        <w:kinsoku/>
        <w:wordWrap/>
        <w:overflowPunct/>
        <w:topLinePunct w:val="0"/>
        <w:autoSpaceDE/>
        <w:autoSpaceDN/>
        <w:bidi w:val="0"/>
        <w:adjustRightInd w:val="0"/>
        <w:snapToGrid w:val="0"/>
        <w:spacing w:line="440" w:lineRule="exact"/>
        <w:ind w:firstLine="420" w:firstLineChars="200"/>
        <w:jc w:val="center"/>
        <w:textAlignment w:val="auto"/>
        <w:rPr>
          <w:rFonts w:hint="eastAsia" w:ascii="宋体" w:hAnsi="宋体" w:cs="宋体"/>
          <w:sz w:val="21"/>
          <w:szCs w:val="21"/>
        </w:rPr>
      </w:pPr>
    </w:p>
    <w:p w14:paraId="423CE325">
      <w:pPr>
        <w:pageBreakBefore w:val="0"/>
        <w:widowControl w:val="0"/>
        <w:kinsoku/>
        <w:wordWrap/>
        <w:overflowPunct/>
        <w:topLinePunct w:val="0"/>
        <w:autoSpaceDE/>
        <w:autoSpaceDN/>
        <w:bidi w:val="0"/>
        <w:adjustRightInd w:val="0"/>
        <w:snapToGrid w:val="0"/>
        <w:spacing w:line="440" w:lineRule="exact"/>
        <w:ind w:firstLine="420" w:firstLineChars="200"/>
        <w:jc w:val="center"/>
        <w:textAlignment w:val="auto"/>
        <w:rPr>
          <w:rFonts w:hint="eastAsia" w:ascii="宋体" w:hAnsi="宋体" w:cs="宋体"/>
          <w:sz w:val="21"/>
          <w:szCs w:val="21"/>
        </w:rPr>
      </w:pPr>
    </w:p>
    <w:p w14:paraId="2D419ECD">
      <w:pPr>
        <w:pageBreakBefore w:val="0"/>
        <w:widowControl w:val="0"/>
        <w:kinsoku/>
        <w:wordWrap/>
        <w:overflowPunct/>
        <w:topLinePunct w:val="0"/>
        <w:autoSpaceDE/>
        <w:autoSpaceDN/>
        <w:bidi w:val="0"/>
        <w:adjustRightInd w:val="0"/>
        <w:snapToGrid w:val="0"/>
        <w:spacing w:line="440" w:lineRule="exact"/>
        <w:ind w:firstLine="420" w:firstLineChars="200"/>
        <w:jc w:val="left"/>
        <w:textAlignment w:val="auto"/>
        <w:rPr>
          <w:rFonts w:hint="eastAsia" w:ascii="宋体" w:hAnsi="宋体" w:cs="宋体"/>
          <w:b/>
          <w:sz w:val="21"/>
          <w:szCs w:val="21"/>
        </w:rPr>
      </w:pPr>
      <w:r>
        <w:rPr>
          <w:rFonts w:hint="eastAsia" w:ascii="宋体" w:hAnsi="宋体" w:cs="宋体"/>
          <w:sz w:val="21"/>
          <w:szCs w:val="21"/>
        </w:rPr>
        <w:t>备案单位：</w:t>
      </w:r>
      <w:r>
        <w:rPr>
          <w:rFonts w:hint="eastAsia" w:ascii="宋体" w:hAnsi="宋体" w:cs="宋体"/>
          <w:b/>
          <w:sz w:val="21"/>
          <w:szCs w:val="21"/>
        </w:rPr>
        <w:t>（公章）</w:t>
      </w:r>
    </w:p>
    <w:p w14:paraId="48EC2F87">
      <w:pPr>
        <w:pStyle w:val="4"/>
        <w:pageBreakBefore w:val="0"/>
        <w:widowControl w:val="0"/>
        <w:kinsoku/>
        <w:wordWrap/>
        <w:overflowPunct/>
        <w:topLinePunct w:val="0"/>
        <w:autoSpaceDE/>
        <w:autoSpaceDN/>
        <w:bidi w:val="0"/>
        <w:adjustRightInd w:val="0"/>
        <w:snapToGrid w:val="0"/>
        <w:spacing w:before="156" w:beforeLines="50" w:line="440" w:lineRule="exact"/>
        <w:jc w:val="center"/>
        <w:textAlignment w:val="auto"/>
        <w:rPr>
          <w:rFonts w:ascii="黑体" w:hAnsi="黑体" w:eastAsia="黑体"/>
          <w:color w:val="auto"/>
          <w:sz w:val="28"/>
          <w:szCs w:val="28"/>
          <w:highlight w:val="none"/>
        </w:rPr>
      </w:pPr>
      <w:r>
        <w:rPr>
          <w:rFonts w:ascii="宋体" w:hAnsi="宋体"/>
          <w:color w:val="000000"/>
          <w:sz w:val="21"/>
          <w:szCs w:val="21"/>
          <w:u w:val="single"/>
        </w:rPr>
        <w:br w:type="page"/>
      </w:r>
      <w:bookmarkStart w:id="109" w:name="_Toc29968"/>
      <w:bookmarkStart w:id="110" w:name="_Toc8137"/>
      <w:r>
        <w:rPr>
          <w:rFonts w:hint="eastAsia" w:ascii="黑体" w:hAnsi="黑体" w:eastAsia="黑体"/>
          <w:color w:val="auto"/>
          <w:sz w:val="28"/>
          <w:szCs w:val="28"/>
          <w:highlight w:val="none"/>
        </w:rPr>
        <w:t>第二节 政府采购合同通用条款</w:t>
      </w:r>
      <w:bookmarkEnd w:id="109"/>
      <w:bookmarkEnd w:id="110"/>
    </w:p>
    <w:p w14:paraId="47F9CEB5">
      <w:pPr>
        <w:tabs>
          <w:tab w:val="left" w:pos="8820"/>
          <w:tab w:val="left" w:pos="9345"/>
          <w:tab w:val="left" w:pos="9765"/>
        </w:tabs>
        <w:adjustRightInd w:val="0"/>
        <w:snapToGrid w:val="0"/>
        <w:spacing w:before="50" w:line="360" w:lineRule="auto"/>
        <w:jc w:val="left"/>
        <w:rPr>
          <w:rFonts w:ascii="宋体" w:hAnsi="宋体"/>
          <w:b/>
          <w:bCs/>
          <w:color w:val="auto"/>
          <w:sz w:val="24"/>
          <w:highlight w:val="none"/>
        </w:rPr>
      </w:pPr>
      <w:r>
        <w:rPr>
          <w:rFonts w:hint="eastAsia" w:ascii="宋体" w:hAnsi="宋体"/>
          <w:b/>
          <w:color w:val="auto"/>
          <w:sz w:val="24"/>
          <w:highlight w:val="none"/>
        </w:rPr>
        <w:t>1.</w:t>
      </w:r>
      <w:r>
        <w:rPr>
          <w:rFonts w:hint="eastAsia" w:ascii="宋体" w:hAnsi="宋体"/>
          <w:b/>
          <w:bCs/>
          <w:color w:val="auto"/>
          <w:sz w:val="24"/>
          <w:highlight w:val="none"/>
        </w:rPr>
        <w:t>定义</w:t>
      </w:r>
    </w:p>
    <w:p w14:paraId="356C60E0">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1.1合同当事人</w:t>
      </w:r>
    </w:p>
    <w:p w14:paraId="4F0DF362">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（1）采购人（以下称甲方）是指使用财政性资金，通过政府采购方式向供应商购买货物、服务的国家机关、事业单位、团体组织。本次采购的甲方名称、地址见</w:t>
      </w:r>
      <w:r>
        <w:rPr>
          <w:rFonts w:hint="eastAsia" w:ascii="宋体" w:hAnsi="宋体"/>
          <w:b/>
          <w:color w:val="auto"/>
          <w:sz w:val="21"/>
          <w:szCs w:val="21"/>
          <w:highlight w:val="none"/>
        </w:rPr>
        <w:t>【政府采购合同专用条款】。</w:t>
      </w:r>
    </w:p>
    <w:p w14:paraId="0B258360">
      <w:pPr>
        <w:autoSpaceDE w:val="0"/>
        <w:autoSpaceDN w:val="0"/>
        <w:adjustRightInd w:val="0"/>
        <w:snapToGrid w:val="0"/>
        <w:spacing w:before="50" w:line="360" w:lineRule="auto"/>
        <w:ind w:firstLine="420" w:firstLineChars="200"/>
        <w:jc w:val="left"/>
        <w:rPr>
          <w:rFonts w:ascii="宋体" w:hAnsi="宋体"/>
          <w:b/>
          <w:color w:val="auto"/>
          <w:sz w:val="21"/>
          <w:szCs w:val="21"/>
          <w:highlight w:val="none"/>
        </w:rPr>
      </w:pPr>
      <w:r>
        <w:rPr>
          <w:rFonts w:hint="eastAsia" w:ascii="宋体" w:hAnsi="宋体"/>
          <w:color w:val="auto"/>
          <w:sz w:val="21"/>
          <w:szCs w:val="21"/>
          <w:highlight w:val="none"/>
        </w:rPr>
        <w:t>（2）供应商（以下称乙方）是指参加政府采购活动而取得中标结果，并向采购人提供货物、服务的法人、其他组织或者自然人。</w:t>
      </w:r>
    </w:p>
    <w:p w14:paraId="27A1DD40">
      <w:pPr>
        <w:tabs>
          <w:tab w:val="left" w:pos="570"/>
          <w:tab w:val="left" w:pos="9240"/>
          <w:tab w:val="left" w:pos="9555"/>
        </w:tabs>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1.2本合同下列术语应解释为：</w:t>
      </w:r>
    </w:p>
    <w:p w14:paraId="01120804">
      <w:pPr>
        <w:tabs>
          <w:tab w:val="left" w:pos="570"/>
          <w:tab w:val="left" w:pos="9240"/>
          <w:tab w:val="left" w:pos="9555"/>
        </w:tabs>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（1）“合同”系指甲乙双方签署的、政府采购合同协议书中载明的甲乙双方所达成的协议，包括所有的附件、附录和上述文件所提到的构成合同的所有文件。</w:t>
      </w:r>
    </w:p>
    <w:p w14:paraId="15C4E743">
      <w:pPr>
        <w:tabs>
          <w:tab w:val="left" w:pos="570"/>
          <w:tab w:val="left" w:pos="9240"/>
          <w:tab w:val="left" w:pos="9555"/>
        </w:tabs>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（2）“合同价”系指根据本合同规定乙方在正确地完全履行合同义务后甲方应支付给乙方的价款。</w:t>
      </w:r>
    </w:p>
    <w:p w14:paraId="23D9828A">
      <w:pPr>
        <w:tabs>
          <w:tab w:val="left" w:pos="570"/>
          <w:tab w:val="left" w:pos="9240"/>
          <w:tab w:val="left" w:pos="9555"/>
        </w:tabs>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（3）“货物”系指乙方根据本合同规定须向甲方提供的各种形态和种类的物品，包括原材料、设备、产品（包括软件）及相关的其备品备件、工具、手册及其它技术资料和材料。</w:t>
      </w:r>
    </w:p>
    <w:p w14:paraId="543C8B78">
      <w:pPr>
        <w:tabs>
          <w:tab w:val="left" w:pos="570"/>
          <w:tab w:val="left" w:pos="8880"/>
          <w:tab w:val="left" w:pos="9555"/>
        </w:tabs>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4）“服务”系指根据合同规定，乙方应提供的技术、管理和其它服务，包括但不限于：管理和质量保证、运输、保险、检验、现场准备、安装、集成、调试、培训、维修、技术支持等以及合同中规定乙方应承担的其它义务。</w:t>
      </w:r>
    </w:p>
    <w:p w14:paraId="60AE719E">
      <w:pPr>
        <w:tabs>
          <w:tab w:val="left" w:pos="570"/>
          <w:tab w:val="left" w:pos="9240"/>
          <w:tab w:val="left" w:pos="9555"/>
        </w:tabs>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（5）“合同条款”系指本合同及其附件、补充文件约定的全部条款。</w:t>
      </w:r>
    </w:p>
    <w:p w14:paraId="5050F3BD">
      <w:pPr>
        <w:tabs>
          <w:tab w:val="left" w:pos="570"/>
          <w:tab w:val="left" w:pos="9240"/>
          <w:tab w:val="left" w:pos="9555"/>
        </w:tabs>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（6）“项目现场”系指本合同项下货物安装、运行的现场，其名称见</w:t>
      </w:r>
      <w:r>
        <w:rPr>
          <w:rFonts w:hint="eastAsia" w:ascii="宋体" w:hAnsi="宋体"/>
          <w:b/>
          <w:color w:val="auto"/>
          <w:sz w:val="21"/>
          <w:szCs w:val="21"/>
          <w:highlight w:val="none"/>
        </w:rPr>
        <w:t>【政府采购合同专用条款】</w:t>
      </w:r>
      <w:r>
        <w:rPr>
          <w:rFonts w:hint="eastAsia" w:ascii="宋体" w:hAnsi="宋体"/>
          <w:color w:val="auto"/>
          <w:sz w:val="21"/>
          <w:szCs w:val="21"/>
          <w:highlight w:val="none"/>
        </w:rPr>
        <w:t>。</w:t>
      </w:r>
    </w:p>
    <w:p w14:paraId="78651676">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2.合同的适用范围</w:t>
      </w:r>
    </w:p>
    <w:p w14:paraId="492AF242">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2.1 本合同条款适用于没有被本合同其他部分的条款所取代的范围。</w:t>
      </w:r>
    </w:p>
    <w:p w14:paraId="038E121B">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2.2 合同内容根据招标文件、投标文件而确定。</w:t>
      </w:r>
    </w:p>
    <w:p w14:paraId="0DF4B51E">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3.</w:t>
      </w:r>
      <w:r>
        <w:rPr>
          <w:rFonts w:hint="eastAsia" w:ascii="宋体" w:hAnsi="宋体"/>
          <w:b/>
          <w:color w:val="auto"/>
          <w:sz w:val="24"/>
          <w:highlight w:val="none"/>
        </w:rPr>
        <w:t>合同标的及金额</w:t>
      </w:r>
    </w:p>
    <w:p w14:paraId="2E2BCA3A">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3.1 合同标的及金额应与中标结果一致。</w:t>
      </w:r>
    </w:p>
    <w:p w14:paraId="69383A5E">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4.</w:t>
      </w:r>
      <w:r>
        <w:rPr>
          <w:rFonts w:hint="eastAsia" w:ascii="宋体" w:hAnsi="宋体"/>
          <w:b/>
          <w:color w:val="auto"/>
          <w:sz w:val="24"/>
          <w:highlight w:val="none"/>
        </w:rPr>
        <w:t>合同价款</w:t>
      </w:r>
    </w:p>
    <w:p w14:paraId="3ADCFBC3">
      <w:pPr>
        <w:adjustRightInd w:val="0"/>
        <w:snapToGrid w:val="0"/>
        <w:spacing w:before="50" w:line="360" w:lineRule="auto"/>
        <w:ind w:firstLine="420" w:firstLineChars="200"/>
        <w:jc w:val="left"/>
        <w:rPr>
          <w:rFonts w:ascii="宋体" w:hAnsi="宋体"/>
          <w:b/>
          <w:bCs/>
          <w:i/>
          <w:iCs/>
          <w:color w:val="auto"/>
          <w:sz w:val="21"/>
          <w:szCs w:val="21"/>
          <w:highlight w:val="none"/>
        </w:rPr>
      </w:pPr>
      <w:r>
        <w:rPr>
          <w:rFonts w:hint="eastAsia" w:ascii="宋体" w:hAnsi="宋体"/>
          <w:color w:val="auto"/>
          <w:sz w:val="21"/>
          <w:szCs w:val="21"/>
          <w:highlight w:val="none"/>
        </w:rPr>
        <w:t>4.1具体合同价款见本合同第3.1条。乙方为履行本合同而发生的所有费用均应包含在合同价款中，甲方不再另行支付其它任何费用。</w:t>
      </w:r>
    </w:p>
    <w:p w14:paraId="4D683812">
      <w:pPr>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5.履行合同的时间、地点和方式</w:t>
      </w:r>
    </w:p>
    <w:p w14:paraId="270E4B03">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5.1 乙方应当在甲方确定的时间、指定的地点履行合同，具体的交货时间、地点和方式见</w:t>
      </w:r>
      <w:r>
        <w:rPr>
          <w:rFonts w:hint="eastAsia" w:ascii="宋体" w:hAnsi="宋体"/>
          <w:b/>
          <w:color w:val="auto"/>
          <w:sz w:val="21"/>
          <w:szCs w:val="21"/>
          <w:highlight w:val="none"/>
        </w:rPr>
        <w:t>【政府采购合同专用条款】</w:t>
      </w:r>
      <w:r>
        <w:rPr>
          <w:rFonts w:hint="eastAsia" w:ascii="宋体" w:hAnsi="宋体"/>
          <w:color w:val="auto"/>
          <w:sz w:val="21"/>
          <w:szCs w:val="21"/>
          <w:highlight w:val="none"/>
        </w:rPr>
        <w:t>。</w:t>
      </w:r>
    </w:p>
    <w:p w14:paraId="3DA94B97">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5.2 乙方提供服务的应当在甲方指定的时间和地点完成服务项目。</w:t>
      </w:r>
    </w:p>
    <w:p w14:paraId="1243AC6A">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6.</w:t>
      </w:r>
      <w:r>
        <w:rPr>
          <w:rFonts w:hint="eastAsia" w:ascii="宋体" w:hAnsi="宋体"/>
          <w:b/>
          <w:color w:val="auto"/>
          <w:sz w:val="24"/>
          <w:highlight w:val="none"/>
        </w:rPr>
        <w:t>货物的验收</w:t>
      </w:r>
    </w:p>
    <w:p w14:paraId="3D0FB314">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6.1 甲方在收到乙方交付的货物后应当及时组织验收。</w:t>
      </w:r>
    </w:p>
    <w:p w14:paraId="3D5BC7D0">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6.2 货物的表面瑕疵，甲方应在验收时当面提出；对质量问题有异议的应在安装调试后十个工作日内提出。</w:t>
      </w:r>
    </w:p>
    <w:p w14:paraId="395876CB">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6.3 在验收过程中发现数量不足或有质量、技术等问题，乙方应负责按照甲方的要求采取补足、更换或退货等处理措施，并承担由此发生的一切费用和损失。</w:t>
      </w:r>
    </w:p>
    <w:p w14:paraId="696329C1">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6.4 甲方在乙方按合同规定交货或安装、调试后，无正当理由而拖延接收、验收或拒绝接收、验收的，应承担因此给乙方造成的直接损失。</w:t>
      </w:r>
    </w:p>
    <w:p w14:paraId="6385F67B">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6.5 甲方对货物进行检查验收合格后，应当收取发票并在《交货验收单》上签署验收意见及加盖单位印章。</w:t>
      </w:r>
    </w:p>
    <w:p w14:paraId="43DDBCC4">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6.6 大型或者复杂的货物采购项目，甲方可以邀请国家认可的质量检测机构参加验收工作，并由其出具验收报告单。</w:t>
      </w:r>
    </w:p>
    <w:p w14:paraId="371C4CA0">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6.7 乙方提供的进口产品，乙方应出示中华人民共和国进出口商品检验部门出具的检验证书（招标文件第五章采购需求另有约定的除外）。</w:t>
      </w:r>
    </w:p>
    <w:p w14:paraId="29774D19">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7.货物包装要求</w:t>
      </w:r>
    </w:p>
    <w:p w14:paraId="7BF10A2E">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7.1 乙方所出售的全部货物均应按标准保护措施进行包装，包装应适应于远距离运输、防潮、防震、防锈和防野蛮装卸等要求，以确保货物安全无损地运抵指定现场。由于包装防护措施不妥而引起的损坏、丢失由乙方负责。</w:t>
      </w:r>
    </w:p>
    <w:p w14:paraId="0FC3D680">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7.2 每一个包装箱内应附一份详细装箱单、质量证书和保修保养证书。</w:t>
      </w:r>
    </w:p>
    <w:p w14:paraId="08F3DE9E">
      <w:pPr>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8.运输和保险</w:t>
      </w:r>
    </w:p>
    <w:p w14:paraId="2FCAB3DC">
      <w:pPr>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8.1乙方负责办理将货物运抵本合同第5.1条规定的交货地点的一切运输事项，相关费用应包括在合同总价中。</w:t>
      </w:r>
    </w:p>
    <w:p w14:paraId="43384B22">
      <w:pPr>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8.2乙方应向保险公司投保以甲方为受益人的发运合同货物发票金额的110％运输一切险。</w:t>
      </w:r>
    </w:p>
    <w:p w14:paraId="7C22F782">
      <w:pPr>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9.质量标准和保证</w:t>
      </w:r>
    </w:p>
    <w:p w14:paraId="2D833FA2">
      <w:pPr>
        <w:widowControl w:val="0"/>
        <w:adjustRightInd w:val="0"/>
        <w:snapToGrid w:val="0"/>
        <w:spacing w:before="50" w:line="360" w:lineRule="auto"/>
        <w:ind w:firstLine="420" w:firstLineChars="200"/>
        <w:jc w:val="left"/>
        <w:rPr>
          <w:rFonts w:ascii="宋体" w:hAnsi="宋体" w:eastAsia="宋体" w:cs="Courier New"/>
          <w:b/>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9.1 质量标准</w:t>
      </w:r>
    </w:p>
    <w:p w14:paraId="41D4C50A">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（1）本合同下交付的货物应符合招标文件第四章“技术规格、参数与要求”所述的标准。如果没有提及适用标准，则应符合中华人民共和国有关机构发布的最新版本的标准。</w:t>
      </w:r>
    </w:p>
    <w:p w14:paraId="23F18C2D">
      <w:pPr>
        <w:widowControl w:val="0"/>
        <w:adjustRightInd w:val="0"/>
        <w:snapToGrid w:val="0"/>
        <w:spacing w:before="50" w:line="360" w:lineRule="auto"/>
        <w:ind w:firstLine="420" w:firstLineChars="200"/>
        <w:jc w:val="left"/>
        <w:rPr>
          <w:rFonts w:ascii="宋体" w:hAnsi="宋体" w:eastAsia="宋体" w:cs="Courier New"/>
          <w:color w:val="auto"/>
          <w:kern w:val="2"/>
          <w:sz w:val="21"/>
          <w:szCs w:val="21"/>
          <w:highlight w:val="none"/>
          <w:lang w:val="en-US" w:eastAsia="zh-CN" w:bidi="ar-SA"/>
        </w:rPr>
      </w:pPr>
      <w:r>
        <w:rPr>
          <w:rFonts w:hint="eastAsia" w:ascii="宋体" w:hAnsi="宋体" w:eastAsia="宋体" w:cs="Courier New"/>
          <w:color w:val="auto"/>
          <w:kern w:val="2"/>
          <w:sz w:val="21"/>
          <w:szCs w:val="21"/>
          <w:highlight w:val="none"/>
          <w:lang w:val="en-US" w:eastAsia="zh-CN" w:bidi="ar-SA"/>
        </w:rPr>
        <w:t>（2）采用中华人民共和国法定计量单位。</w:t>
      </w:r>
    </w:p>
    <w:p w14:paraId="3227A369">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（3）乙方所出售的货物还应符合国家有关安全、环保、卫生之规定。</w:t>
      </w:r>
    </w:p>
    <w:p w14:paraId="04C98825">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9.2 保证</w:t>
      </w:r>
    </w:p>
    <w:p w14:paraId="406FCA7C">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乙方应保证所供货物是全新的、未使用过的，并完全符合合同规定的质量、规格和性能的要求。乙方应保证其货物在正确安装、正常使用和保养条件下，在其使用寿命期内应具有满意的性能，或者没有因乙方的行为或疏忽而产生的缺陷。在货物最终交付验收后不少于</w:t>
      </w:r>
      <w:r>
        <w:rPr>
          <w:rFonts w:hint="eastAsia" w:ascii="宋体" w:hAnsi="宋体"/>
          <w:b/>
          <w:color w:val="auto"/>
          <w:sz w:val="21"/>
          <w:szCs w:val="21"/>
          <w:highlight w:val="none"/>
        </w:rPr>
        <w:t>【政府采购合同专用条款】</w:t>
      </w:r>
      <w:r>
        <w:rPr>
          <w:rFonts w:hint="eastAsia" w:ascii="宋体" w:hAnsi="宋体"/>
          <w:color w:val="auto"/>
          <w:sz w:val="21"/>
          <w:szCs w:val="21"/>
          <w:highlight w:val="none"/>
        </w:rPr>
        <w:t>规定或乙方承诺（两者以较长的为准）的质量保证期内，本保证保持有效。</w:t>
      </w:r>
    </w:p>
    <w:p w14:paraId="2C2400BF">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（2）在质量保证期内所发现的缺陷，甲方应尽快以书面形式通知乙方。</w:t>
      </w:r>
    </w:p>
    <w:p w14:paraId="3A8CD6B1">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（3）乙方收到通知后应在</w:t>
      </w:r>
      <w:r>
        <w:rPr>
          <w:rFonts w:hint="eastAsia" w:ascii="宋体" w:hAnsi="宋体"/>
          <w:b/>
          <w:color w:val="auto"/>
          <w:sz w:val="21"/>
          <w:szCs w:val="21"/>
          <w:highlight w:val="none"/>
        </w:rPr>
        <w:t>【政府采购合同专用条款】</w:t>
      </w:r>
      <w:r>
        <w:rPr>
          <w:rFonts w:hint="eastAsia" w:ascii="宋体" w:hAnsi="宋体"/>
          <w:color w:val="auto"/>
          <w:sz w:val="21"/>
          <w:szCs w:val="21"/>
          <w:highlight w:val="none"/>
        </w:rPr>
        <w:t>规定的响应时间内以合理的速度免费维修或更换有缺陷的货物或部件。</w:t>
      </w:r>
    </w:p>
    <w:p w14:paraId="7BC3B9B4">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（4）在质量保证期内，如果货物的质量或规格与合同不符，或证实货物是有缺陷的，包括潜在的缺陷或使用不符合要求的材料等，甲方可以根据本合同第15.1条规定以书面形式向乙方提出补救措施或索赔。</w:t>
      </w:r>
    </w:p>
    <w:p w14:paraId="371FAE5B">
      <w:pPr>
        <w:adjustRightInd w:val="0"/>
        <w:snapToGrid w:val="0"/>
        <w:spacing w:before="50" w:line="360" w:lineRule="auto"/>
        <w:ind w:firstLine="420" w:firstLineChars="200"/>
        <w:jc w:val="left"/>
        <w:rPr>
          <w:rFonts w:ascii="宋体" w:hAnsi="宋体"/>
          <w:b/>
          <w:color w:val="auto"/>
          <w:sz w:val="21"/>
          <w:szCs w:val="21"/>
          <w:highlight w:val="none"/>
        </w:rPr>
      </w:pPr>
      <w:r>
        <w:rPr>
          <w:rFonts w:hint="eastAsia" w:ascii="宋体" w:hAnsi="宋体"/>
          <w:color w:val="auto"/>
          <w:sz w:val="21"/>
          <w:szCs w:val="21"/>
          <w:highlight w:val="none"/>
        </w:rPr>
        <w:t>（5）乙方在约定的时间内未能弥补缺陷，甲方可采取必要的补救措施，但其风险和费用将由乙方承担，甲方根据合同规定对乙方行使的其他权利不受影响。</w:t>
      </w:r>
    </w:p>
    <w:p w14:paraId="0BA45398">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10.权利瑕疵担保</w:t>
      </w:r>
    </w:p>
    <w:p w14:paraId="5AA9AEE6">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10.1 乙方保证对其出售的货物享有合法的权利。</w:t>
      </w:r>
    </w:p>
    <w:p w14:paraId="4AB96C06">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10.2 乙方保证在其出售的货物上不存在任何未曾向甲方透露的担保物权，如抵押权、质押权、留置权等。</w:t>
      </w:r>
    </w:p>
    <w:p w14:paraId="713550F9">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10.3 如甲方使用该货物构成上述侵权的，则由乙方承担全部责任。</w:t>
      </w:r>
    </w:p>
    <w:p w14:paraId="3F1B1E5D">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11.知识产权保护</w:t>
      </w:r>
    </w:p>
    <w:p w14:paraId="0DAAE3C3">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11.1 乙方对其所销售的货物应当享有知识产权或经权利人合法授权，保证没有侵犯任何第三人的知识产权和商业秘密等权利。</w:t>
      </w:r>
    </w:p>
    <w:p w14:paraId="117819A5">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11.2 甲方使用乙方提供的货物对第三人构成侵权的，应当由乙方承担全部法律责任，给甲方造成损害的，乙方应当承担赔偿责任。</w:t>
      </w:r>
    </w:p>
    <w:p w14:paraId="2852E849">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11.3 甲方委托乙方开发的产品，甲方享有知识产权，未经甲方许可不得转让任何第三人。</w:t>
      </w:r>
    </w:p>
    <w:p w14:paraId="4E8DAC04">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12.保密义务</w:t>
      </w:r>
    </w:p>
    <w:p w14:paraId="1E1366A7">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12.1 甲、乙双方在采购和履行合同过程中所获悉的对方属于保密的内容，双方均有保密义务。</w:t>
      </w:r>
    </w:p>
    <w:p w14:paraId="1D00C187">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13.合同价款支付</w:t>
      </w:r>
    </w:p>
    <w:p w14:paraId="31620510">
      <w:pPr>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13.1验收合格后，乙方出具正规发票给甲方，凭甲方开具的《政府采购合同验收报告单》办理合同价</w:t>
      </w:r>
      <w:r>
        <w:rPr>
          <w:rFonts w:hint="eastAsia" w:ascii="宋体" w:hAnsi="宋体"/>
          <w:bCs/>
          <w:color w:val="auto"/>
          <w:sz w:val="21"/>
          <w:szCs w:val="21"/>
          <w:highlight w:val="none"/>
        </w:rPr>
        <w:t>款</w:t>
      </w:r>
      <w:r>
        <w:rPr>
          <w:rFonts w:hint="eastAsia" w:ascii="宋体" w:hAnsi="宋体"/>
          <w:color w:val="auto"/>
          <w:sz w:val="21"/>
          <w:szCs w:val="21"/>
          <w:highlight w:val="none"/>
        </w:rPr>
        <w:t>结算手续。</w:t>
      </w:r>
    </w:p>
    <w:p w14:paraId="4E7E4D45">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13.2 合同价款构成中应当由财政支付的部分，甲方应当在货物验收合格后的十五个工作日内向国库管理部门申请支付，经国库管理部门审核后直接支付给乙方。</w:t>
      </w:r>
    </w:p>
    <w:p w14:paraId="4420A2B6">
      <w:pPr>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13.3 合同价款构成中应当由甲方自行支付的部分，甲方应当在货物验收合格后十五个工作日内支付。</w:t>
      </w:r>
    </w:p>
    <w:p w14:paraId="33A99B70">
      <w:pPr>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13.4支付合同价</w:t>
      </w:r>
      <w:r>
        <w:rPr>
          <w:rFonts w:hint="eastAsia" w:ascii="宋体" w:hAnsi="宋体"/>
          <w:bCs/>
          <w:color w:val="auto"/>
          <w:sz w:val="21"/>
          <w:szCs w:val="21"/>
          <w:highlight w:val="none"/>
        </w:rPr>
        <w:t>款</w:t>
      </w:r>
      <w:r>
        <w:rPr>
          <w:rFonts w:hint="eastAsia" w:ascii="宋体" w:hAnsi="宋体"/>
          <w:color w:val="auto"/>
          <w:sz w:val="21"/>
          <w:szCs w:val="21"/>
          <w:highlight w:val="none"/>
        </w:rPr>
        <w:t>时，一律不向乙方以外的任何第三方办理付款手续。开户行和账号以签订的政府采购合同为准，如果乙方要求变更，则乙方必须提供加盖了财务专用章、法定代表人签字的证明文件，报经甲方审查同意。</w:t>
      </w:r>
    </w:p>
    <w:p w14:paraId="6DB9E3E3">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13.5 合同价款支付方式</w:t>
      </w:r>
      <w:r>
        <w:rPr>
          <w:rFonts w:hint="eastAsia" w:ascii="宋体" w:hAnsi="宋体"/>
          <w:bCs/>
          <w:color w:val="auto"/>
          <w:sz w:val="21"/>
          <w:szCs w:val="21"/>
          <w:highlight w:val="none"/>
        </w:rPr>
        <w:t>和条件在</w:t>
      </w:r>
      <w:r>
        <w:rPr>
          <w:rFonts w:hint="eastAsia" w:ascii="宋体" w:hAnsi="宋体"/>
          <w:b/>
          <w:color w:val="auto"/>
          <w:sz w:val="21"/>
          <w:szCs w:val="21"/>
          <w:highlight w:val="none"/>
        </w:rPr>
        <w:t>【政府采购合同专用条款】</w:t>
      </w:r>
      <w:r>
        <w:rPr>
          <w:rFonts w:hint="eastAsia" w:ascii="宋体" w:hAnsi="宋体"/>
          <w:color w:val="auto"/>
          <w:sz w:val="21"/>
          <w:szCs w:val="21"/>
          <w:highlight w:val="none"/>
        </w:rPr>
        <w:t>中另有规定。</w:t>
      </w:r>
    </w:p>
    <w:p w14:paraId="7815392F">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bCs/>
          <w:color w:val="auto"/>
          <w:sz w:val="24"/>
          <w:highlight w:val="none"/>
        </w:rPr>
        <w:t>14.</w:t>
      </w:r>
      <w:r>
        <w:rPr>
          <w:rFonts w:hint="eastAsia"/>
          <w:b/>
          <w:color w:val="auto"/>
          <w:sz w:val="24"/>
          <w:highlight w:val="none"/>
        </w:rPr>
        <w:t>乙方应提供的</w:t>
      </w:r>
      <w:r>
        <w:rPr>
          <w:rFonts w:hint="eastAsia" w:ascii="宋体" w:hAnsi="宋体"/>
          <w:b/>
          <w:color w:val="auto"/>
          <w:sz w:val="24"/>
          <w:highlight w:val="none"/>
        </w:rPr>
        <w:t>服务</w:t>
      </w:r>
    </w:p>
    <w:p w14:paraId="2DB2A515">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14.1 乙方应向甲方提交所提供货物的技术文件，包括相应的中文技术文件，如：产品目录、图纸、操作手册、使用说明、维护手册或服务指南。这些文件应包装好随同货物一起发运。</w:t>
      </w:r>
    </w:p>
    <w:p w14:paraId="441E85E3">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14.2 乙方还应提供下列服务：</w:t>
      </w:r>
    </w:p>
    <w:p w14:paraId="418C589C">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（1）货物的现场移动、安装、调试、启动监督及技术支持；</w:t>
      </w:r>
    </w:p>
    <w:p w14:paraId="512D7D2F">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（2）提供货物组装和维修所需的专用工具和辅助材料；</w:t>
      </w:r>
    </w:p>
    <w:p w14:paraId="1F3CA149">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（3）在合同各方商定的一定期限内对所有的货物实施运行监督、维修，但前提条件是该服务并不能免除乙方在质量保证期内所承担的义务；</w:t>
      </w:r>
    </w:p>
    <w:p w14:paraId="540DF6FC">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（4）在制造商或项目现场就货物的安装、启动、运营、维护对甲方操作人员进行培训；</w:t>
      </w:r>
    </w:p>
    <w:p w14:paraId="4C671FE6">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（5）</w:t>
      </w:r>
      <w:r>
        <w:rPr>
          <w:rFonts w:hint="eastAsia" w:ascii="宋体" w:hAnsi="宋体"/>
          <w:b/>
          <w:color w:val="auto"/>
          <w:sz w:val="21"/>
          <w:szCs w:val="21"/>
          <w:highlight w:val="none"/>
        </w:rPr>
        <w:t>【政府采购合同专用条款】</w:t>
      </w:r>
      <w:r>
        <w:rPr>
          <w:rFonts w:hint="eastAsia" w:ascii="宋体" w:hAnsi="宋体"/>
          <w:color w:val="auto"/>
          <w:sz w:val="21"/>
          <w:szCs w:val="21"/>
          <w:highlight w:val="none"/>
        </w:rPr>
        <w:t>规定由乙方提供的其他服务。</w:t>
      </w:r>
    </w:p>
    <w:p w14:paraId="6ED53FD9">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14.3 乙方提供的服务的费用应包含在合同价款中，甲方不再另行支付。</w:t>
      </w:r>
    </w:p>
    <w:p w14:paraId="2938A52F">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15.违约责任</w:t>
      </w:r>
    </w:p>
    <w:p w14:paraId="7420C550">
      <w:pPr>
        <w:adjustRightInd w:val="0"/>
        <w:snapToGrid w:val="0"/>
        <w:spacing w:before="50" w:line="360" w:lineRule="auto"/>
        <w:ind w:firstLine="420" w:firstLineChars="200"/>
        <w:jc w:val="left"/>
        <w:rPr>
          <w:rFonts w:ascii="宋体" w:hAnsi="宋体"/>
          <w:bCs/>
          <w:color w:val="auto"/>
          <w:sz w:val="21"/>
          <w:szCs w:val="21"/>
          <w:highlight w:val="none"/>
        </w:rPr>
      </w:pPr>
      <w:r>
        <w:rPr>
          <w:rFonts w:hint="eastAsia" w:ascii="宋体" w:hAnsi="宋体"/>
          <w:bCs/>
          <w:color w:val="auto"/>
          <w:sz w:val="21"/>
          <w:szCs w:val="21"/>
          <w:highlight w:val="none"/>
        </w:rPr>
        <w:t>15.1质量瑕疵的补救措施和索赔</w:t>
      </w:r>
    </w:p>
    <w:p w14:paraId="1A7CFD1F">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如果乙方提供的产品不符合质量标准或存在产品质量缺陷，而甲方在合同条款第9条或合同的其他条款规定的检验、安装、调试、验收和质量保证期内，根据法定质量检测部门出具的检验证书向乙方提出了索赔，乙方应按照甲方同意的下列一种或几种方式结合起来解决索赔事宜：</w:t>
      </w:r>
    </w:p>
    <w:p w14:paraId="1AA9AA23">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①乙方同意退货并将货款退还给甲方，由此发生的一切费用和损失由乙方承担。</w:t>
      </w:r>
    </w:p>
    <w:p w14:paraId="6D1AB1CB">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②根据货物的质量状况以及甲方所遭受的损失，经过甲乙双方商定降低货物的价格。</w:t>
      </w:r>
    </w:p>
    <w:p w14:paraId="0E7D49A7">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③乙方应在接到甲方通知后七日内负责采用符合合同规定的规格、质量和性能要求的新零件、部件和设备来更换有缺陷的部分或修补缺陷部分，其费用由乙方负担。同时，乙方应在约定的质量保证期基础上相应延长修补和更换件的质量保证期。</w:t>
      </w:r>
    </w:p>
    <w:p w14:paraId="6E5D5ADC">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如果在甲方发出索赔通知后十日内乙方未作答复，上述索赔应视为已被乙方接受。如果乙方未能在甲方发出索赔通知后十日内或甲方同意延长的期限内，按照上述规定的任何一种方法采取补救措施，甲方有权从应付货款中扣除索赔金额或者没收质量保证金，如不足以弥补甲方损失的，甲方有权进一步要求乙方赔偿。</w:t>
      </w:r>
    </w:p>
    <w:p w14:paraId="1CA5339F">
      <w:pPr>
        <w:autoSpaceDE w:val="0"/>
        <w:autoSpaceDN w:val="0"/>
        <w:adjustRightInd w:val="0"/>
        <w:snapToGrid w:val="0"/>
        <w:spacing w:before="50" w:line="360" w:lineRule="auto"/>
        <w:ind w:firstLine="420" w:firstLineChars="200"/>
        <w:jc w:val="left"/>
        <w:rPr>
          <w:rFonts w:ascii="宋体" w:hAnsi="宋体"/>
          <w:bCs/>
          <w:color w:val="auto"/>
          <w:sz w:val="21"/>
          <w:szCs w:val="21"/>
          <w:highlight w:val="none"/>
        </w:rPr>
      </w:pPr>
      <w:r>
        <w:rPr>
          <w:rFonts w:hint="eastAsia" w:ascii="宋体" w:hAnsi="宋体"/>
          <w:bCs/>
          <w:color w:val="auto"/>
          <w:sz w:val="21"/>
          <w:szCs w:val="21"/>
          <w:highlight w:val="none"/>
        </w:rPr>
        <w:t>15.2 迟延交货的违约责任</w:t>
      </w:r>
    </w:p>
    <w:p w14:paraId="7508F646">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乙方应按照本合同规定的时间、地点交货和提供服务。在履行合同过程中，如果乙方遇到可能妨碍按时交货和提供服务的情形时，应及时以书面形式将迟延的事实、可能迟延的期限和理由通知甲方。甲方在收到乙方通知后，应尽快对情况进行评价，并确定是否同意迟延交货时间或延期提供服务。</w:t>
      </w:r>
    </w:p>
    <w:p w14:paraId="7DF78DBB">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（2）除本合同</w:t>
      </w:r>
      <w:r>
        <w:rPr>
          <w:rFonts w:hint="eastAsia" w:ascii="宋体" w:hAnsi="宋体"/>
          <w:bCs/>
          <w:color w:val="auto"/>
          <w:sz w:val="21"/>
          <w:szCs w:val="21"/>
          <w:highlight w:val="none"/>
        </w:rPr>
        <w:t>第20条</w:t>
      </w:r>
      <w:r>
        <w:rPr>
          <w:rFonts w:hint="eastAsia" w:ascii="宋体" w:hAnsi="宋体"/>
          <w:color w:val="auto"/>
          <w:sz w:val="21"/>
          <w:szCs w:val="21"/>
          <w:highlight w:val="none"/>
        </w:rPr>
        <w:t>规定情况外，如果乙方没有按照合同规定的时间交货和提供服务，甲方有权从货款中扣除误期赔偿费而不影响合同项下的其他补救方法，赔偿费按每周（一周按七天计算，不足七日按一周计算）赔偿迟交货物的交货价或延期服务的服务费用的百分之零点五（0.5%）计收，直至交货或提供服务为止。但误期赔偿费的最高限额不超过合同价的百分之五（5%）。一旦达到误期赔偿的最高限额，甲方可以终止合同。</w:t>
      </w:r>
    </w:p>
    <w:p w14:paraId="5E8F0DB7">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3）如果乙方迟延交货，甲方有权终止全部或部分合同，并依其认为适当的条件和方法购买与未交货物类似的货物，乙方应对购买类似货物所超出的那部分费用负责。但是，乙方应继续执行合同中未终止的部分。</w:t>
      </w:r>
    </w:p>
    <w:p w14:paraId="6D5696E1">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16.合同的变更</w:t>
      </w:r>
    </w:p>
    <w:p w14:paraId="377A9025">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16.1 在合同履行过程中，甲、乙双方可就合同履行的时间、地点和方式等协商进行变更。协商一致后，双方应签订书面的补充协议。</w:t>
      </w:r>
    </w:p>
    <w:p w14:paraId="4022A4DE">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16.2 在不改变合同其他条款的前提下，甲方有权在合同价款百分之十的范围内追加与合同标的相同的货物或服务，并就此与乙方签订补充合同，乙方不得拒绝。</w:t>
      </w:r>
    </w:p>
    <w:p w14:paraId="17A73B11">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16.3 除双方签署书面协议，并成为合同不可分割的一部分外，本合同条件不得有任何变更。</w:t>
      </w:r>
    </w:p>
    <w:p w14:paraId="55A19C34">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17.合同中止与终止</w:t>
      </w:r>
    </w:p>
    <w:p w14:paraId="579A6F1E">
      <w:pPr>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17.1合同的中止</w:t>
      </w:r>
    </w:p>
    <w:p w14:paraId="35673E13">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（1）合同在履行过程中，因采购计划调整，甲方可以要求中止履行，待计划确定后继续履行；</w:t>
      </w:r>
    </w:p>
    <w:p w14:paraId="2604001C">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（2）合同履行过程中因供应商就采购过程或结果提起投诉的，甲方认为有必要或财政部门责令中止的，应当中止合同的履行。</w:t>
      </w:r>
    </w:p>
    <w:p w14:paraId="6BA526EA">
      <w:pPr>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17.2合同的终止</w:t>
      </w:r>
    </w:p>
    <w:p w14:paraId="64D0699E">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（1）合同因有效期限届满而终止；</w:t>
      </w:r>
    </w:p>
    <w:p w14:paraId="29A12844">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（2）乙方未能依照本合同约定条件履行合同，已构成根本性违约的，甲方有权终止本合同，并追究乙方的违约责任。</w:t>
      </w:r>
    </w:p>
    <w:p w14:paraId="6CF2770C">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（3）如果乙方丧失履约能力或被宣告破产，甲方可在任何时候以书面形式通知乙方终止合同而不给乙方补偿。</w:t>
      </w:r>
    </w:p>
    <w:p w14:paraId="4BA2381E">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（4）如果乙方在履行合同过程中有不正当竞争行为，甲方有权解除合同，并按《中华人民共和国反不正当竞争法》规定由有关部门追究其法律责任。</w:t>
      </w:r>
    </w:p>
    <w:p w14:paraId="48669AB5">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（5）如果合同的履行将损害国家利益或社会公共利益，甲方有权终止合同的履行，给乙方造成损失的予以相应补偿。</w:t>
      </w:r>
    </w:p>
    <w:p w14:paraId="57A3F7A2">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18.合同转让和分包</w:t>
      </w:r>
    </w:p>
    <w:p w14:paraId="0A0D18CB">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18.1 乙方不得以任何形式将合同转包。</w:t>
      </w:r>
    </w:p>
    <w:p w14:paraId="159389E0">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18.2 乙方未在投标文件中说明，不得将</w:t>
      </w:r>
      <w:r>
        <w:rPr>
          <w:rFonts w:hint="eastAsia" w:ascii="宋体" w:hAnsi="宋体"/>
          <w:bCs/>
          <w:color w:val="auto"/>
          <w:sz w:val="21"/>
          <w:szCs w:val="21"/>
          <w:highlight w:val="none"/>
        </w:rPr>
        <w:t>合同</w:t>
      </w:r>
      <w:r>
        <w:rPr>
          <w:rFonts w:hint="eastAsia" w:ascii="宋体" w:hAnsi="宋体"/>
          <w:color w:val="auto"/>
          <w:sz w:val="21"/>
          <w:szCs w:val="21"/>
          <w:highlight w:val="none"/>
        </w:rPr>
        <w:t>的非主体、非关键性工作分包给他人。</w:t>
      </w:r>
    </w:p>
    <w:p w14:paraId="264D107A">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19.不可抗力</w:t>
      </w:r>
    </w:p>
    <w:p w14:paraId="7998399B">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19.1 不可抗力是指合同双方不可预见、不可避免、不可克服的自然灾害和社会事件。</w:t>
      </w:r>
    </w:p>
    <w:p w14:paraId="20D2B9CC">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19.2 任何一方对由于不可抗力造成的部分或全部不能履行合同不承担违约责任。但迟延履行后发生不可抗力的，不能免除责任。</w:t>
      </w:r>
    </w:p>
    <w:p w14:paraId="6F0A34E9">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19.3 遇有不可抗力的一方，应在三日内将事件的情况以书面形式通知另一方，并在事件发生后十日内，向另一方提交合同不能履行或部分不能履行或需要延期履行理由的报告。</w:t>
      </w:r>
    </w:p>
    <w:p w14:paraId="28F4BF68">
      <w:pPr>
        <w:autoSpaceDE w:val="0"/>
        <w:autoSpaceDN w:val="0"/>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20.解决争议的方法</w:t>
      </w:r>
    </w:p>
    <w:p w14:paraId="4ECB1F4B">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20.1 合同各方应通过友好协商，解决在执行合同过程中所发生的或与合同有关的一切争端。如从协商开始后十日内仍不能解决，可以向财政部门提请调解。</w:t>
      </w:r>
    </w:p>
    <w:p w14:paraId="7F9FFE66">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20.2 调解不成可以向甲方所在地人民法院提起诉讼。</w:t>
      </w:r>
    </w:p>
    <w:p w14:paraId="22180CE2">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20.3 如仲裁或诉讼事项不影响合同其它部分的履行，则在仲裁或诉讼期间，除正在进行仲裁或诉讼的部分外，合同的其它部分应继续执行。</w:t>
      </w:r>
    </w:p>
    <w:p w14:paraId="1425C419">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color w:val="auto"/>
          <w:sz w:val="24"/>
          <w:highlight w:val="none"/>
        </w:rPr>
        <w:t>21.法律适用</w:t>
      </w:r>
    </w:p>
    <w:p w14:paraId="1579323A">
      <w:pPr>
        <w:autoSpaceDE w:val="0"/>
        <w:autoSpaceDN w:val="0"/>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21.1 本合同适用中华人民共和国现行法律、行政法规和规章，如合同条款与法律、行政法规和规章不一致的，按照法律、行政法规和规章修改本合同。</w:t>
      </w:r>
    </w:p>
    <w:p w14:paraId="30985AF9">
      <w:pPr>
        <w:autoSpaceDE w:val="0"/>
        <w:autoSpaceDN w:val="0"/>
        <w:adjustRightInd w:val="0"/>
        <w:snapToGrid w:val="0"/>
        <w:spacing w:before="50" w:line="360" w:lineRule="auto"/>
        <w:jc w:val="left"/>
        <w:rPr>
          <w:rFonts w:ascii="宋体" w:hAnsi="宋体"/>
          <w:b/>
          <w:color w:val="auto"/>
          <w:sz w:val="24"/>
          <w:highlight w:val="none"/>
        </w:rPr>
      </w:pPr>
      <w:r>
        <w:rPr>
          <w:rFonts w:hint="eastAsia" w:ascii="宋体" w:hAnsi="宋体"/>
          <w:b/>
          <w:bCs/>
          <w:color w:val="auto"/>
          <w:sz w:val="24"/>
          <w:highlight w:val="none"/>
        </w:rPr>
        <w:t>22.</w:t>
      </w:r>
      <w:r>
        <w:rPr>
          <w:rFonts w:hint="eastAsia" w:ascii="宋体" w:hAnsi="宋体"/>
          <w:b/>
          <w:color w:val="auto"/>
          <w:sz w:val="24"/>
          <w:highlight w:val="none"/>
        </w:rPr>
        <w:t>通知</w:t>
      </w:r>
    </w:p>
    <w:p w14:paraId="5DB0F7EF">
      <w:pPr>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22.1本合同一方给另一方的通知均应采用书面形式，传真或快递送到本合同中规定的对方的地址和办理签收手续，</w:t>
      </w:r>
    </w:p>
    <w:p w14:paraId="0434CAAA">
      <w:pPr>
        <w:adjustRightInd w:val="0"/>
        <w:snapToGrid w:val="0"/>
        <w:spacing w:before="50" w:line="360" w:lineRule="auto"/>
        <w:ind w:firstLine="420" w:firstLineChars="200"/>
        <w:jc w:val="left"/>
        <w:rPr>
          <w:rFonts w:ascii="宋体" w:hAnsi="宋体"/>
          <w:color w:val="auto"/>
          <w:sz w:val="21"/>
          <w:szCs w:val="21"/>
          <w:highlight w:val="none"/>
        </w:rPr>
      </w:pPr>
      <w:r>
        <w:rPr>
          <w:rFonts w:hint="eastAsia" w:ascii="宋体" w:hAnsi="宋体"/>
          <w:color w:val="auto"/>
          <w:sz w:val="21"/>
          <w:szCs w:val="21"/>
          <w:highlight w:val="none"/>
        </w:rPr>
        <w:t>22.2通知以送到之日或通知书中规定的生效之日起生效，两者中以较迟之日为准。</w:t>
      </w:r>
    </w:p>
    <w:p w14:paraId="7F909F18">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23. 合同未尽事项</w:t>
      </w:r>
    </w:p>
    <w:p w14:paraId="2580CF8B">
      <w:pPr>
        <w:adjustRightInd w:val="0"/>
        <w:snapToGrid w:val="0"/>
        <w:spacing w:before="50" w:line="360" w:lineRule="auto"/>
        <w:ind w:firstLine="420" w:firstLineChars="200"/>
        <w:jc w:val="left"/>
        <w:rPr>
          <w:rFonts w:ascii="宋体" w:hAnsi="宋体"/>
          <w:bCs/>
          <w:color w:val="auto"/>
          <w:sz w:val="21"/>
          <w:szCs w:val="21"/>
          <w:highlight w:val="none"/>
        </w:rPr>
      </w:pPr>
      <w:r>
        <w:rPr>
          <w:rFonts w:hint="eastAsia" w:ascii="宋体" w:hAnsi="宋体"/>
          <w:bCs/>
          <w:color w:val="auto"/>
          <w:sz w:val="21"/>
          <w:szCs w:val="21"/>
          <w:highlight w:val="none"/>
        </w:rPr>
        <w:t>23.1合同未尽事项见</w:t>
      </w:r>
      <w:r>
        <w:rPr>
          <w:rFonts w:hint="eastAsia" w:ascii="宋体" w:hAnsi="宋体"/>
          <w:b/>
          <w:color w:val="auto"/>
          <w:sz w:val="21"/>
          <w:szCs w:val="21"/>
          <w:highlight w:val="none"/>
        </w:rPr>
        <w:t>【政府采购合同专用条款】。</w:t>
      </w:r>
    </w:p>
    <w:p w14:paraId="4A6082CB">
      <w:pPr>
        <w:adjustRightInd w:val="0"/>
        <w:snapToGrid w:val="0"/>
        <w:spacing w:before="50" w:line="360" w:lineRule="auto"/>
        <w:jc w:val="left"/>
        <w:rPr>
          <w:rFonts w:ascii="宋体" w:hAnsi="宋体"/>
          <w:b/>
          <w:bCs/>
          <w:color w:val="auto"/>
          <w:sz w:val="24"/>
          <w:highlight w:val="none"/>
        </w:rPr>
      </w:pPr>
      <w:r>
        <w:rPr>
          <w:rFonts w:hint="eastAsia" w:ascii="宋体" w:hAnsi="宋体"/>
          <w:b/>
          <w:bCs/>
          <w:color w:val="auto"/>
          <w:sz w:val="24"/>
          <w:highlight w:val="none"/>
        </w:rPr>
        <w:t>24.合同生效</w:t>
      </w:r>
    </w:p>
    <w:p w14:paraId="255B3E36">
      <w:pPr>
        <w:autoSpaceDE w:val="0"/>
        <w:autoSpaceDN w:val="0"/>
        <w:adjustRightInd w:val="0"/>
        <w:snapToGrid w:val="0"/>
        <w:spacing w:before="50" w:line="360" w:lineRule="auto"/>
        <w:ind w:firstLine="420" w:firstLineChars="200"/>
        <w:jc w:val="left"/>
        <w:rPr>
          <w:rFonts w:hint="eastAsia"/>
        </w:rPr>
      </w:pPr>
      <w:r>
        <w:rPr>
          <w:rFonts w:hint="eastAsia" w:ascii="宋体" w:hAnsi="宋体"/>
          <w:color w:val="auto"/>
          <w:sz w:val="21"/>
          <w:szCs w:val="21"/>
          <w:highlight w:val="none"/>
        </w:rPr>
        <w:t>24.1 本合同在合同双方签字盖章后生效。</w:t>
      </w:r>
      <w:r>
        <w:rPr>
          <w:rFonts w:ascii="黑体" w:hAnsi="黑体" w:eastAsia="黑体"/>
          <w:b/>
          <w:bCs/>
          <w:color w:val="auto"/>
          <w:sz w:val="32"/>
          <w:highlight w:val="none"/>
        </w:rPr>
        <w:br w:type="page"/>
      </w:r>
    </w:p>
    <w:p w14:paraId="01C0078B">
      <w:pPr>
        <w:pStyle w:val="4"/>
        <w:adjustRightInd w:val="0"/>
        <w:snapToGrid w:val="0"/>
        <w:jc w:val="center"/>
        <w:rPr>
          <w:rFonts w:ascii="黑体" w:hAnsi="华文中宋" w:eastAsia="黑体"/>
          <w:sz w:val="28"/>
          <w:szCs w:val="28"/>
        </w:rPr>
      </w:pPr>
      <w:bookmarkStart w:id="111" w:name="_Toc4583"/>
      <w:bookmarkStart w:id="112" w:name="_Toc31038"/>
      <w:r>
        <w:rPr>
          <w:rFonts w:hint="eastAsia" w:ascii="黑体" w:hAnsi="华文中宋" w:eastAsia="黑体"/>
          <w:sz w:val="28"/>
          <w:szCs w:val="28"/>
        </w:rPr>
        <w:t>第三节 政府采购合同专用条款</w:t>
      </w:r>
      <w:bookmarkEnd w:id="111"/>
      <w:bookmarkEnd w:id="112"/>
    </w:p>
    <w:p w14:paraId="0A8B0E70">
      <w:pPr>
        <w:adjustRightInd w:val="0"/>
        <w:snapToGrid w:val="0"/>
        <w:spacing w:line="360" w:lineRule="auto"/>
        <w:jc w:val="center"/>
        <w:rPr>
          <w:rFonts w:ascii="宋体" w:hAnsi="宋体"/>
          <w:sz w:val="24"/>
        </w:rPr>
      </w:pPr>
    </w:p>
    <w:p w14:paraId="464AE455">
      <w:pPr>
        <w:bidi w:val="0"/>
        <w:ind w:firstLine="480" w:firstLineChars="200"/>
        <w:rPr>
          <w:rFonts w:hint="eastAsia"/>
        </w:rPr>
      </w:pPr>
      <w:bookmarkStart w:id="113" w:name="_Toc23215"/>
      <w:r>
        <w:rPr>
          <w:rFonts w:hint="eastAsia"/>
        </w:rPr>
        <w:t>服务类政府采购合同专用条款参照（</w:t>
      </w:r>
      <w:r>
        <w:rPr>
          <w:rFonts w:hint="eastAsia"/>
          <w:lang w:val="en-US" w:eastAsia="zh-CN"/>
        </w:rPr>
        <w:t>服务</w:t>
      </w:r>
      <w:r>
        <w:rPr>
          <w:rFonts w:hint="eastAsia"/>
        </w:rPr>
        <w:t>类）专用条款的格式和相关内容，根据项目的实际情况，按照服务内容、服务要求、服务期限、服务流程、考核方式等内容进行编制。</w:t>
      </w:r>
      <w:bookmarkEnd w:id="113"/>
    </w:p>
    <w:p w14:paraId="46DE1D55">
      <w:pPr>
        <w:pStyle w:val="25"/>
        <w:adjustRightInd w:val="0"/>
        <w:snapToGrid w:val="0"/>
        <w:spacing w:line="360" w:lineRule="auto"/>
        <w:ind w:firstLine="480" w:firstLineChars="200"/>
        <w:jc w:val="both"/>
        <w:outlineLvl w:val="0"/>
        <w:rPr>
          <w:rFonts w:hint="eastAsia" w:ascii="宋体" w:hAnsi="宋体" w:eastAsia="宋体" w:cs="宋体"/>
          <w:bCs/>
          <w:szCs w:val="21"/>
        </w:rPr>
      </w:pPr>
    </w:p>
    <w:p w14:paraId="405B96B1">
      <w:pPr>
        <w:pStyle w:val="25"/>
        <w:adjustRightInd w:val="0"/>
        <w:snapToGrid w:val="0"/>
        <w:spacing w:line="360" w:lineRule="auto"/>
        <w:ind w:firstLine="480" w:firstLineChars="200"/>
        <w:jc w:val="both"/>
        <w:outlineLvl w:val="0"/>
        <w:rPr>
          <w:rFonts w:hint="eastAsia" w:ascii="宋体" w:hAnsi="宋体" w:eastAsia="宋体" w:cs="宋体"/>
          <w:bCs/>
          <w:szCs w:val="21"/>
        </w:rPr>
      </w:pPr>
    </w:p>
    <w:p w14:paraId="6C8B5C57">
      <w:pPr>
        <w:pStyle w:val="25"/>
        <w:adjustRightInd w:val="0"/>
        <w:snapToGrid w:val="0"/>
        <w:spacing w:line="360" w:lineRule="auto"/>
        <w:ind w:firstLine="480" w:firstLineChars="200"/>
        <w:jc w:val="both"/>
        <w:outlineLvl w:val="0"/>
        <w:rPr>
          <w:rFonts w:hint="eastAsia" w:ascii="宋体" w:hAnsi="宋体" w:eastAsia="宋体" w:cs="宋体"/>
          <w:bCs/>
          <w:szCs w:val="21"/>
        </w:rPr>
      </w:pPr>
    </w:p>
    <w:p w14:paraId="608CC7F0">
      <w:pPr>
        <w:pStyle w:val="25"/>
        <w:adjustRightInd w:val="0"/>
        <w:snapToGrid w:val="0"/>
        <w:spacing w:line="360" w:lineRule="auto"/>
        <w:jc w:val="both"/>
        <w:outlineLvl w:val="0"/>
        <w:rPr>
          <w:rFonts w:hint="eastAsia" w:ascii="宋体" w:hAnsi="宋体" w:eastAsia="宋体" w:cs="宋体"/>
          <w:bCs/>
          <w:szCs w:val="21"/>
        </w:rPr>
      </w:pPr>
    </w:p>
    <w:p w14:paraId="2E2416D4">
      <w:pPr>
        <w:pStyle w:val="25"/>
        <w:adjustRightInd w:val="0"/>
        <w:snapToGrid w:val="0"/>
        <w:spacing w:line="360" w:lineRule="auto"/>
        <w:jc w:val="both"/>
        <w:outlineLvl w:val="0"/>
        <w:rPr>
          <w:rFonts w:hint="eastAsia" w:ascii="宋体" w:hAnsi="宋体" w:eastAsia="宋体" w:cs="宋体"/>
          <w:bCs/>
          <w:szCs w:val="21"/>
        </w:rPr>
      </w:pPr>
    </w:p>
    <w:p w14:paraId="735A98F9">
      <w:pPr>
        <w:pStyle w:val="25"/>
        <w:adjustRightInd w:val="0"/>
        <w:snapToGrid w:val="0"/>
        <w:spacing w:line="360" w:lineRule="auto"/>
        <w:ind w:firstLine="480" w:firstLineChars="200"/>
        <w:jc w:val="both"/>
        <w:outlineLvl w:val="0"/>
        <w:rPr>
          <w:rFonts w:hint="eastAsia" w:ascii="宋体" w:hAnsi="宋体" w:eastAsia="宋体" w:cs="宋体"/>
          <w:bCs/>
          <w:szCs w:val="21"/>
        </w:rPr>
      </w:pPr>
    </w:p>
    <w:p w14:paraId="464D069F">
      <w:pPr>
        <w:jc w:val="center"/>
        <w:rPr>
          <w:rFonts w:ascii="黑体" w:hAnsi="华文中宋" w:eastAsia="黑体"/>
          <w:color w:val="000000"/>
          <w:sz w:val="28"/>
          <w:szCs w:val="28"/>
        </w:rPr>
      </w:pPr>
      <w:r>
        <w:rPr>
          <w:rFonts w:hint="eastAsia" w:ascii="宋体" w:hAnsi="宋体"/>
          <w:b/>
          <w:szCs w:val="21"/>
        </w:rPr>
        <w:t>注：本项目可按照《中华人民共和国民法典》及采购项目特点自行拟定文本确定合同格式。</w:t>
      </w:r>
      <w:r>
        <w:rPr>
          <w:rFonts w:ascii="黑体" w:hAnsi="华文中宋" w:eastAsia="黑体"/>
          <w:color w:val="000000"/>
          <w:sz w:val="28"/>
          <w:szCs w:val="28"/>
        </w:rPr>
        <w:br w:type="page"/>
      </w:r>
    </w:p>
    <w:p w14:paraId="22D88F57">
      <w:pPr>
        <w:adjustRightInd w:val="0"/>
        <w:snapToGrid w:val="0"/>
        <w:spacing w:line="360" w:lineRule="auto"/>
        <w:jc w:val="center"/>
        <w:outlineLvl w:val="0"/>
        <w:rPr>
          <w:rFonts w:ascii="黑体" w:hAnsi="华文中宋" w:eastAsia="黑体" w:cs="Courier New"/>
          <w:b/>
          <w:color w:val="000000"/>
          <w:sz w:val="32"/>
          <w:szCs w:val="32"/>
        </w:rPr>
        <w:sectPr>
          <w:pgSz w:w="11906" w:h="16838"/>
          <w:pgMar w:top="851" w:right="1701" w:bottom="397" w:left="1701" w:header="851" w:footer="992" w:gutter="0"/>
          <w:cols w:space="425" w:num="1"/>
          <w:titlePg/>
          <w:docGrid w:type="lines" w:linePitch="312" w:charSpace="0"/>
        </w:sectPr>
      </w:pPr>
    </w:p>
    <w:p w14:paraId="05A08F0E">
      <w:pPr>
        <w:pStyle w:val="3"/>
        <w:ind w:firstLine="2570" w:firstLineChars="800"/>
        <w:jc w:val="both"/>
        <w:rPr>
          <w:rFonts w:ascii="黑体" w:hAnsi="华文中宋" w:eastAsia="黑体"/>
          <w:b/>
          <w:color w:val="000000"/>
          <w:sz w:val="32"/>
          <w:szCs w:val="32"/>
        </w:rPr>
      </w:pPr>
      <w:bookmarkStart w:id="114" w:name="_Toc15743"/>
      <w:r>
        <w:rPr>
          <w:rFonts w:hint="eastAsia" w:ascii="黑体" w:hAnsi="华文中宋" w:eastAsia="黑体"/>
          <w:color w:val="000000"/>
          <w:sz w:val="32"/>
          <w:szCs w:val="32"/>
        </w:rPr>
        <w:t>第七章 投标文件的组成</w:t>
      </w:r>
      <w:bookmarkEnd w:id="114"/>
    </w:p>
    <w:p w14:paraId="36789E26">
      <w:pPr>
        <w:adjustRightInd w:val="0"/>
        <w:snapToGrid w:val="0"/>
        <w:spacing w:line="360" w:lineRule="auto"/>
        <w:ind w:left="-101" w:leftChars="-42"/>
        <w:jc w:val="center"/>
        <w:rPr>
          <w:b/>
          <w:bCs/>
          <w:color w:val="000000"/>
          <w:sz w:val="32"/>
        </w:rPr>
      </w:pPr>
    </w:p>
    <w:p w14:paraId="24406C3D">
      <w:pPr>
        <w:adjustRightInd w:val="0"/>
        <w:snapToGrid w:val="0"/>
        <w:spacing w:beforeLines="50" w:line="360" w:lineRule="auto"/>
        <w:jc w:val="left"/>
        <w:rPr>
          <w:rFonts w:ascii="宋体" w:hAnsi="宋体"/>
          <w:b/>
          <w:color w:val="000000"/>
          <w:szCs w:val="21"/>
        </w:rPr>
      </w:pPr>
      <w:r>
        <w:rPr>
          <w:rFonts w:hint="eastAsia" w:ascii="宋体" w:hAnsi="宋体"/>
          <w:b/>
          <w:color w:val="000000"/>
          <w:szCs w:val="21"/>
        </w:rPr>
        <w:t>第一部分 资格证明文件</w:t>
      </w:r>
    </w:p>
    <w:p w14:paraId="14FA1067">
      <w:pPr>
        <w:adjustRightInd w:val="0"/>
        <w:snapToGrid w:val="0"/>
        <w:spacing w:beforeLines="50" w:line="360" w:lineRule="auto"/>
        <w:ind w:firstLine="480" w:firstLineChars="200"/>
        <w:jc w:val="left"/>
        <w:rPr>
          <w:rFonts w:hint="eastAsia" w:ascii="宋体" w:hAnsi="宋体"/>
          <w:color w:val="000000"/>
          <w:szCs w:val="21"/>
        </w:rPr>
      </w:pPr>
      <w:r>
        <w:rPr>
          <w:rFonts w:hint="eastAsia" w:ascii="宋体" w:hAnsi="宋体"/>
          <w:color w:val="000000"/>
          <w:szCs w:val="21"/>
        </w:rPr>
        <w:t>一、开标一览表</w:t>
      </w:r>
    </w:p>
    <w:p w14:paraId="0803CC87">
      <w:pPr>
        <w:adjustRightInd w:val="0"/>
        <w:snapToGrid w:val="0"/>
        <w:spacing w:beforeLines="50" w:line="360" w:lineRule="auto"/>
        <w:ind w:firstLine="480" w:firstLineChars="200"/>
        <w:jc w:val="left"/>
        <w:rPr>
          <w:rFonts w:hint="eastAsia" w:ascii="宋体" w:hAnsi="宋体"/>
          <w:color w:val="000000"/>
          <w:szCs w:val="21"/>
        </w:rPr>
      </w:pPr>
      <w:r>
        <w:rPr>
          <w:rFonts w:hint="eastAsia" w:ascii="宋体" w:hAnsi="宋体"/>
          <w:color w:val="000000"/>
          <w:szCs w:val="21"/>
          <w:lang w:val="en-US" w:eastAsia="zh-CN"/>
        </w:rPr>
        <w:t>二</w:t>
      </w:r>
      <w:r>
        <w:rPr>
          <w:rFonts w:hint="eastAsia" w:ascii="宋体" w:hAnsi="宋体"/>
          <w:color w:val="000000"/>
          <w:szCs w:val="21"/>
        </w:rPr>
        <w:t>、法定代表人（单位负责人）身份证明</w:t>
      </w:r>
    </w:p>
    <w:p w14:paraId="67097C37">
      <w:pPr>
        <w:adjustRightInd w:val="0"/>
        <w:snapToGrid w:val="0"/>
        <w:spacing w:beforeLines="50" w:line="360" w:lineRule="auto"/>
        <w:ind w:firstLine="480" w:firstLineChars="200"/>
        <w:jc w:val="left"/>
        <w:rPr>
          <w:rFonts w:ascii="宋体" w:hAnsi="宋体"/>
          <w:color w:val="000000"/>
          <w:szCs w:val="21"/>
        </w:rPr>
      </w:pPr>
      <w:r>
        <w:rPr>
          <w:rFonts w:hint="eastAsia" w:ascii="宋体" w:hAnsi="宋体"/>
          <w:color w:val="000000"/>
          <w:szCs w:val="21"/>
        </w:rPr>
        <w:t>三、法定代表人授权委托书</w:t>
      </w:r>
    </w:p>
    <w:p w14:paraId="203F7808">
      <w:pPr>
        <w:adjustRightInd w:val="0"/>
        <w:snapToGrid w:val="0"/>
        <w:spacing w:beforeLines="50" w:line="360" w:lineRule="auto"/>
        <w:ind w:firstLine="480" w:firstLineChars="200"/>
        <w:jc w:val="left"/>
        <w:rPr>
          <w:rFonts w:ascii="宋体" w:hAnsi="宋体"/>
          <w:color w:val="000000"/>
          <w:szCs w:val="21"/>
        </w:rPr>
      </w:pPr>
      <w:r>
        <w:rPr>
          <w:rFonts w:hint="eastAsia" w:ascii="宋体" w:hAnsi="宋体"/>
          <w:color w:val="000000"/>
          <w:szCs w:val="21"/>
        </w:rPr>
        <w:t>四、投标人提供的资格证明文件</w:t>
      </w:r>
    </w:p>
    <w:p w14:paraId="2E66AD24">
      <w:pPr>
        <w:adjustRightInd w:val="0"/>
        <w:snapToGrid w:val="0"/>
        <w:spacing w:beforeLines="50" w:line="360" w:lineRule="auto"/>
        <w:jc w:val="left"/>
        <w:rPr>
          <w:rFonts w:ascii="宋体" w:hAnsi="宋体"/>
          <w:b/>
          <w:color w:val="000000"/>
          <w:szCs w:val="21"/>
        </w:rPr>
      </w:pPr>
      <w:r>
        <w:rPr>
          <w:rFonts w:hint="eastAsia" w:ascii="宋体" w:hAnsi="宋体"/>
          <w:b/>
          <w:color w:val="000000"/>
          <w:szCs w:val="21"/>
        </w:rPr>
        <w:t>第二部分 商务技术文件</w:t>
      </w:r>
    </w:p>
    <w:p w14:paraId="5C2CBE76">
      <w:pPr>
        <w:adjustRightInd w:val="0"/>
        <w:snapToGrid w:val="0"/>
        <w:spacing w:beforeLines="50" w:line="360" w:lineRule="auto"/>
        <w:ind w:firstLine="480" w:firstLineChars="200"/>
        <w:jc w:val="left"/>
        <w:rPr>
          <w:rFonts w:ascii="宋体" w:hAnsi="宋体"/>
          <w:color w:val="000000"/>
          <w:szCs w:val="21"/>
        </w:rPr>
      </w:pPr>
      <w:r>
        <w:rPr>
          <w:rFonts w:hint="eastAsia" w:ascii="宋体" w:hAnsi="宋体"/>
          <w:color w:val="000000"/>
          <w:szCs w:val="21"/>
        </w:rPr>
        <w:t>五、投标函</w:t>
      </w:r>
    </w:p>
    <w:p w14:paraId="22699292">
      <w:pPr>
        <w:adjustRightInd w:val="0"/>
        <w:snapToGrid w:val="0"/>
        <w:spacing w:beforeLines="50" w:line="360" w:lineRule="auto"/>
        <w:ind w:firstLine="480" w:firstLineChars="200"/>
        <w:jc w:val="left"/>
        <w:rPr>
          <w:rFonts w:ascii="宋体" w:hAnsi="宋体"/>
          <w:color w:val="000000"/>
          <w:szCs w:val="21"/>
        </w:rPr>
      </w:pPr>
      <w:r>
        <w:rPr>
          <w:rFonts w:hint="eastAsia" w:ascii="宋体" w:hAnsi="宋体"/>
          <w:color w:val="000000"/>
          <w:szCs w:val="21"/>
        </w:rPr>
        <w:t>六、分项报价明细表</w:t>
      </w:r>
    </w:p>
    <w:p w14:paraId="68F431EE">
      <w:pPr>
        <w:adjustRightInd w:val="0"/>
        <w:snapToGrid w:val="0"/>
        <w:spacing w:beforeLines="50" w:line="360" w:lineRule="auto"/>
        <w:ind w:firstLine="480" w:firstLineChars="200"/>
        <w:jc w:val="left"/>
        <w:rPr>
          <w:rFonts w:ascii="宋体" w:hAnsi="宋体"/>
          <w:color w:val="000000"/>
          <w:szCs w:val="21"/>
        </w:rPr>
      </w:pPr>
      <w:r>
        <w:rPr>
          <w:rFonts w:hint="eastAsia" w:ascii="宋体" w:hAnsi="宋体"/>
          <w:color w:val="000000"/>
          <w:szCs w:val="21"/>
        </w:rPr>
        <w:t>七、采购需求响应</w:t>
      </w:r>
    </w:p>
    <w:p w14:paraId="6FFA0EFB">
      <w:pPr>
        <w:adjustRightInd w:val="0"/>
        <w:snapToGrid w:val="0"/>
        <w:spacing w:beforeLines="50" w:line="360" w:lineRule="auto"/>
        <w:ind w:firstLine="480" w:firstLineChars="200"/>
        <w:jc w:val="left"/>
        <w:rPr>
          <w:rFonts w:ascii="宋体" w:hAnsi="宋体"/>
          <w:color w:val="000000"/>
          <w:szCs w:val="21"/>
        </w:rPr>
      </w:pPr>
      <w:r>
        <w:rPr>
          <w:rFonts w:hint="eastAsia" w:ascii="宋体" w:hAnsi="宋体"/>
          <w:color w:val="000000"/>
          <w:szCs w:val="21"/>
        </w:rPr>
        <w:t>八、商务、合同条款偏离表</w:t>
      </w:r>
    </w:p>
    <w:p w14:paraId="14D67C55">
      <w:pPr>
        <w:adjustRightInd w:val="0"/>
        <w:snapToGrid w:val="0"/>
        <w:spacing w:beforeLines="50" w:line="360" w:lineRule="auto"/>
        <w:ind w:firstLine="480" w:firstLineChars="200"/>
        <w:jc w:val="left"/>
        <w:rPr>
          <w:rFonts w:ascii="宋体" w:hAnsi="宋体"/>
          <w:color w:val="000000"/>
          <w:szCs w:val="21"/>
        </w:rPr>
      </w:pPr>
      <w:r>
        <w:rPr>
          <w:rFonts w:hint="eastAsia" w:ascii="宋体" w:hAnsi="宋体"/>
          <w:color w:val="000000"/>
          <w:szCs w:val="21"/>
        </w:rPr>
        <w:t>九、采购需求偏离表</w:t>
      </w:r>
    </w:p>
    <w:p w14:paraId="4DABF6CE">
      <w:pPr>
        <w:adjustRightInd w:val="0"/>
        <w:snapToGrid w:val="0"/>
        <w:spacing w:beforeLines="50" w:line="360" w:lineRule="auto"/>
        <w:ind w:firstLine="480" w:firstLineChars="200"/>
        <w:jc w:val="left"/>
        <w:rPr>
          <w:rFonts w:ascii="宋体" w:hAnsi="宋体"/>
          <w:color w:val="000000"/>
          <w:szCs w:val="21"/>
        </w:rPr>
      </w:pPr>
      <w:r>
        <w:rPr>
          <w:rFonts w:hint="eastAsia" w:ascii="宋体" w:hAnsi="宋体"/>
          <w:color w:val="000000"/>
          <w:szCs w:val="21"/>
        </w:rPr>
        <w:t>十、享受政府采购政策优惠的证明资料和清单表</w:t>
      </w:r>
    </w:p>
    <w:p w14:paraId="35EC1E24">
      <w:pPr>
        <w:adjustRightInd w:val="0"/>
        <w:snapToGrid w:val="0"/>
        <w:spacing w:beforeLines="50" w:line="360" w:lineRule="auto"/>
        <w:ind w:firstLine="480" w:firstLineChars="200"/>
        <w:jc w:val="left"/>
        <w:rPr>
          <w:rFonts w:ascii="宋体" w:hAnsi="宋体"/>
          <w:color w:val="000000"/>
          <w:szCs w:val="21"/>
        </w:rPr>
      </w:pPr>
      <w:r>
        <w:rPr>
          <w:rFonts w:hint="eastAsia" w:ascii="宋体" w:hAnsi="宋体"/>
          <w:color w:val="000000"/>
          <w:szCs w:val="21"/>
        </w:rPr>
        <w:t>十一、投标服务符合招标文件规定的证明文件</w:t>
      </w:r>
    </w:p>
    <w:p w14:paraId="58B2621C">
      <w:pPr>
        <w:adjustRightInd w:val="0"/>
        <w:snapToGrid w:val="0"/>
        <w:spacing w:beforeLines="50" w:line="360" w:lineRule="auto"/>
        <w:ind w:firstLine="480" w:firstLineChars="200"/>
        <w:jc w:val="left"/>
        <w:rPr>
          <w:rFonts w:hint="eastAsia" w:ascii="宋体" w:hAnsi="宋体"/>
          <w:color w:val="000000"/>
          <w:szCs w:val="21"/>
        </w:rPr>
      </w:pPr>
      <w:r>
        <w:rPr>
          <w:rFonts w:hint="eastAsia" w:ascii="宋体" w:hAnsi="宋体"/>
          <w:color w:val="000000"/>
          <w:szCs w:val="21"/>
        </w:rPr>
        <w:t>十二、投标人认为需提供的其他资料</w:t>
      </w:r>
    </w:p>
    <w:p w14:paraId="4756169B">
      <w:pPr>
        <w:pStyle w:val="2"/>
        <w:keepNext/>
        <w:keepLines/>
        <w:pageBreakBefore w:val="0"/>
        <w:widowControl w:val="0"/>
        <w:kinsoku/>
        <w:wordWrap/>
        <w:overflowPunct/>
        <w:topLinePunct w:val="0"/>
        <w:autoSpaceDE/>
        <w:autoSpaceDN/>
        <w:bidi w:val="0"/>
        <w:adjustRightInd/>
        <w:snapToGrid/>
        <w:spacing w:before="0" w:after="0" w:line="416" w:lineRule="auto"/>
        <w:ind w:firstLine="480" w:firstLineChars="200"/>
        <w:textAlignment w:val="auto"/>
        <w:rPr>
          <w:rFonts w:hint="default" w:ascii="宋体" w:hAnsi="宋体" w:eastAsia="宋体" w:cs="Times New Roman"/>
          <w:b w:val="0"/>
          <w:bCs w:val="0"/>
          <w:color w:val="000000"/>
          <w:kern w:val="2"/>
          <w:sz w:val="24"/>
          <w:szCs w:val="21"/>
          <w:lang w:val="en-US" w:eastAsia="zh-CN" w:bidi="ar-SA"/>
        </w:rPr>
      </w:pPr>
      <w:r>
        <w:rPr>
          <w:rFonts w:hint="eastAsia" w:ascii="宋体" w:hAnsi="宋体" w:eastAsia="宋体" w:cs="Times New Roman"/>
          <w:b w:val="0"/>
          <w:bCs w:val="0"/>
          <w:color w:val="000000"/>
          <w:kern w:val="2"/>
          <w:sz w:val="24"/>
          <w:szCs w:val="21"/>
          <w:lang w:val="en-US" w:eastAsia="zh-CN" w:bidi="ar-SA"/>
        </w:rPr>
        <w:t>十三、技术部分</w:t>
      </w:r>
    </w:p>
    <w:p w14:paraId="17C9641D">
      <w:pPr>
        <w:adjustRightInd w:val="0"/>
        <w:snapToGrid w:val="0"/>
        <w:spacing w:beforeLines="50" w:line="360" w:lineRule="auto"/>
        <w:ind w:firstLine="480" w:firstLineChars="200"/>
        <w:jc w:val="left"/>
        <w:rPr>
          <w:rFonts w:ascii="宋体" w:hAnsi="宋体"/>
          <w:color w:val="000000"/>
          <w:szCs w:val="21"/>
        </w:rPr>
      </w:pPr>
      <w:r>
        <w:rPr>
          <w:rFonts w:hint="eastAsia" w:ascii="宋体" w:hAnsi="宋体"/>
          <w:color w:val="000000"/>
          <w:szCs w:val="21"/>
        </w:rPr>
        <w:t>注：投标人可编制资格审查索引表、符合性审查索引表、评审索引表，并</w:t>
      </w:r>
      <w:r>
        <w:rPr>
          <w:rFonts w:hint="eastAsia" w:ascii="宋体" w:hAnsi="宋体"/>
          <w:b/>
          <w:color w:val="000000"/>
          <w:szCs w:val="21"/>
        </w:rPr>
        <w:t>将资格审查索引表置于“资格证明文件”的第一页</w:t>
      </w:r>
      <w:r>
        <w:rPr>
          <w:rFonts w:hint="eastAsia" w:ascii="宋体" w:hAnsi="宋体"/>
          <w:color w:val="000000"/>
          <w:szCs w:val="21"/>
        </w:rPr>
        <w:t>，</w:t>
      </w:r>
      <w:r>
        <w:rPr>
          <w:rFonts w:hint="eastAsia" w:ascii="宋体" w:hAnsi="宋体"/>
          <w:b/>
          <w:color w:val="000000"/>
          <w:szCs w:val="21"/>
        </w:rPr>
        <w:t>将符合性审查索引表、评审索引表置于“商务技术文件”的第一、二页</w:t>
      </w:r>
      <w:r>
        <w:rPr>
          <w:rFonts w:hint="eastAsia" w:ascii="宋体" w:hAnsi="宋体"/>
          <w:color w:val="000000"/>
          <w:szCs w:val="21"/>
        </w:rPr>
        <w:t>，以便采购人及采购代理机构资格审查和评标委员会评审。</w:t>
      </w:r>
    </w:p>
    <w:p w14:paraId="034CE87E">
      <w:pPr>
        <w:adjustRightInd w:val="0"/>
        <w:snapToGrid w:val="0"/>
        <w:spacing w:line="360" w:lineRule="auto"/>
        <w:jc w:val="center"/>
        <w:rPr>
          <w:rFonts w:ascii="仿宋_GB2312" w:hAnsi="宋体" w:eastAsia="仿宋_GB2312"/>
          <w:color w:val="000000"/>
          <w:szCs w:val="21"/>
        </w:rPr>
      </w:pPr>
    </w:p>
    <w:p w14:paraId="62154B53">
      <w:pPr>
        <w:adjustRightInd w:val="0"/>
        <w:snapToGrid w:val="0"/>
        <w:spacing w:line="360" w:lineRule="auto"/>
        <w:jc w:val="center"/>
        <w:rPr>
          <w:rFonts w:ascii="黑体" w:eastAsia="黑体"/>
          <w:color w:val="000000"/>
          <w:sz w:val="32"/>
          <w:szCs w:val="32"/>
        </w:rPr>
      </w:pPr>
      <w:r>
        <w:rPr>
          <w:rFonts w:ascii="仿宋_GB2312" w:hAnsi="宋体" w:eastAsia="仿宋_GB2312"/>
          <w:color w:val="000000"/>
          <w:szCs w:val="21"/>
        </w:rPr>
        <w:br w:type="page"/>
      </w:r>
    </w:p>
    <w:p w14:paraId="1E5B0AF5">
      <w:pPr>
        <w:adjustRightInd w:val="0"/>
        <w:snapToGrid w:val="0"/>
        <w:spacing w:line="360" w:lineRule="auto"/>
        <w:rPr>
          <w:rFonts w:ascii="黑体" w:eastAsia="黑体"/>
          <w:color w:val="000000"/>
          <w:sz w:val="32"/>
          <w:szCs w:val="32"/>
        </w:rPr>
      </w:pPr>
    </w:p>
    <w:p w14:paraId="1A6CBF85">
      <w:pPr>
        <w:pStyle w:val="25"/>
        <w:adjustRightInd w:val="0"/>
        <w:snapToGrid w:val="0"/>
        <w:spacing w:line="360" w:lineRule="auto"/>
        <w:jc w:val="center"/>
        <w:rPr>
          <w:rFonts w:hAnsi="宋体"/>
          <w:b/>
          <w:bCs/>
          <w:color w:val="000000"/>
          <w:sz w:val="72"/>
          <w:szCs w:val="72"/>
        </w:rPr>
      </w:pPr>
      <w:r>
        <w:rPr>
          <w:rFonts w:hint="eastAsia" w:hAnsi="宋体"/>
          <w:b/>
          <w:bCs/>
          <w:color w:val="000000"/>
          <w:sz w:val="72"/>
          <w:szCs w:val="72"/>
        </w:rPr>
        <w:t>政府采购</w:t>
      </w:r>
    </w:p>
    <w:p w14:paraId="50902541">
      <w:pPr>
        <w:adjustRightInd w:val="0"/>
        <w:snapToGrid w:val="0"/>
        <w:spacing w:line="360" w:lineRule="auto"/>
        <w:jc w:val="center"/>
        <w:rPr>
          <w:rFonts w:ascii="宋体" w:hAnsi="宋体"/>
          <w:b/>
          <w:bCs/>
          <w:color w:val="000000"/>
          <w:sz w:val="84"/>
          <w:szCs w:val="84"/>
        </w:rPr>
      </w:pPr>
      <w:r>
        <w:rPr>
          <w:rFonts w:hint="eastAsia" w:ascii="宋体" w:hAnsi="宋体"/>
          <w:b/>
          <w:bCs/>
          <w:color w:val="000000"/>
          <w:sz w:val="84"/>
          <w:szCs w:val="84"/>
        </w:rPr>
        <w:t>投 标 文 件</w:t>
      </w:r>
    </w:p>
    <w:p w14:paraId="2C0D9ED6">
      <w:pPr>
        <w:pStyle w:val="4"/>
        <w:adjustRightInd w:val="0"/>
        <w:snapToGrid w:val="0"/>
        <w:jc w:val="center"/>
        <w:rPr>
          <w:rFonts w:ascii="黑体" w:hAnsi="黑体" w:eastAsia="黑体"/>
          <w:color w:val="000000"/>
          <w:sz w:val="44"/>
          <w:szCs w:val="44"/>
        </w:rPr>
      </w:pPr>
      <w:bookmarkStart w:id="115" w:name="_Toc6410"/>
      <w:r>
        <w:rPr>
          <w:rFonts w:hint="eastAsia" w:ascii="黑体" w:hAnsi="黑体" w:eastAsia="黑体"/>
          <w:color w:val="000000"/>
          <w:sz w:val="44"/>
          <w:szCs w:val="44"/>
        </w:rPr>
        <w:t>第一部分 资格证明文件</w:t>
      </w:r>
      <w:bookmarkEnd w:id="115"/>
    </w:p>
    <w:p w14:paraId="7CC41424">
      <w:pPr>
        <w:adjustRightInd w:val="0"/>
        <w:snapToGrid w:val="0"/>
        <w:spacing w:line="360" w:lineRule="auto"/>
        <w:rPr>
          <w:rFonts w:ascii="黑体" w:hAnsi="黑体" w:eastAsia="黑体"/>
          <w:b/>
          <w:color w:val="000000"/>
          <w:sz w:val="32"/>
          <w:szCs w:val="32"/>
        </w:rPr>
      </w:pPr>
    </w:p>
    <w:p w14:paraId="1AF4CE36">
      <w:pPr>
        <w:adjustRightInd w:val="0"/>
        <w:snapToGrid w:val="0"/>
        <w:spacing w:line="360" w:lineRule="auto"/>
        <w:rPr>
          <w:rFonts w:ascii="宋体" w:hAnsi="宋体"/>
          <w:b/>
          <w:color w:val="000000"/>
          <w:sz w:val="30"/>
          <w:szCs w:val="30"/>
        </w:rPr>
      </w:pPr>
    </w:p>
    <w:p w14:paraId="5EC61401">
      <w:pPr>
        <w:pStyle w:val="25"/>
        <w:adjustRightInd w:val="0"/>
        <w:snapToGrid w:val="0"/>
        <w:spacing w:line="360" w:lineRule="auto"/>
        <w:ind w:firstLine="1988" w:firstLineChars="660"/>
        <w:rPr>
          <w:rFonts w:hAnsi="宋体"/>
          <w:b/>
          <w:bCs/>
          <w:color w:val="000000"/>
          <w:sz w:val="30"/>
          <w:szCs w:val="30"/>
          <w:u w:val="single"/>
        </w:rPr>
      </w:pPr>
      <w:r>
        <w:rPr>
          <w:rFonts w:hint="eastAsia" w:hAnsi="宋体"/>
          <w:b/>
          <w:bCs/>
          <w:color w:val="000000"/>
          <w:sz w:val="30"/>
          <w:szCs w:val="30"/>
        </w:rPr>
        <w:t>采购项目名称:</w:t>
      </w:r>
    </w:p>
    <w:p w14:paraId="7446E131">
      <w:pPr>
        <w:pStyle w:val="25"/>
        <w:adjustRightInd w:val="0"/>
        <w:snapToGrid w:val="0"/>
        <w:spacing w:line="360" w:lineRule="auto"/>
        <w:ind w:firstLine="1988" w:firstLineChars="660"/>
        <w:rPr>
          <w:rFonts w:hAnsi="宋体"/>
          <w:b/>
          <w:bCs/>
          <w:color w:val="000000"/>
          <w:sz w:val="30"/>
          <w:szCs w:val="30"/>
        </w:rPr>
      </w:pPr>
      <w:r>
        <w:rPr>
          <w:rFonts w:hint="eastAsia" w:hAnsi="宋体"/>
          <w:b/>
          <w:bCs/>
          <w:color w:val="000000"/>
          <w:sz w:val="30"/>
          <w:szCs w:val="30"/>
        </w:rPr>
        <w:t>采   购   人：</w:t>
      </w:r>
    </w:p>
    <w:p w14:paraId="2BF8531E">
      <w:pPr>
        <w:pStyle w:val="25"/>
        <w:adjustRightInd w:val="0"/>
        <w:snapToGrid w:val="0"/>
        <w:spacing w:line="360" w:lineRule="auto"/>
        <w:ind w:firstLine="1988" w:firstLineChars="660"/>
        <w:rPr>
          <w:rFonts w:hAnsi="宋体"/>
          <w:b/>
          <w:bCs/>
          <w:color w:val="000000"/>
          <w:sz w:val="30"/>
          <w:szCs w:val="30"/>
          <w:u w:val="single"/>
        </w:rPr>
      </w:pPr>
      <w:r>
        <w:rPr>
          <w:rFonts w:hint="eastAsia" w:hAnsi="宋体"/>
          <w:b/>
          <w:bCs/>
          <w:color w:val="000000"/>
          <w:sz w:val="30"/>
          <w:szCs w:val="30"/>
        </w:rPr>
        <w:t>政府采购编号:</w:t>
      </w:r>
    </w:p>
    <w:p w14:paraId="068B1E85">
      <w:pPr>
        <w:pStyle w:val="25"/>
        <w:adjustRightInd w:val="0"/>
        <w:snapToGrid w:val="0"/>
        <w:spacing w:line="360" w:lineRule="auto"/>
        <w:ind w:firstLine="1988" w:firstLineChars="660"/>
        <w:rPr>
          <w:rFonts w:hAnsi="宋体"/>
          <w:b/>
          <w:bCs/>
          <w:color w:val="000000"/>
          <w:sz w:val="30"/>
          <w:szCs w:val="30"/>
          <w:u w:val="single"/>
        </w:rPr>
      </w:pPr>
      <w:r>
        <w:rPr>
          <w:rFonts w:hint="eastAsia" w:hAnsi="宋体"/>
          <w:b/>
          <w:bCs/>
          <w:color w:val="000000"/>
          <w:sz w:val="30"/>
          <w:szCs w:val="30"/>
        </w:rPr>
        <w:t>采购代理编号:</w:t>
      </w:r>
    </w:p>
    <w:p w14:paraId="1EE070CF">
      <w:pPr>
        <w:pStyle w:val="25"/>
        <w:adjustRightInd w:val="0"/>
        <w:snapToGrid w:val="0"/>
        <w:spacing w:line="360" w:lineRule="auto"/>
        <w:ind w:firstLine="1988" w:firstLineChars="660"/>
        <w:rPr>
          <w:rFonts w:hAnsi="宋体"/>
          <w:b/>
          <w:bCs/>
          <w:color w:val="000000"/>
          <w:sz w:val="30"/>
          <w:szCs w:val="30"/>
          <w:u w:val="single"/>
        </w:rPr>
      </w:pPr>
      <w:r>
        <w:rPr>
          <w:rFonts w:hint="eastAsia" w:hAnsi="宋体"/>
          <w:b/>
          <w:bCs/>
          <w:color w:val="000000"/>
          <w:sz w:val="30"/>
          <w:szCs w:val="30"/>
        </w:rPr>
        <w:t>采购代理机构：</w:t>
      </w:r>
    </w:p>
    <w:p w14:paraId="1316B008">
      <w:pPr>
        <w:adjustRightInd w:val="0"/>
        <w:snapToGrid w:val="0"/>
        <w:spacing w:line="360" w:lineRule="auto"/>
        <w:rPr>
          <w:rFonts w:ascii="黑体" w:hAnsi="黑体" w:eastAsia="黑体"/>
          <w:color w:val="000000"/>
          <w:sz w:val="30"/>
          <w:szCs w:val="30"/>
        </w:rPr>
      </w:pPr>
    </w:p>
    <w:p w14:paraId="5778C20D">
      <w:pPr>
        <w:adjustRightInd w:val="0"/>
        <w:snapToGrid w:val="0"/>
        <w:spacing w:line="360" w:lineRule="auto"/>
        <w:jc w:val="center"/>
        <w:rPr>
          <w:rFonts w:ascii="黑体" w:hAnsi="宋体" w:eastAsia="黑体"/>
          <w:color w:val="000000"/>
          <w:sz w:val="30"/>
          <w:szCs w:val="30"/>
        </w:rPr>
      </w:pPr>
    </w:p>
    <w:p w14:paraId="207C2FC3">
      <w:pPr>
        <w:adjustRightInd w:val="0"/>
        <w:snapToGrid w:val="0"/>
        <w:spacing w:line="360" w:lineRule="auto"/>
        <w:rPr>
          <w:rFonts w:ascii="黑体" w:hAnsi="宋体" w:eastAsia="黑体"/>
          <w:color w:val="000000"/>
          <w:sz w:val="30"/>
          <w:szCs w:val="30"/>
        </w:rPr>
      </w:pPr>
    </w:p>
    <w:p w14:paraId="05F34861">
      <w:pPr>
        <w:adjustRightInd w:val="0"/>
        <w:snapToGrid w:val="0"/>
        <w:spacing w:line="360" w:lineRule="auto"/>
        <w:ind w:firstLine="1984" w:firstLineChars="620"/>
        <w:rPr>
          <w:rFonts w:ascii="黑体" w:hAnsi="宋体" w:eastAsia="黑体"/>
          <w:color w:val="000000"/>
          <w:sz w:val="32"/>
          <w:szCs w:val="32"/>
        </w:rPr>
      </w:pPr>
      <w:r>
        <w:rPr>
          <w:rFonts w:hint="eastAsia" w:ascii="黑体" w:hAnsi="宋体" w:eastAsia="黑体"/>
          <w:color w:val="000000"/>
          <w:sz w:val="32"/>
          <w:szCs w:val="32"/>
        </w:rPr>
        <w:t>投标人</w:t>
      </w:r>
    </w:p>
    <w:p w14:paraId="7D1E613A">
      <w:pPr>
        <w:pStyle w:val="44"/>
        <w:ind w:firstLine="640"/>
        <w:rPr>
          <w:rFonts w:ascii="黑体" w:hAnsi="宋体" w:eastAsia="黑体"/>
          <w:color w:val="000000"/>
          <w:sz w:val="32"/>
          <w:szCs w:val="32"/>
        </w:rPr>
      </w:pPr>
    </w:p>
    <w:p w14:paraId="5CDA3918">
      <w:pPr>
        <w:adjustRightInd w:val="0"/>
        <w:snapToGrid w:val="0"/>
        <w:spacing w:line="360" w:lineRule="auto"/>
        <w:rPr>
          <w:rFonts w:ascii="黑体" w:eastAsia="黑体"/>
          <w:color w:val="000000"/>
          <w:sz w:val="28"/>
          <w:szCs w:val="28"/>
        </w:rPr>
      </w:pPr>
      <w:r>
        <w:rPr>
          <w:rFonts w:hint="eastAsia" w:ascii="黑体" w:hAnsi="宋体" w:eastAsia="黑体"/>
          <w:color w:val="000000"/>
          <w:sz w:val="32"/>
          <w:szCs w:val="32"/>
        </w:rPr>
        <w:t xml:space="preserve">                            年  月  日</w:t>
      </w:r>
      <w:r>
        <w:rPr>
          <w:rFonts w:ascii="黑体" w:eastAsia="黑体"/>
          <w:color w:val="000000"/>
          <w:sz w:val="28"/>
          <w:szCs w:val="28"/>
        </w:rPr>
        <w:br w:type="page"/>
      </w:r>
    </w:p>
    <w:p w14:paraId="05533A86">
      <w:pPr>
        <w:bidi w:val="0"/>
        <w:rPr>
          <w:b/>
          <w:bCs/>
        </w:rPr>
      </w:pPr>
      <w:bookmarkStart w:id="116" w:name="_Toc18627"/>
      <w:r>
        <w:rPr>
          <w:rFonts w:hint="eastAsia"/>
          <w:b/>
          <w:bCs/>
        </w:rPr>
        <w:t>索引表1 资格审查索引表</w:t>
      </w:r>
      <w:bookmarkEnd w:id="116"/>
    </w:p>
    <w:p w14:paraId="75B96AC7">
      <w:pPr>
        <w:bidi w:val="0"/>
        <w:jc w:val="center"/>
        <w:rPr>
          <w:b/>
          <w:bCs/>
        </w:rPr>
      </w:pPr>
      <w:r>
        <w:rPr>
          <w:rFonts w:hint="eastAsia"/>
          <w:b/>
          <w:bCs/>
        </w:rPr>
        <w:t>资格审查索引表</w:t>
      </w:r>
    </w:p>
    <w:tbl>
      <w:tblPr>
        <w:tblStyle w:val="45"/>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89"/>
        <w:gridCol w:w="1871"/>
        <w:gridCol w:w="2551"/>
        <w:gridCol w:w="2127"/>
        <w:gridCol w:w="1722"/>
      </w:tblGrid>
      <w:tr w14:paraId="5EED64B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center"/>
          </w:tcPr>
          <w:p w14:paraId="08020029">
            <w:pPr>
              <w:adjustRightInd w:val="0"/>
              <w:snapToGrid w:val="0"/>
              <w:spacing w:beforeLines="50" w:line="360" w:lineRule="auto"/>
              <w:jc w:val="center"/>
              <w:rPr>
                <w:rFonts w:ascii="宋体" w:hAnsi="宋体"/>
                <w:b/>
                <w:color w:val="000000"/>
                <w:kern w:val="0"/>
                <w:szCs w:val="21"/>
              </w:rPr>
            </w:pPr>
            <w:r>
              <w:rPr>
                <w:rFonts w:hint="eastAsia" w:ascii="宋体" w:hAnsi="宋体"/>
                <w:b/>
                <w:color w:val="000000"/>
                <w:kern w:val="0"/>
                <w:szCs w:val="21"/>
              </w:rPr>
              <w:t>序号</w:t>
            </w:r>
          </w:p>
        </w:tc>
        <w:tc>
          <w:tcPr>
            <w:tcW w:w="1871" w:type="dxa"/>
            <w:tcBorders>
              <w:right w:val="single" w:color="auto" w:sz="4" w:space="0"/>
            </w:tcBorders>
            <w:vAlign w:val="center"/>
          </w:tcPr>
          <w:p w14:paraId="0303ACF5">
            <w:pPr>
              <w:adjustRightInd w:val="0"/>
              <w:snapToGrid w:val="0"/>
              <w:spacing w:beforeLines="50" w:line="360" w:lineRule="auto"/>
              <w:jc w:val="center"/>
              <w:rPr>
                <w:rFonts w:ascii="宋体" w:hAnsi="宋体"/>
                <w:b/>
                <w:color w:val="000000"/>
                <w:kern w:val="0"/>
                <w:sz w:val="20"/>
                <w:szCs w:val="21"/>
              </w:rPr>
            </w:pPr>
            <w:r>
              <w:rPr>
                <w:rFonts w:hint="eastAsia" w:ascii="宋体" w:hAnsi="宋体"/>
                <w:b/>
                <w:color w:val="000000"/>
                <w:kern w:val="0"/>
                <w:sz w:val="20"/>
                <w:szCs w:val="21"/>
              </w:rPr>
              <w:t>招标文件条款号</w:t>
            </w:r>
          </w:p>
        </w:tc>
        <w:tc>
          <w:tcPr>
            <w:tcW w:w="2551" w:type="dxa"/>
            <w:tcBorders>
              <w:left w:val="single" w:color="auto" w:sz="4" w:space="0"/>
            </w:tcBorders>
            <w:vAlign w:val="center"/>
          </w:tcPr>
          <w:p w14:paraId="3B8CBEB3">
            <w:pPr>
              <w:adjustRightInd w:val="0"/>
              <w:snapToGrid w:val="0"/>
              <w:spacing w:beforeLines="50" w:line="360" w:lineRule="auto"/>
              <w:jc w:val="center"/>
              <w:rPr>
                <w:rFonts w:ascii="宋体" w:hAnsi="宋体"/>
                <w:b/>
                <w:color w:val="000000"/>
                <w:kern w:val="0"/>
                <w:sz w:val="20"/>
                <w:szCs w:val="21"/>
              </w:rPr>
            </w:pPr>
            <w:r>
              <w:rPr>
                <w:rFonts w:hint="eastAsia" w:ascii="宋体" w:hAnsi="宋体"/>
                <w:b/>
                <w:color w:val="000000"/>
                <w:kern w:val="0"/>
                <w:szCs w:val="21"/>
              </w:rPr>
              <w:t>资格审查标准</w:t>
            </w:r>
          </w:p>
        </w:tc>
        <w:tc>
          <w:tcPr>
            <w:tcW w:w="2127" w:type="dxa"/>
            <w:vAlign w:val="center"/>
          </w:tcPr>
          <w:p w14:paraId="39745724">
            <w:pPr>
              <w:adjustRightInd w:val="0"/>
              <w:snapToGrid w:val="0"/>
              <w:spacing w:beforeLines="50" w:line="360" w:lineRule="auto"/>
              <w:jc w:val="center"/>
              <w:rPr>
                <w:rFonts w:ascii="宋体" w:hAnsi="宋体"/>
                <w:b/>
                <w:color w:val="000000"/>
                <w:kern w:val="0"/>
                <w:szCs w:val="21"/>
              </w:rPr>
            </w:pPr>
            <w:r>
              <w:rPr>
                <w:rFonts w:hint="eastAsia" w:ascii="宋体" w:hAnsi="宋体"/>
                <w:b/>
                <w:color w:val="000000"/>
                <w:kern w:val="0"/>
                <w:szCs w:val="21"/>
              </w:rPr>
              <w:t>证明材料</w:t>
            </w:r>
          </w:p>
        </w:tc>
        <w:tc>
          <w:tcPr>
            <w:tcW w:w="1722" w:type="dxa"/>
            <w:vAlign w:val="center"/>
          </w:tcPr>
          <w:p w14:paraId="4AFABE5C">
            <w:pPr>
              <w:adjustRightInd w:val="0"/>
              <w:snapToGrid w:val="0"/>
              <w:spacing w:beforeLines="50" w:line="360" w:lineRule="auto"/>
              <w:jc w:val="center"/>
              <w:rPr>
                <w:rFonts w:ascii="宋体" w:hAnsi="宋体"/>
                <w:b/>
                <w:color w:val="000000"/>
                <w:kern w:val="0"/>
                <w:sz w:val="20"/>
                <w:szCs w:val="21"/>
              </w:rPr>
            </w:pPr>
            <w:r>
              <w:rPr>
                <w:rFonts w:hint="eastAsia" w:ascii="宋体" w:hAnsi="宋体"/>
                <w:b/>
                <w:color w:val="000000"/>
                <w:kern w:val="0"/>
                <w:szCs w:val="21"/>
              </w:rPr>
              <w:t>投标文件对应内容的册及页码</w:t>
            </w:r>
          </w:p>
        </w:tc>
      </w:tr>
      <w:tr w14:paraId="6A0B878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03A5E34E">
            <w:pPr>
              <w:adjustRightInd w:val="0"/>
              <w:snapToGrid w:val="0"/>
              <w:spacing w:beforeLines="50" w:line="360" w:lineRule="auto"/>
              <w:jc w:val="center"/>
              <w:rPr>
                <w:rFonts w:ascii="宋体" w:hAnsi="宋体"/>
                <w:color w:val="000000"/>
                <w:kern w:val="0"/>
                <w:szCs w:val="21"/>
              </w:rPr>
            </w:pPr>
          </w:p>
        </w:tc>
        <w:tc>
          <w:tcPr>
            <w:tcW w:w="1871" w:type="dxa"/>
            <w:tcBorders>
              <w:right w:val="single" w:color="auto" w:sz="4" w:space="0"/>
            </w:tcBorders>
          </w:tcPr>
          <w:p w14:paraId="05542A53">
            <w:pPr>
              <w:adjustRightInd w:val="0"/>
              <w:snapToGrid w:val="0"/>
              <w:spacing w:beforeLines="50" w:line="360" w:lineRule="auto"/>
              <w:jc w:val="center"/>
              <w:rPr>
                <w:rFonts w:ascii="宋体" w:hAnsi="宋体"/>
                <w:color w:val="000000"/>
                <w:kern w:val="0"/>
                <w:sz w:val="20"/>
                <w:szCs w:val="21"/>
              </w:rPr>
            </w:pPr>
          </w:p>
        </w:tc>
        <w:tc>
          <w:tcPr>
            <w:tcW w:w="2551" w:type="dxa"/>
            <w:tcBorders>
              <w:left w:val="single" w:color="auto" w:sz="4" w:space="0"/>
            </w:tcBorders>
          </w:tcPr>
          <w:p w14:paraId="5EF8E8CA">
            <w:pPr>
              <w:adjustRightInd w:val="0"/>
              <w:snapToGrid w:val="0"/>
              <w:spacing w:beforeLines="50" w:line="360" w:lineRule="auto"/>
              <w:jc w:val="center"/>
              <w:rPr>
                <w:rFonts w:ascii="宋体" w:hAnsi="宋体"/>
                <w:color w:val="000000"/>
                <w:kern w:val="0"/>
                <w:sz w:val="20"/>
                <w:szCs w:val="21"/>
              </w:rPr>
            </w:pPr>
          </w:p>
        </w:tc>
        <w:tc>
          <w:tcPr>
            <w:tcW w:w="2127" w:type="dxa"/>
          </w:tcPr>
          <w:p w14:paraId="0690E3EF">
            <w:pPr>
              <w:adjustRightInd w:val="0"/>
              <w:snapToGrid w:val="0"/>
              <w:spacing w:beforeLines="50" w:line="360" w:lineRule="auto"/>
              <w:jc w:val="center"/>
              <w:rPr>
                <w:rFonts w:ascii="宋体" w:hAnsi="宋体"/>
                <w:color w:val="000000"/>
                <w:kern w:val="0"/>
                <w:szCs w:val="21"/>
              </w:rPr>
            </w:pPr>
          </w:p>
        </w:tc>
        <w:tc>
          <w:tcPr>
            <w:tcW w:w="1722" w:type="dxa"/>
          </w:tcPr>
          <w:p w14:paraId="0C784C9E">
            <w:pPr>
              <w:adjustRightInd w:val="0"/>
              <w:snapToGrid w:val="0"/>
              <w:spacing w:beforeLines="50" w:line="360" w:lineRule="auto"/>
              <w:jc w:val="center"/>
              <w:rPr>
                <w:rFonts w:ascii="宋体" w:hAnsi="宋体"/>
                <w:color w:val="000000"/>
                <w:kern w:val="0"/>
                <w:sz w:val="20"/>
                <w:szCs w:val="21"/>
              </w:rPr>
            </w:pPr>
          </w:p>
        </w:tc>
      </w:tr>
      <w:tr w14:paraId="77F878E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680BBD6B">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02628124">
            <w:pPr>
              <w:adjustRightInd w:val="0"/>
              <w:snapToGrid w:val="0"/>
              <w:spacing w:beforeLines="50" w:line="360" w:lineRule="auto"/>
              <w:jc w:val="center"/>
              <w:rPr>
                <w:rFonts w:ascii="宋体" w:hAnsi="宋体"/>
                <w:color w:val="000000"/>
                <w:kern w:val="0"/>
                <w:sz w:val="20"/>
                <w:szCs w:val="21"/>
              </w:rPr>
            </w:pPr>
          </w:p>
        </w:tc>
        <w:tc>
          <w:tcPr>
            <w:tcW w:w="2551" w:type="dxa"/>
            <w:tcBorders>
              <w:left w:val="single" w:color="auto" w:sz="4" w:space="0"/>
            </w:tcBorders>
          </w:tcPr>
          <w:p w14:paraId="0728E3C8">
            <w:pPr>
              <w:adjustRightInd w:val="0"/>
              <w:snapToGrid w:val="0"/>
              <w:spacing w:beforeLines="50" w:line="360" w:lineRule="auto"/>
              <w:jc w:val="center"/>
              <w:rPr>
                <w:rFonts w:ascii="宋体" w:hAnsi="宋体"/>
                <w:color w:val="000000"/>
                <w:kern w:val="0"/>
                <w:sz w:val="20"/>
                <w:szCs w:val="21"/>
              </w:rPr>
            </w:pPr>
          </w:p>
        </w:tc>
        <w:tc>
          <w:tcPr>
            <w:tcW w:w="2127" w:type="dxa"/>
          </w:tcPr>
          <w:p w14:paraId="7C249A89">
            <w:pPr>
              <w:adjustRightInd w:val="0"/>
              <w:snapToGrid w:val="0"/>
              <w:spacing w:beforeLines="50" w:line="360" w:lineRule="auto"/>
              <w:jc w:val="center"/>
              <w:rPr>
                <w:rFonts w:ascii="宋体" w:hAnsi="宋体"/>
                <w:color w:val="000000"/>
                <w:kern w:val="0"/>
                <w:sz w:val="20"/>
                <w:szCs w:val="21"/>
              </w:rPr>
            </w:pPr>
          </w:p>
        </w:tc>
        <w:tc>
          <w:tcPr>
            <w:tcW w:w="1722" w:type="dxa"/>
          </w:tcPr>
          <w:p w14:paraId="5A7215A2">
            <w:pPr>
              <w:adjustRightInd w:val="0"/>
              <w:snapToGrid w:val="0"/>
              <w:spacing w:beforeLines="50" w:line="360" w:lineRule="auto"/>
              <w:jc w:val="center"/>
              <w:rPr>
                <w:rFonts w:ascii="宋体" w:hAnsi="宋体"/>
                <w:color w:val="000000"/>
                <w:kern w:val="0"/>
                <w:sz w:val="20"/>
                <w:szCs w:val="21"/>
              </w:rPr>
            </w:pPr>
          </w:p>
        </w:tc>
      </w:tr>
      <w:tr w14:paraId="63DB84C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7D72237F">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4FF6C5E4">
            <w:pPr>
              <w:adjustRightInd w:val="0"/>
              <w:snapToGrid w:val="0"/>
              <w:spacing w:beforeLines="50" w:line="360" w:lineRule="auto"/>
              <w:jc w:val="center"/>
              <w:rPr>
                <w:rFonts w:ascii="宋体" w:hAnsi="宋体"/>
                <w:color w:val="000000"/>
                <w:kern w:val="0"/>
                <w:sz w:val="20"/>
                <w:szCs w:val="21"/>
              </w:rPr>
            </w:pPr>
          </w:p>
        </w:tc>
        <w:tc>
          <w:tcPr>
            <w:tcW w:w="2551" w:type="dxa"/>
            <w:tcBorders>
              <w:left w:val="single" w:color="auto" w:sz="4" w:space="0"/>
            </w:tcBorders>
          </w:tcPr>
          <w:p w14:paraId="7B870366">
            <w:pPr>
              <w:adjustRightInd w:val="0"/>
              <w:snapToGrid w:val="0"/>
              <w:spacing w:beforeLines="50" w:line="360" w:lineRule="auto"/>
              <w:jc w:val="center"/>
              <w:rPr>
                <w:rFonts w:ascii="宋体" w:hAnsi="宋体"/>
                <w:color w:val="000000"/>
                <w:kern w:val="0"/>
                <w:sz w:val="20"/>
                <w:szCs w:val="21"/>
              </w:rPr>
            </w:pPr>
          </w:p>
        </w:tc>
        <w:tc>
          <w:tcPr>
            <w:tcW w:w="2127" w:type="dxa"/>
          </w:tcPr>
          <w:p w14:paraId="6C5D7670">
            <w:pPr>
              <w:adjustRightInd w:val="0"/>
              <w:snapToGrid w:val="0"/>
              <w:spacing w:beforeLines="50" w:line="360" w:lineRule="auto"/>
              <w:jc w:val="center"/>
              <w:rPr>
                <w:rFonts w:ascii="宋体" w:hAnsi="宋体"/>
                <w:color w:val="000000"/>
                <w:kern w:val="0"/>
                <w:sz w:val="20"/>
                <w:szCs w:val="21"/>
              </w:rPr>
            </w:pPr>
          </w:p>
        </w:tc>
        <w:tc>
          <w:tcPr>
            <w:tcW w:w="1722" w:type="dxa"/>
          </w:tcPr>
          <w:p w14:paraId="7AD8AB05">
            <w:pPr>
              <w:adjustRightInd w:val="0"/>
              <w:snapToGrid w:val="0"/>
              <w:spacing w:beforeLines="50" w:line="360" w:lineRule="auto"/>
              <w:jc w:val="center"/>
              <w:rPr>
                <w:rFonts w:ascii="宋体" w:hAnsi="宋体"/>
                <w:color w:val="000000"/>
                <w:kern w:val="0"/>
                <w:sz w:val="20"/>
                <w:szCs w:val="21"/>
              </w:rPr>
            </w:pPr>
          </w:p>
        </w:tc>
      </w:tr>
      <w:tr w14:paraId="5199617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5369C4AC">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541E465A">
            <w:pPr>
              <w:adjustRightInd w:val="0"/>
              <w:snapToGrid w:val="0"/>
              <w:spacing w:beforeLines="50" w:line="360" w:lineRule="auto"/>
              <w:jc w:val="center"/>
              <w:rPr>
                <w:rFonts w:ascii="宋体" w:hAnsi="宋体"/>
                <w:color w:val="000000"/>
                <w:kern w:val="0"/>
                <w:sz w:val="20"/>
                <w:szCs w:val="21"/>
              </w:rPr>
            </w:pPr>
          </w:p>
        </w:tc>
        <w:tc>
          <w:tcPr>
            <w:tcW w:w="2551" w:type="dxa"/>
            <w:tcBorders>
              <w:left w:val="single" w:color="auto" w:sz="4" w:space="0"/>
            </w:tcBorders>
          </w:tcPr>
          <w:p w14:paraId="0F51EAD5">
            <w:pPr>
              <w:adjustRightInd w:val="0"/>
              <w:snapToGrid w:val="0"/>
              <w:spacing w:beforeLines="50" w:line="360" w:lineRule="auto"/>
              <w:jc w:val="center"/>
              <w:rPr>
                <w:rFonts w:ascii="宋体" w:hAnsi="宋体"/>
                <w:color w:val="000000"/>
                <w:kern w:val="0"/>
                <w:sz w:val="20"/>
                <w:szCs w:val="21"/>
              </w:rPr>
            </w:pPr>
          </w:p>
        </w:tc>
        <w:tc>
          <w:tcPr>
            <w:tcW w:w="2127" w:type="dxa"/>
          </w:tcPr>
          <w:p w14:paraId="7DF9A887">
            <w:pPr>
              <w:adjustRightInd w:val="0"/>
              <w:snapToGrid w:val="0"/>
              <w:spacing w:beforeLines="50" w:line="360" w:lineRule="auto"/>
              <w:jc w:val="center"/>
              <w:rPr>
                <w:rFonts w:ascii="宋体" w:hAnsi="宋体"/>
                <w:color w:val="000000"/>
                <w:kern w:val="0"/>
                <w:sz w:val="20"/>
                <w:szCs w:val="21"/>
              </w:rPr>
            </w:pPr>
          </w:p>
        </w:tc>
        <w:tc>
          <w:tcPr>
            <w:tcW w:w="1722" w:type="dxa"/>
          </w:tcPr>
          <w:p w14:paraId="22625F0D">
            <w:pPr>
              <w:adjustRightInd w:val="0"/>
              <w:snapToGrid w:val="0"/>
              <w:spacing w:beforeLines="50" w:line="360" w:lineRule="auto"/>
              <w:jc w:val="center"/>
              <w:rPr>
                <w:rFonts w:ascii="宋体" w:hAnsi="宋体"/>
                <w:color w:val="000000"/>
                <w:kern w:val="0"/>
                <w:sz w:val="20"/>
                <w:szCs w:val="21"/>
              </w:rPr>
            </w:pPr>
          </w:p>
        </w:tc>
      </w:tr>
      <w:tr w14:paraId="6C683A5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6C1C235A">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44D3B01A">
            <w:pPr>
              <w:adjustRightInd w:val="0"/>
              <w:snapToGrid w:val="0"/>
              <w:spacing w:beforeLines="50" w:line="360" w:lineRule="auto"/>
              <w:jc w:val="center"/>
              <w:rPr>
                <w:rFonts w:ascii="宋体" w:hAnsi="宋体"/>
                <w:color w:val="000000"/>
                <w:kern w:val="0"/>
                <w:sz w:val="20"/>
                <w:szCs w:val="21"/>
              </w:rPr>
            </w:pPr>
          </w:p>
        </w:tc>
        <w:tc>
          <w:tcPr>
            <w:tcW w:w="2551" w:type="dxa"/>
            <w:tcBorders>
              <w:left w:val="single" w:color="auto" w:sz="4" w:space="0"/>
            </w:tcBorders>
          </w:tcPr>
          <w:p w14:paraId="2BEA16DE">
            <w:pPr>
              <w:adjustRightInd w:val="0"/>
              <w:snapToGrid w:val="0"/>
              <w:spacing w:beforeLines="50" w:line="360" w:lineRule="auto"/>
              <w:jc w:val="center"/>
              <w:rPr>
                <w:rFonts w:ascii="宋体" w:hAnsi="宋体"/>
                <w:color w:val="000000"/>
                <w:kern w:val="0"/>
                <w:sz w:val="20"/>
                <w:szCs w:val="21"/>
              </w:rPr>
            </w:pPr>
          </w:p>
        </w:tc>
        <w:tc>
          <w:tcPr>
            <w:tcW w:w="2127" w:type="dxa"/>
          </w:tcPr>
          <w:p w14:paraId="315E7BC9">
            <w:pPr>
              <w:adjustRightInd w:val="0"/>
              <w:snapToGrid w:val="0"/>
              <w:spacing w:beforeLines="50" w:line="360" w:lineRule="auto"/>
              <w:jc w:val="center"/>
              <w:rPr>
                <w:rFonts w:ascii="宋体" w:hAnsi="宋体"/>
                <w:color w:val="000000"/>
                <w:kern w:val="0"/>
                <w:sz w:val="20"/>
                <w:szCs w:val="21"/>
              </w:rPr>
            </w:pPr>
          </w:p>
        </w:tc>
        <w:tc>
          <w:tcPr>
            <w:tcW w:w="1722" w:type="dxa"/>
          </w:tcPr>
          <w:p w14:paraId="7ED63E50">
            <w:pPr>
              <w:adjustRightInd w:val="0"/>
              <w:snapToGrid w:val="0"/>
              <w:spacing w:beforeLines="50" w:line="360" w:lineRule="auto"/>
              <w:jc w:val="center"/>
              <w:rPr>
                <w:rFonts w:ascii="宋体" w:hAnsi="宋体"/>
                <w:color w:val="000000"/>
                <w:kern w:val="0"/>
                <w:sz w:val="20"/>
                <w:szCs w:val="21"/>
              </w:rPr>
            </w:pPr>
          </w:p>
        </w:tc>
      </w:tr>
      <w:tr w14:paraId="4D1071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7B574FB5">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258AE2BD">
            <w:pPr>
              <w:adjustRightInd w:val="0"/>
              <w:snapToGrid w:val="0"/>
              <w:spacing w:beforeLines="50" w:line="360" w:lineRule="auto"/>
              <w:jc w:val="center"/>
              <w:rPr>
                <w:rFonts w:ascii="宋体" w:hAnsi="宋体"/>
                <w:color w:val="000000"/>
                <w:kern w:val="0"/>
                <w:sz w:val="20"/>
                <w:szCs w:val="21"/>
              </w:rPr>
            </w:pPr>
          </w:p>
        </w:tc>
        <w:tc>
          <w:tcPr>
            <w:tcW w:w="2551" w:type="dxa"/>
            <w:tcBorders>
              <w:left w:val="single" w:color="auto" w:sz="4" w:space="0"/>
            </w:tcBorders>
          </w:tcPr>
          <w:p w14:paraId="4DAA7AFD">
            <w:pPr>
              <w:adjustRightInd w:val="0"/>
              <w:snapToGrid w:val="0"/>
              <w:spacing w:beforeLines="50" w:line="360" w:lineRule="auto"/>
              <w:jc w:val="center"/>
              <w:rPr>
                <w:rFonts w:ascii="宋体" w:hAnsi="宋体"/>
                <w:color w:val="000000"/>
                <w:kern w:val="0"/>
                <w:sz w:val="20"/>
                <w:szCs w:val="21"/>
              </w:rPr>
            </w:pPr>
          </w:p>
        </w:tc>
        <w:tc>
          <w:tcPr>
            <w:tcW w:w="2127" w:type="dxa"/>
          </w:tcPr>
          <w:p w14:paraId="183D6E4B">
            <w:pPr>
              <w:adjustRightInd w:val="0"/>
              <w:snapToGrid w:val="0"/>
              <w:spacing w:beforeLines="50" w:line="360" w:lineRule="auto"/>
              <w:jc w:val="center"/>
              <w:rPr>
                <w:rFonts w:ascii="宋体" w:hAnsi="宋体"/>
                <w:color w:val="000000"/>
                <w:kern w:val="0"/>
                <w:sz w:val="20"/>
                <w:szCs w:val="21"/>
              </w:rPr>
            </w:pPr>
          </w:p>
        </w:tc>
        <w:tc>
          <w:tcPr>
            <w:tcW w:w="1722" w:type="dxa"/>
          </w:tcPr>
          <w:p w14:paraId="0AE16AA5">
            <w:pPr>
              <w:adjustRightInd w:val="0"/>
              <w:snapToGrid w:val="0"/>
              <w:spacing w:beforeLines="50" w:line="360" w:lineRule="auto"/>
              <w:jc w:val="center"/>
              <w:rPr>
                <w:rFonts w:ascii="宋体" w:hAnsi="宋体"/>
                <w:color w:val="000000"/>
                <w:kern w:val="0"/>
                <w:sz w:val="20"/>
                <w:szCs w:val="21"/>
              </w:rPr>
            </w:pPr>
          </w:p>
        </w:tc>
      </w:tr>
      <w:tr w14:paraId="7176427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6532324D">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30D0BA8A">
            <w:pPr>
              <w:adjustRightInd w:val="0"/>
              <w:snapToGrid w:val="0"/>
              <w:spacing w:beforeLines="50" w:line="360" w:lineRule="auto"/>
              <w:jc w:val="center"/>
              <w:rPr>
                <w:rFonts w:ascii="宋体" w:hAnsi="宋体"/>
                <w:color w:val="000000"/>
                <w:kern w:val="0"/>
                <w:sz w:val="20"/>
                <w:szCs w:val="21"/>
              </w:rPr>
            </w:pPr>
          </w:p>
        </w:tc>
        <w:tc>
          <w:tcPr>
            <w:tcW w:w="2551" w:type="dxa"/>
            <w:tcBorders>
              <w:left w:val="single" w:color="auto" w:sz="4" w:space="0"/>
            </w:tcBorders>
          </w:tcPr>
          <w:p w14:paraId="43E79389">
            <w:pPr>
              <w:adjustRightInd w:val="0"/>
              <w:snapToGrid w:val="0"/>
              <w:spacing w:beforeLines="50" w:line="360" w:lineRule="auto"/>
              <w:jc w:val="center"/>
              <w:rPr>
                <w:rFonts w:ascii="宋体" w:hAnsi="宋体"/>
                <w:color w:val="000000"/>
                <w:kern w:val="0"/>
                <w:sz w:val="20"/>
                <w:szCs w:val="21"/>
              </w:rPr>
            </w:pPr>
          </w:p>
        </w:tc>
        <w:tc>
          <w:tcPr>
            <w:tcW w:w="2127" w:type="dxa"/>
          </w:tcPr>
          <w:p w14:paraId="63B3FA4E">
            <w:pPr>
              <w:adjustRightInd w:val="0"/>
              <w:snapToGrid w:val="0"/>
              <w:spacing w:beforeLines="50" w:line="360" w:lineRule="auto"/>
              <w:jc w:val="center"/>
              <w:rPr>
                <w:rFonts w:ascii="宋体" w:hAnsi="宋体"/>
                <w:color w:val="000000"/>
                <w:kern w:val="0"/>
                <w:sz w:val="20"/>
                <w:szCs w:val="21"/>
              </w:rPr>
            </w:pPr>
          </w:p>
        </w:tc>
        <w:tc>
          <w:tcPr>
            <w:tcW w:w="1722" w:type="dxa"/>
          </w:tcPr>
          <w:p w14:paraId="3B70082A">
            <w:pPr>
              <w:adjustRightInd w:val="0"/>
              <w:snapToGrid w:val="0"/>
              <w:spacing w:beforeLines="50" w:line="360" w:lineRule="auto"/>
              <w:jc w:val="center"/>
              <w:rPr>
                <w:rFonts w:ascii="宋体" w:hAnsi="宋体"/>
                <w:color w:val="000000"/>
                <w:kern w:val="0"/>
                <w:sz w:val="20"/>
                <w:szCs w:val="21"/>
              </w:rPr>
            </w:pPr>
          </w:p>
        </w:tc>
      </w:tr>
      <w:tr w14:paraId="1E35D7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0C920085">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51B3433C">
            <w:pPr>
              <w:adjustRightInd w:val="0"/>
              <w:snapToGrid w:val="0"/>
              <w:spacing w:beforeLines="50" w:line="360" w:lineRule="auto"/>
              <w:jc w:val="center"/>
              <w:rPr>
                <w:rFonts w:ascii="宋体" w:hAnsi="宋体"/>
                <w:color w:val="000000"/>
                <w:kern w:val="0"/>
                <w:sz w:val="20"/>
                <w:szCs w:val="21"/>
              </w:rPr>
            </w:pPr>
          </w:p>
        </w:tc>
        <w:tc>
          <w:tcPr>
            <w:tcW w:w="2551" w:type="dxa"/>
            <w:tcBorders>
              <w:left w:val="single" w:color="auto" w:sz="4" w:space="0"/>
            </w:tcBorders>
          </w:tcPr>
          <w:p w14:paraId="1E023F9E">
            <w:pPr>
              <w:adjustRightInd w:val="0"/>
              <w:snapToGrid w:val="0"/>
              <w:spacing w:beforeLines="50" w:line="360" w:lineRule="auto"/>
              <w:jc w:val="center"/>
              <w:rPr>
                <w:rFonts w:ascii="宋体" w:hAnsi="宋体"/>
                <w:color w:val="000000"/>
                <w:kern w:val="0"/>
                <w:sz w:val="20"/>
                <w:szCs w:val="21"/>
              </w:rPr>
            </w:pPr>
          </w:p>
        </w:tc>
        <w:tc>
          <w:tcPr>
            <w:tcW w:w="2127" w:type="dxa"/>
          </w:tcPr>
          <w:p w14:paraId="32E45EC6">
            <w:pPr>
              <w:adjustRightInd w:val="0"/>
              <w:snapToGrid w:val="0"/>
              <w:spacing w:beforeLines="50" w:line="360" w:lineRule="auto"/>
              <w:jc w:val="center"/>
              <w:rPr>
                <w:rFonts w:ascii="宋体" w:hAnsi="宋体"/>
                <w:color w:val="000000"/>
                <w:kern w:val="0"/>
                <w:sz w:val="20"/>
                <w:szCs w:val="21"/>
              </w:rPr>
            </w:pPr>
          </w:p>
        </w:tc>
        <w:tc>
          <w:tcPr>
            <w:tcW w:w="1722" w:type="dxa"/>
          </w:tcPr>
          <w:p w14:paraId="48BE9616">
            <w:pPr>
              <w:adjustRightInd w:val="0"/>
              <w:snapToGrid w:val="0"/>
              <w:spacing w:beforeLines="50" w:line="360" w:lineRule="auto"/>
              <w:jc w:val="center"/>
              <w:rPr>
                <w:rFonts w:ascii="宋体" w:hAnsi="宋体"/>
                <w:color w:val="000000"/>
                <w:kern w:val="0"/>
                <w:sz w:val="20"/>
                <w:szCs w:val="21"/>
              </w:rPr>
            </w:pPr>
          </w:p>
        </w:tc>
      </w:tr>
      <w:tr w14:paraId="0CD47E3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5A8179C4">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13D58BB7">
            <w:pPr>
              <w:adjustRightInd w:val="0"/>
              <w:snapToGrid w:val="0"/>
              <w:spacing w:beforeLines="50" w:line="360" w:lineRule="auto"/>
              <w:jc w:val="center"/>
              <w:rPr>
                <w:rFonts w:ascii="宋体" w:hAnsi="宋体"/>
                <w:color w:val="000000"/>
                <w:kern w:val="0"/>
                <w:sz w:val="20"/>
                <w:szCs w:val="21"/>
              </w:rPr>
            </w:pPr>
          </w:p>
        </w:tc>
        <w:tc>
          <w:tcPr>
            <w:tcW w:w="2551" w:type="dxa"/>
            <w:tcBorders>
              <w:left w:val="single" w:color="auto" w:sz="4" w:space="0"/>
            </w:tcBorders>
          </w:tcPr>
          <w:p w14:paraId="600B3999">
            <w:pPr>
              <w:adjustRightInd w:val="0"/>
              <w:snapToGrid w:val="0"/>
              <w:spacing w:beforeLines="50" w:line="360" w:lineRule="auto"/>
              <w:jc w:val="center"/>
              <w:rPr>
                <w:rFonts w:ascii="宋体" w:hAnsi="宋体"/>
                <w:color w:val="000000"/>
                <w:kern w:val="0"/>
                <w:sz w:val="20"/>
                <w:szCs w:val="21"/>
              </w:rPr>
            </w:pPr>
          </w:p>
        </w:tc>
        <w:tc>
          <w:tcPr>
            <w:tcW w:w="2127" w:type="dxa"/>
          </w:tcPr>
          <w:p w14:paraId="17308929">
            <w:pPr>
              <w:adjustRightInd w:val="0"/>
              <w:snapToGrid w:val="0"/>
              <w:spacing w:beforeLines="50" w:line="360" w:lineRule="auto"/>
              <w:jc w:val="center"/>
              <w:rPr>
                <w:rFonts w:ascii="宋体" w:hAnsi="宋体"/>
                <w:color w:val="000000"/>
                <w:kern w:val="0"/>
                <w:sz w:val="20"/>
                <w:szCs w:val="21"/>
              </w:rPr>
            </w:pPr>
          </w:p>
        </w:tc>
        <w:tc>
          <w:tcPr>
            <w:tcW w:w="1722" w:type="dxa"/>
          </w:tcPr>
          <w:p w14:paraId="37C5B595">
            <w:pPr>
              <w:adjustRightInd w:val="0"/>
              <w:snapToGrid w:val="0"/>
              <w:spacing w:beforeLines="50" w:line="360" w:lineRule="auto"/>
              <w:jc w:val="center"/>
              <w:rPr>
                <w:rFonts w:ascii="宋体" w:hAnsi="宋体"/>
                <w:color w:val="000000"/>
                <w:kern w:val="0"/>
                <w:sz w:val="20"/>
                <w:szCs w:val="21"/>
              </w:rPr>
            </w:pPr>
          </w:p>
        </w:tc>
      </w:tr>
      <w:tr w14:paraId="599554C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3193483C">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0E752715">
            <w:pPr>
              <w:adjustRightInd w:val="0"/>
              <w:snapToGrid w:val="0"/>
              <w:spacing w:beforeLines="50" w:line="360" w:lineRule="auto"/>
              <w:jc w:val="center"/>
              <w:rPr>
                <w:rFonts w:ascii="宋体" w:hAnsi="宋体"/>
                <w:color w:val="000000"/>
                <w:kern w:val="0"/>
                <w:sz w:val="20"/>
                <w:szCs w:val="21"/>
              </w:rPr>
            </w:pPr>
          </w:p>
        </w:tc>
        <w:tc>
          <w:tcPr>
            <w:tcW w:w="2551" w:type="dxa"/>
            <w:tcBorders>
              <w:left w:val="single" w:color="auto" w:sz="4" w:space="0"/>
            </w:tcBorders>
          </w:tcPr>
          <w:p w14:paraId="05C47DDD">
            <w:pPr>
              <w:adjustRightInd w:val="0"/>
              <w:snapToGrid w:val="0"/>
              <w:spacing w:beforeLines="50" w:line="360" w:lineRule="auto"/>
              <w:jc w:val="center"/>
              <w:rPr>
                <w:rFonts w:ascii="宋体" w:hAnsi="宋体"/>
                <w:color w:val="000000"/>
                <w:kern w:val="0"/>
                <w:sz w:val="20"/>
                <w:szCs w:val="21"/>
              </w:rPr>
            </w:pPr>
          </w:p>
        </w:tc>
        <w:tc>
          <w:tcPr>
            <w:tcW w:w="2127" w:type="dxa"/>
          </w:tcPr>
          <w:p w14:paraId="75688550">
            <w:pPr>
              <w:adjustRightInd w:val="0"/>
              <w:snapToGrid w:val="0"/>
              <w:spacing w:beforeLines="50" w:line="360" w:lineRule="auto"/>
              <w:jc w:val="center"/>
              <w:rPr>
                <w:rFonts w:ascii="宋体" w:hAnsi="宋体"/>
                <w:color w:val="000000"/>
                <w:kern w:val="0"/>
                <w:sz w:val="20"/>
                <w:szCs w:val="21"/>
              </w:rPr>
            </w:pPr>
          </w:p>
        </w:tc>
        <w:tc>
          <w:tcPr>
            <w:tcW w:w="1722" w:type="dxa"/>
          </w:tcPr>
          <w:p w14:paraId="04D5525D">
            <w:pPr>
              <w:adjustRightInd w:val="0"/>
              <w:snapToGrid w:val="0"/>
              <w:spacing w:beforeLines="50" w:line="360" w:lineRule="auto"/>
              <w:jc w:val="center"/>
              <w:rPr>
                <w:rFonts w:ascii="宋体" w:hAnsi="宋体"/>
                <w:color w:val="000000"/>
                <w:kern w:val="0"/>
                <w:sz w:val="20"/>
                <w:szCs w:val="21"/>
              </w:rPr>
            </w:pPr>
          </w:p>
        </w:tc>
      </w:tr>
      <w:tr w14:paraId="5B92F0A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789" w:type="dxa"/>
          </w:tcPr>
          <w:p w14:paraId="3DC6BB3A">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15D87659">
            <w:pPr>
              <w:adjustRightInd w:val="0"/>
              <w:snapToGrid w:val="0"/>
              <w:spacing w:beforeLines="50" w:line="360" w:lineRule="auto"/>
              <w:jc w:val="center"/>
              <w:rPr>
                <w:rFonts w:ascii="宋体" w:hAnsi="宋体"/>
                <w:color w:val="000000"/>
                <w:kern w:val="0"/>
                <w:sz w:val="20"/>
                <w:szCs w:val="21"/>
              </w:rPr>
            </w:pPr>
          </w:p>
        </w:tc>
        <w:tc>
          <w:tcPr>
            <w:tcW w:w="2551" w:type="dxa"/>
            <w:tcBorders>
              <w:left w:val="single" w:color="auto" w:sz="4" w:space="0"/>
            </w:tcBorders>
          </w:tcPr>
          <w:p w14:paraId="28BD7D66">
            <w:pPr>
              <w:adjustRightInd w:val="0"/>
              <w:snapToGrid w:val="0"/>
              <w:spacing w:beforeLines="50" w:line="360" w:lineRule="auto"/>
              <w:jc w:val="center"/>
              <w:rPr>
                <w:rFonts w:ascii="宋体" w:hAnsi="宋体"/>
                <w:color w:val="000000"/>
                <w:kern w:val="0"/>
                <w:sz w:val="20"/>
                <w:szCs w:val="21"/>
              </w:rPr>
            </w:pPr>
          </w:p>
        </w:tc>
        <w:tc>
          <w:tcPr>
            <w:tcW w:w="2127" w:type="dxa"/>
          </w:tcPr>
          <w:p w14:paraId="7459E639">
            <w:pPr>
              <w:adjustRightInd w:val="0"/>
              <w:snapToGrid w:val="0"/>
              <w:spacing w:beforeLines="50" w:line="360" w:lineRule="auto"/>
              <w:jc w:val="center"/>
              <w:rPr>
                <w:rFonts w:ascii="宋体" w:hAnsi="宋体"/>
                <w:color w:val="000000"/>
                <w:kern w:val="0"/>
                <w:sz w:val="20"/>
                <w:szCs w:val="21"/>
              </w:rPr>
            </w:pPr>
          </w:p>
        </w:tc>
        <w:tc>
          <w:tcPr>
            <w:tcW w:w="1722" w:type="dxa"/>
          </w:tcPr>
          <w:p w14:paraId="2B6C4AE8">
            <w:pPr>
              <w:adjustRightInd w:val="0"/>
              <w:snapToGrid w:val="0"/>
              <w:spacing w:beforeLines="50" w:line="360" w:lineRule="auto"/>
              <w:jc w:val="center"/>
              <w:rPr>
                <w:rFonts w:ascii="宋体" w:hAnsi="宋体"/>
                <w:color w:val="000000"/>
                <w:kern w:val="0"/>
                <w:sz w:val="20"/>
                <w:szCs w:val="21"/>
              </w:rPr>
            </w:pPr>
          </w:p>
        </w:tc>
      </w:tr>
    </w:tbl>
    <w:p w14:paraId="4C9C703F">
      <w:r>
        <w:br w:type="page"/>
      </w:r>
    </w:p>
    <w:p w14:paraId="3A516513">
      <w:pPr>
        <w:pStyle w:val="2"/>
        <w:numPr>
          <w:ilvl w:val="0"/>
          <w:numId w:val="4"/>
        </w:numPr>
        <w:adjustRightInd w:val="0"/>
        <w:snapToGrid w:val="0"/>
        <w:spacing w:before="0" w:after="0" w:line="360" w:lineRule="auto"/>
        <w:jc w:val="center"/>
        <w:rPr>
          <w:rFonts w:ascii="黑体" w:hAnsi="宋体" w:eastAsia="黑体"/>
          <w:color w:val="000000"/>
          <w:sz w:val="28"/>
          <w:szCs w:val="28"/>
        </w:rPr>
      </w:pPr>
      <w:bookmarkStart w:id="117" w:name="_Toc14022"/>
      <w:bookmarkStart w:id="118" w:name="_Toc32498"/>
      <w:r>
        <w:rPr>
          <w:rFonts w:hint="eastAsia" w:ascii="黑体" w:hAnsi="宋体" w:eastAsia="黑体"/>
          <w:color w:val="000000"/>
          <w:sz w:val="28"/>
          <w:szCs w:val="28"/>
        </w:rPr>
        <w:t>开标一览表</w:t>
      </w:r>
      <w:bookmarkEnd w:id="117"/>
      <w:bookmarkEnd w:id="118"/>
    </w:p>
    <w:p w14:paraId="71A918B1">
      <w:pPr>
        <w:pStyle w:val="63"/>
      </w:pPr>
    </w:p>
    <w:p w14:paraId="58B75899">
      <w:pPr>
        <w:adjustRightInd w:val="0"/>
        <w:snapToGrid w:val="0"/>
        <w:spacing w:line="360" w:lineRule="auto"/>
        <w:rPr>
          <w:rFonts w:hint="eastAsia" w:ascii="宋体" w:hAnsi="宋体"/>
          <w:szCs w:val="21"/>
          <w:u w:val="single"/>
        </w:rPr>
      </w:pPr>
      <w:r>
        <w:rPr>
          <w:rFonts w:hint="eastAsia" w:ascii="宋体" w:hAnsi="宋体"/>
          <w:szCs w:val="21"/>
        </w:rPr>
        <w:t>政府采购编号：</w:t>
      </w:r>
      <w:r>
        <w:rPr>
          <w:rFonts w:hint="eastAsia" w:ascii="宋体" w:hAnsi="宋体"/>
          <w:szCs w:val="21"/>
          <w:u w:val="single"/>
        </w:rPr>
        <w:t xml:space="preserve">               </w:t>
      </w:r>
      <w:r>
        <w:rPr>
          <w:rFonts w:hint="eastAsia" w:ascii="宋体" w:hAnsi="宋体"/>
          <w:szCs w:val="21"/>
        </w:rPr>
        <w:t xml:space="preserve">                   项目名称：</w:t>
      </w:r>
      <w:r>
        <w:rPr>
          <w:rFonts w:hint="eastAsia" w:ascii="宋体" w:hAnsi="宋体"/>
          <w:szCs w:val="21"/>
          <w:u w:val="single"/>
        </w:rPr>
        <w:t xml:space="preserve">                </w:t>
      </w:r>
    </w:p>
    <w:tbl>
      <w:tblPr>
        <w:tblStyle w:val="45"/>
        <w:tblW w:w="8823"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5670"/>
        <w:gridCol w:w="1587"/>
        <w:gridCol w:w="1566"/>
      </w:tblGrid>
      <w:tr w14:paraId="3AC5EAC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723" w:hRule="atLeast"/>
        </w:trPr>
        <w:tc>
          <w:tcPr>
            <w:tcW w:w="5670" w:type="dxa"/>
            <w:noWrap w:val="0"/>
            <w:vAlign w:val="center"/>
          </w:tcPr>
          <w:p w14:paraId="7BAA6239">
            <w:pPr>
              <w:adjustRightInd w:val="0"/>
              <w:snapToGrid w:val="0"/>
              <w:spacing w:line="360" w:lineRule="auto"/>
              <w:jc w:val="center"/>
              <w:rPr>
                <w:rFonts w:ascii="宋体" w:hAnsi="宋体"/>
                <w:b/>
                <w:kern w:val="0"/>
                <w:sz w:val="20"/>
                <w:szCs w:val="21"/>
              </w:rPr>
            </w:pPr>
            <w:r>
              <w:rPr>
                <w:rFonts w:hint="eastAsia" w:ascii="宋体" w:hAnsi="宋体"/>
                <w:b/>
                <w:kern w:val="0"/>
                <w:szCs w:val="21"/>
              </w:rPr>
              <w:t>投标报价</w:t>
            </w:r>
          </w:p>
        </w:tc>
        <w:tc>
          <w:tcPr>
            <w:tcW w:w="1587" w:type="dxa"/>
            <w:noWrap w:val="0"/>
            <w:vAlign w:val="center"/>
          </w:tcPr>
          <w:p w14:paraId="7D78CBBF">
            <w:pPr>
              <w:adjustRightInd w:val="0"/>
              <w:snapToGrid w:val="0"/>
              <w:spacing w:line="360" w:lineRule="auto"/>
              <w:jc w:val="center"/>
              <w:rPr>
                <w:rFonts w:ascii="宋体" w:hAnsi="宋体"/>
                <w:b/>
                <w:kern w:val="0"/>
                <w:szCs w:val="21"/>
              </w:rPr>
            </w:pPr>
            <w:r>
              <w:rPr>
                <w:rFonts w:hint="eastAsia" w:ascii="宋体" w:hAnsi="宋体"/>
                <w:b/>
                <w:kern w:val="0"/>
              </w:rPr>
              <w:t>服务期限</w:t>
            </w:r>
          </w:p>
        </w:tc>
        <w:tc>
          <w:tcPr>
            <w:tcW w:w="1566" w:type="dxa"/>
            <w:noWrap w:val="0"/>
            <w:vAlign w:val="center"/>
          </w:tcPr>
          <w:p w14:paraId="127F4F36">
            <w:pPr>
              <w:adjustRightInd w:val="0"/>
              <w:snapToGrid w:val="0"/>
              <w:spacing w:line="360" w:lineRule="auto"/>
              <w:jc w:val="center"/>
              <w:rPr>
                <w:rFonts w:hint="eastAsia" w:ascii="宋体" w:hAnsi="宋体"/>
                <w:b/>
                <w:kern w:val="0"/>
                <w:szCs w:val="21"/>
              </w:rPr>
            </w:pPr>
            <w:r>
              <w:rPr>
                <w:rFonts w:hint="eastAsia" w:ascii="宋体" w:hAnsi="宋体"/>
                <w:b/>
                <w:kern w:val="0"/>
                <w:szCs w:val="21"/>
              </w:rPr>
              <w:t>其他内容</w:t>
            </w:r>
          </w:p>
        </w:tc>
      </w:tr>
      <w:tr w14:paraId="7F7629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PrEx>
        <w:trPr>
          <w:trHeight w:val="723" w:hRule="atLeast"/>
        </w:trPr>
        <w:tc>
          <w:tcPr>
            <w:tcW w:w="5670" w:type="dxa"/>
            <w:noWrap w:val="0"/>
            <w:vAlign w:val="center"/>
          </w:tcPr>
          <w:p w14:paraId="08CCF462">
            <w:pPr>
              <w:adjustRightInd w:val="0"/>
              <w:snapToGrid w:val="0"/>
              <w:spacing w:line="360" w:lineRule="auto"/>
              <w:jc w:val="center"/>
              <w:rPr>
                <w:rFonts w:ascii="宋体" w:hAnsi="宋体"/>
                <w:kern w:val="0"/>
                <w:szCs w:val="21"/>
              </w:rPr>
            </w:pPr>
            <w:r>
              <w:rPr>
                <w:rFonts w:hint="eastAsia" w:ascii="宋体" w:hAnsi="宋体"/>
                <w:kern w:val="0"/>
                <w:szCs w:val="21"/>
              </w:rPr>
              <w:t>小写金额：</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kern w:val="0"/>
                <w:sz w:val="20"/>
                <w:szCs w:val="21"/>
              </w:rPr>
              <w:t>人民币元</w:t>
            </w:r>
            <w:r>
              <w:rPr>
                <w:rFonts w:hint="eastAsia" w:ascii="宋体" w:hAnsi="宋体"/>
                <w:kern w:val="0"/>
                <w:szCs w:val="21"/>
              </w:rPr>
              <w:t>）</w:t>
            </w:r>
          </w:p>
          <w:p w14:paraId="789A0449">
            <w:pPr>
              <w:adjustRightInd w:val="0"/>
              <w:snapToGrid w:val="0"/>
              <w:spacing w:line="360" w:lineRule="auto"/>
              <w:jc w:val="center"/>
              <w:rPr>
                <w:rFonts w:ascii="宋体" w:hAnsi="宋体"/>
                <w:kern w:val="0"/>
                <w:szCs w:val="21"/>
                <w:u w:val="single"/>
              </w:rPr>
            </w:pPr>
            <w:r>
              <w:rPr>
                <w:rFonts w:hint="eastAsia" w:ascii="宋体" w:hAnsi="宋体"/>
                <w:kern w:val="0"/>
                <w:szCs w:val="21"/>
              </w:rPr>
              <w:t>大写金额：</w:t>
            </w:r>
            <w:r>
              <w:rPr>
                <w:rFonts w:hint="eastAsia" w:ascii="宋体" w:hAnsi="宋体"/>
                <w:kern w:val="0"/>
                <w:szCs w:val="21"/>
                <w:u w:val="single"/>
              </w:rPr>
              <w:t xml:space="preserve">                </w:t>
            </w:r>
            <w:r>
              <w:rPr>
                <w:rFonts w:hint="eastAsia" w:ascii="宋体" w:hAnsi="宋体"/>
                <w:kern w:val="0"/>
                <w:szCs w:val="21"/>
              </w:rPr>
              <w:t>（</w:t>
            </w:r>
            <w:r>
              <w:rPr>
                <w:rFonts w:hint="eastAsia" w:ascii="宋体" w:hAnsi="宋体"/>
                <w:kern w:val="0"/>
                <w:sz w:val="20"/>
                <w:szCs w:val="21"/>
              </w:rPr>
              <w:t>人民币元</w:t>
            </w:r>
            <w:r>
              <w:rPr>
                <w:rFonts w:hint="eastAsia" w:ascii="宋体" w:hAnsi="宋体"/>
                <w:kern w:val="0"/>
                <w:szCs w:val="21"/>
              </w:rPr>
              <w:t>）</w:t>
            </w:r>
          </w:p>
          <w:p w14:paraId="5ECDACE8">
            <w:pPr>
              <w:adjustRightInd w:val="0"/>
              <w:snapToGrid w:val="0"/>
              <w:spacing w:line="360" w:lineRule="auto"/>
              <w:jc w:val="center"/>
              <w:rPr>
                <w:rFonts w:ascii="宋体" w:hAnsi="宋体"/>
                <w:kern w:val="0"/>
                <w:sz w:val="20"/>
                <w:szCs w:val="21"/>
              </w:rPr>
            </w:pPr>
            <w:r>
              <w:rPr>
                <w:rFonts w:hint="eastAsia" w:ascii="宋体" w:hAnsi="宋体"/>
                <w:kern w:val="0"/>
                <w:szCs w:val="21"/>
              </w:rPr>
              <w:t>（</w:t>
            </w:r>
            <w:r>
              <w:rPr>
                <w:rFonts w:hint="eastAsia" w:ascii="黑体" w:hAnsi="黑体" w:eastAsia="黑体"/>
                <w:kern w:val="0"/>
                <w:sz w:val="24"/>
              </w:rPr>
              <w:t>大写金额与小写金额不一致时，以大写金额为准</w:t>
            </w:r>
            <w:r>
              <w:rPr>
                <w:rFonts w:hint="eastAsia" w:ascii="宋体" w:hAnsi="宋体"/>
                <w:kern w:val="0"/>
                <w:szCs w:val="21"/>
              </w:rPr>
              <w:t>）</w:t>
            </w:r>
          </w:p>
        </w:tc>
        <w:tc>
          <w:tcPr>
            <w:tcW w:w="1587" w:type="dxa"/>
            <w:noWrap w:val="0"/>
            <w:vAlign w:val="center"/>
          </w:tcPr>
          <w:p w14:paraId="32A1340D">
            <w:pPr>
              <w:adjustRightInd w:val="0"/>
              <w:snapToGrid w:val="0"/>
              <w:spacing w:line="360" w:lineRule="auto"/>
              <w:jc w:val="center"/>
              <w:rPr>
                <w:rFonts w:ascii="宋体" w:hAnsi="宋体"/>
                <w:kern w:val="0"/>
                <w:szCs w:val="21"/>
              </w:rPr>
            </w:pPr>
          </w:p>
        </w:tc>
        <w:tc>
          <w:tcPr>
            <w:tcW w:w="1566" w:type="dxa"/>
            <w:noWrap w:val="0"/>
            <w:vAlign w:val="center"/>
          </w:tcPr>
          <w:p w14:paraId="66490316">
            <w:pPr>
              <w:adjustRightInd w:val="0"/>
              <w:snapToGrid w:val="0"/>
              <w:spacing w:line="360" w:lineRule="auto"/>
              <w:jc w:val="center"/>
              <w:rPr>
                <w:rFonts w:ascii="宋体" w:hAnsi="宋体"/>
                <w:kern w:val="0"/>
                <w:szCs w:val="21"/>
              </w:rPr>
            </w:pPr>
          </w:p>
        </w:tc>
      </w:tr>
    </w:tbl>
    <w:p w14:paraId="74BE08DC">
      <w:pPr>
        <w:adjustRightInd w:val="0"/>
        <w:snapToGrid w:val="0"/>
        <w:spacing w:line="360" w:lineRule="auto"/>
        <w:rPr>
          <w:rFonts w:ascii="宋体" w:hAnsi="宋体"/>
          <w:szCs w:val="21"/>
        </w:rPr>
      </w:pPr>
      <w:r>
        <w:rPr>
          <w:rFonts w:hint="eastAsia" w:ascii="宋体" w:hAnsi="宋体"/>
          <w:bCs/>
          <w:szCs w:val="21"/>
        </w:rPr>
        <w:t>注：</w:t>
      </w:r>
      <w:r>
        <w:rPr>
          <w:rFonts w:hint="eastAsia" w:ascii="宋体" w:hAnsi="宋体"/>
          <w:szCs w:val="21"/>
        </w:rPr>
        <w:t>1.本表须按包填写，一个“包号”一份。</w:t>
      </w:r>
    </w:p>
    <w:p w14:paraId="5354D62F">
      <w:pPr>
        <w:adjustRightInd w:val="0"/>
        <w:snapToGrid w:val="0"/>
        <w:spacing w:line="360" w:lineRule="auto"/>
        <w:ind w:firstLine="480" w:firstLineChars="200"/>
        <w:rPr>
          <w:rFonts w:ascii="宋体" w:hAnsi="宋体"/>
          <w:szCs w:val="21"/>
        </w:rPr>
      </w:pPr>
      <w:r>
        <w:rPr>
          <w:rFonts w:hint="eastAsia" w:ascii="宋体" w:hAnsi="宋体"/>
          <w:szCs w:val="21"/>
        </w:rPr>
        <w:t>2.</w:t>
      </w:r>
      <w:r>
        <w:rPr>
          <w:rFonts w:hint="eastAsia" w:ascii="宋体" w:hAnsi="宋体"/>
        </w:rPr>
        <w:t>投标人对采购项目内容只允许有一个投标报价，否则其</w:t>
      </w:r>
      <w:r>
        <w:rPr>
          <w:rFonts w:hint="eastAsia" w:ascii="宋体" w:hAnsi="宋体"/>
          <w:b/>
        </w:rPr>
        <w:t>投标无效</w:t>
      </w:r>
      <w:r>
        <w:rPr>
          <w:rFonts w:hint="eastAsia" w:ascii="宋体" w:hAnsi="宋体"/>
          <w:szCs w:val="21"/>
        </w:rPr>
        <w:t>。</w:t>
      </w:r>
    </w:p>
    <w:p w14:paraId="416072DF">
      <w:pPr>
        <w:adjustRightInd w:val="0"/>
        <w:snapToGrid w:val="0"/>
        <w:spacing w:line="360" w:lineRule="auto"/>
        <w:ind w:firstLine="480" w:firstLineChars="200"/>
        <w:jc w:val="left"/>
        <w:rPr>
          <w:rFonts w:ascii="宋体" w:hAnsi="宋体"/>
        </w:rPr>
      </w:pPr>
      <w:r>
        <w:rPr>
          <w:rFonts w:hint="eastAsia" w:ascii="宋体" w:hAnsi="宋体"/>
          <w:szCs w:val="21"/>
        </w:rPr>
        <w:t>3.</w:t>
      </w:r>
      <w:r>
        <w:rPr>
          <w:rFonts w:hint="eastAsia" w:ascii="宋体" w:hAnsi="宋体"/>
        </w:rPr>
        <w:t>投标人在投标截止时间前修改“开标一览表”中的投标报价的，应同时修改投标文件“分项报价明细表”“享受政府采购政策优惠的证明资料”以及“联合体协议书”（如果影响）等相关内容。</w:t>
      </w:r>
    </w:p>
    <w:p w14:paraId="26FE5A9A">
      <w:pPr>
        <w:adjustRightInd w:val="0"/>
        <w:snapToGrid w:val="0"/>
        <w:spacing w:line="360" w:lineRule="auto"/>
        <w:ind w:firstLine="480" w:firstLineChars="200"/>
        <w:rPr>
          <w:rFonts w:ascii="宋体" w:hAnsi="宋体"/>
          <w:szCs w:val="21"/>
        </w:rPr>
      </w:pPr>
    </w:p>
    <w:p w14:paraId="23273A7D">
      <w:pPr>
        <w:adjustRightInd w:val="0"/>
        <w:snapToGrid w:val="0"/>
        <w:spacing w:line="360" w:lineRule="auto"/>
        <w:ind w:firstLine="480" w:firstLineChars="200"/>
        <w:rPr>
          <w:rFonts w:ascii="宋体" w:hAnsi="宋体"/>
          <w:szCs w:val="21"/>
        </w:rPr>
      </w:pPr>
    </w:p>
    <w:p w14:paraId="6359FBD2">
      <w:pPr>
        <w:adjustRightInd w:val="0"/>
        <w:snapToGrid w:val="0"/>
        <w:spacing w:line="360" w:lineRule="auto"/>
        <w:rPr>
          <w:rFonts w:ascii="宋体" w:hAnsi="宋体"/>
          <w:szCs w:val="21"/>
        </w:rPr>
      </w:pPr>
    </w:p>
    <w:p w14:paraId="7D91841B">
      <w:pPr>
        <w:adjustRightInd w:val="0"/>
        <w:snapToGrid w:val="0"/>
        <w:spacing w:line="360" w:lineRule="auto"/>
        <w:rPr>
          <w:rFonts w:ascii="宋体" w:hAnsi="宋体"/>
          <w:szCs w:val="21"/>
        </w:rPr>
      </w:pPr>
      <w:r>
        <w:rPr>
          <w:rFonts w:hint="eastAsia" w:ascii="宋体" w:hAnsi="宋体"/>
          <w:szCs w:val="21"/>
        </w:rPr>
        <w:t>投标人名称（盖单位章）：</w:t>
      </w:r>
    </w:p>
    <w:p w14:paraId="417F1D8E">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r>
        <w:rPr>
          <w:rFonts w:hint="eastAsia" w:ascii="宋体" w:hAnsi="宋体"/>
          <w:szCs w:val="21"/>
          <w:u w:val="single"/>
        </w:rPr>
        <w:t xml:space="preserve">                </w:t>
      </w:r>
      <w:r>
        <w:rPr>
          <w:rFonts w:hint="eastAsia" w:ascii="宋体" w:hAnsi="宋体"/>
          <w:szCs w:val="21"/>
        </w:rPr>
        <w:t>_</w:t>
      </w:r>
    </w:p>
    <w:p w14:paraId="6558172E">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r>
        <w:rPr>
          <w:rFonts w:hint="eastAsia" w:ascii="宋体" w:hAnsi="宋体"/>
          <w:color w:val="000000"/>
          <w:szCs w:val="21"/>
        </w:rPr>
        <w:br w:type="page"/>
      </w:r>
    </w:p>
    <w:p w14:paraId="5E64C1E8">
      <w:pPr>
        <w:pStyle w:val="2"/>
        <w:numPr>
          <w:ilvl w:val="0"/>
          <w:numId w:val="0"/>
        </w:numPr>
        <w:adjustRightInd w:val="0"/>
        <w:snapToGrid w:val="0"/>
        <w:spacing w:before="0" w:after="0" w:line="360" w:lineRule="auto"/>
        <w:jc w:val="both"/>
        <w:rPr>
          <w:rFonts w:hint="eastAsia" w:ascii="黑体" w:hAnsi="宋体" w:eastAsia="黑体"/>
          <w:color w:val="000000"/>
          <w:sz w:val="28"/>
          <w:szCs w:val="28"/>
        </w:rPr>
      </w:pPr>
      <w:bookmarkStart w:id="119" w:name="_Toc20651246"/>
      <w:bookmarkStart w:id="120" w:name="_Toc20307"/>
      <w:r>
        <w:rPr>
          <w:rFonts w:hint="eastAsia" w:ascii="黑体" w:hAnsi="宋体" w:eastAsia="黑体"/>
          <w:color w:val="000000"/>
          <w:sz w:val="28"/>
          <w:szCs w:val="28"/>
          <w:lang w:val="en-US" w:eastAsia="zh-CN"/>
        </w:rPr>
        <w:t>二</w:t>
      </w:r>
      <w:r>
        <w:rPr>
          <w:rFonts w:hint="eastAsia" w:ascii="黑体" w:hAnsi="宋体" w:eastAsia="黑体"/>
          <w:color w:val="000000"/>
          <w:sz w:val="28"/>
          <w:szCs w:val="28"/>
        </w:rPr>
        <w:t>、法定代表人（单位负责人）身份证明</w:t>
      </w:r>
      <w:bookmarkEnd w:id="119"/>
      <w:bookmarkEnd w:id="120"/>
    </w:p>
    <w:p w14:paraId="2DABEEA6">
      <w:pPr>
        <w:tabs>
          <w:tab w:val="left" w:pos="3880"/>
        </w:tabs>
        <w:autoSpaceDE w:val="0"/>
        <w:autoSpaceDN w:val="0"/>
        <w:adjustRightInd w:val="0"/>
        <w:snapToGrid w:val="0"/>
        <w:spacing w:line="360" w:lineRule="auto"/>
        <w:ind w:left="100" w:right="-20"/>
        <w:jc w:val="left"/>
        <w:rPr>
          <w:rFonts w:ascii="宋体" w:hAnsi="宋体" w:cs="微软雅黑"/>
          <w:kern w:val="0"/>
          <w:position w:val="-4"/>
          <w:szCs w:val="21"/>
        </w:rPr>
      </w:pPr>
    </w:p>
    <w:p w14:paraId="4603240F">
      <w:pPr>
        <w:tabs>
          <w:tab w:val="left" w:pos="3880"/>
        </w:tabs>
        <w:autoSpaceDE w:val="0"/>
        <w:autoSpaceDN w:val="0"/>
        <w:adjustRightInd w:val="0"/>
        <w:snapToGrid w:val="0"/>
        <w:spacing w:line="360" w:lineRule="auto"/>
        <w:ind w:left="100" w:right="-20"/>
        <w:jc w:val="left"/>
        <w:rPr>
          <w:rFonts w:ascii="宋体" w:hAnsi="宋体" w:cs="微软雅黑"/>
          <w:kern w:val="0"/>
          <w:szCs w:val="21"/>
        </w:rPr>
      </w:pPr>
      <w:r>
        <w:rPr>
          <w:rFonts w:hint="eastAsia" w:ascii="宋体" w:hAnsi="宋体" w:cs="微软雅黑"/>
          <w:kern w:val="0"/>
          <w:position w:val="-4"/>
          <w:szCs w:val="21"/>
        </w:rPr>
        <w:t>投标</w:t>
      </w:r>
      <w:r>
        <w:rPr>
          <w:rFonts w:hint="eastAsia" w:ascii="宋体" w:hAnsi="宋体" w:cs="微软雅黑"/>
          <w:spacing w:val="-2"/>
          <w:kern w:val="0"/>
          <w:position w:val="-4"/>
          <w:szCs w:val="21"/>
        </w:rPr>
        <w:t>人</w:t>
      </w:r>
      <w:r>
        <w:rPr>
          <w:rFonts w:hint="eastAsia" w:ascii="宋体" w:hAnsi="宋体" w:cs="微软雅黑"/>
          <w:kern w:val="0"/>
          <w:position w:val="-4"/>
          <w:szCs w:val="21"/>
        </w:rPr>
        <w:t>名</w:t>
      </w:r>
      <w:r>
        <w:rPr>
          <w:rFonts w:hint="eastAsia" w:ascii="宋体" w:hAnsi="宋体" w:cs="微软雅黑"/>
          <w:spacing w:val="-2"/>
          <w:kern w:val="0"/>
          <w:position w:val="-4"/>
          <w:szCs w:val="21"/>
        </w:rPr>
        <w:t>称</w:t>
      </w:r>
      <w:r>
        <w:rPr>
          <w:rFonts w:hint="eastAsia" w:ascii="宋体" w:hAnsi="宋体" w:cs="微软雅黑"/>
          <w:kern w:val="0"/>
          <w:position w:val="-4"/>
          <w:szCs w:val="21"/>
        </w:rPr>
        <w:t>：</w:t>
      </w:r>
      <w:r>
        <w:rPr>
          <w:rFonts w:hint="eastAsia" w:ascii="宋体" w:hAnsi="宋体"/>
          <w:szCs w:val="21"/>
          <w:u w:val="single"/>
        </w:rPr>
        <w:t xml:space="preserve">                 </w:t>
      </w:r>
    </w:p>
    <w:p w14:paraId="30204C15">
      <w:pPr>
        <w:tabs>
          <w:tab w:val="left" w:pos="2400"/>
          <w:tab w:val="left" w:pos="3880"/>
          <w:tab w:val="left" w:pos="5340"/>
          <w:tab w:val="left" w:pos="6820"/>
        </w:tabs>
        <w:autoSpaceDE w:val="0"/>
        <w:autoSpaceDN w:val="0"/>
        <w:adjustRightInd w:val="0"/>
        <w:snapToGrid w:val="0"/>
        <w:spacing w:line="360" w:lineRule="auto"/>
        <w:ind w:left="100" w:right="-20"/>
        <w:jc w:val="left"/>
        <w:rPr>
          <w:rFonts w:ascii="宋体" w:hAnsi="宋体" w:cs="微软雅黑"/>
          <w:kern w:val="0"/>
          <w:position w:val="-2"/>
          <w:szCs w:val="21"/>
        </w:rPr>
      </w:pPr>
      <w:r>
        <w:rPr>
          <w:rFonts w:hint="eastAsia" w:ascii="宋体" w:hAnsi="宋体" w:cs="微软雅黑"/>
          <w:kern w:val="0"/>
          <w:position w:val="-2"/>
          <w:szCs w:val="21"/>
        </w:rPr>
        <w:t>统一社会信用代码：</w:t>
      </w:r>
      <w:r>
        <w:rPr>
          <w:rFonts w:hint="eastAsia" w:ascii="宋体" w:hAnsi="宋体"/>
          <w:szCs w:val="21"/>
          <w:u w:val="single"/>
        </w:rPr>
        <w:t xml:space="preserve">                 </w:t>
      </w:r>
    </w:p>
    <w:p w14:paraId="2A79FC61">
      <w:pPr>
        <w:tabs>
          <w:tab w:val="left" w:pos="2400"/>
          <w:tab w:val="left" w:pos="3880"/>
          <w:tab w:val="left" w:pos="5340"/>
          <w:tab w:val="left" w:pos="6820"/>
        </w:tabs>
        <w:autoSpaceDE w:val="0"/>
        <w:autoSpaceDN w:val="0"/>
        <w:adjustRightInd w:val="0"/>
        <w:snapToGrid w:val="0"/>
        <w:spacing w:line="360" w:lineRule="auto"/>
        <w:ind w:left="100" w:right="-20"/>
        <w:jc w:val="left"/>
        <w:rPr>
          <w:rFonts w:ascii="宋体" w:hAnsi="宋体" w:cs="微软雅黑"/>
          <w:kern w:val="0"/>
          <w:position w:val="-2"/>
          <w:szCs w:val="21"/>
        </w:rPr>
      </w:pPr>
      <w:r>
        <w:rPr>
          <w:rFonts w:hint="eastAsia" w:ascii="宋体" w:hAnsi="宋体" w:cs="微软雅黑"/>
          <w:kern w:val="0"/>
          <w:position w:val="-2"/>
          <w:szCs w:val="21"/>
        </w:rPr>
        <w:t>注册地址：</w:t>
      </w:r>
      <w:r>
        <w:rPr>
          <w:rFonts w:hint="eastAsia" w:ascii="宋体" w:hAnsi="宋体"/>
          <w:szCs w:val="21"/>
          <w:u w:val="single"/>
        </w:rPr>
        <w:t xml:space="preserve">                 </w:t>
      </w:r>
    </w:p>
    <w:p w14:paraId="484AAD65">
      <w:pPr>
        <w:tabs>
          <w:tab w:val="left" w:pos="2400"/>
          <w:tab w:val="left" w:pos="3880"/>
          <w:tab w:val="left" w:pos="5340"/>
          <w:tab w:val="left" w:pos="6820"/>
        </w:tabs>
        <w:autoSpaceDE w:val="0"/>
        <w:autoSpaceDN w:val="0"/>
        <w:adjustRightInd w:val="0"/>
        <w:snapToGrid w:val="0"/>
        <w:spacing w:line="360" w:lineRule="auto"/>
        <w:ind w:left="102" w:right="-23" w:firstLine="480" w:firstLineChars="200"/>
        <w:jc w:val="left"/>
        <w:rPr>
          <w:rFonts w:ascii="宋体" w:hAnsi="宋体" w:cs="微软雅黑"/>
          <w:kern w:val="0"/>
          <w:szCs w:val="21"/>
        </w:rPr>
      </w:pPr>
      <w:r>
        <w:rPr>
          <w:rFonts w:hint="eastAsia" w:ascii="宋体" w:hAnsi="宋体" w:cs="微软雅黑"/>
          <w:kern w:val="0"/>
          <w:position w:val="-2"/>
          <w:szCs w:val="21"/>
        </w:rPr>
        <w:t>姓名</w:t>
      </w:r>
      <w:r>
        <w:rPr>
          <w:rFonts w:hint="eastAsia" w:ascii="宋体" w:hAnsi="宋体" w:cs="微软雅黑"/>
          <w:spacing w:val="-2"/>
          <w:kern w:val="0"/>
          <w:position w:val="-2"/>
          <w:szCs w:val="21"/>
        </w:rPr>
        <w:t>：</w:t>
      </w:r>
      <w:r>
        <w:rPr>
          <w:rFonts w:hint="eastAsia" w:ascii="宋体" w:hAnsi="宋体"/>
          <w:szCs w:val="21"/>
          <w:u w:val="single"/>
        </w:rPr>
        <w:t xml:space="preserve">         </w:t>
      </w:r>
      <w:r>
        <w:rPr>
          <w:rFonts w:hint="eastAsia" w:ascii="宋体" w:hAnsi="宋体" w:cs="微软雅黑"/>
          <w:kern w:val="0"/>
          <w:position w:val="-2"/>
          <w:szCs w:val="21"/>
        </w:rPr>
        <w:t>性别</w:t>
      </w:r>
      <w:r>
        <w:rPr>
          <w:rFonts w:hint="eastAsia" w:ascii="宋体" w:hAnsi="宋体" w:cs="微软雅黑"/>
          <w:spacing w:val="-2"/>
          <w:kern w:val="0"/>
          <w:position w:val="-2"/>
          <w:szCs w:val="21"/>
        </w:rPr>
        <w:t>：</w:t>
      </w:r>
      <w:r>
        <w:rPr>
          <w:rFonts w:hint="eastAsia" w:ascii="宋体" w:hAnsi="宋体"/>
          <w:szCs w:val="21"/>
          <w:u w:val="single"/>
        </w:rPr>
        <w:t xml:space="preserve">         </w:t>
      </w:r>
      <w:r>
        <w:rPr>
          <w:rFonts w:hint="eastAsia" w:ascii="宋体" w:hAnsi="宋体" w:cs="微软雅黑"/>
          <w:kern w:val="0"/>
          <w:position w:val="-2"/>
          <w:szCs w:val="21"/>
        </w:rPr>
        <w:t>年</w:t>
      </w:r>
      <w:r>
        <w:rPr>
          <w:rFonts w:hint="eastAsia" w:ascii="宋体" w:hAnsi="宋体" w:cs="微软雅黑"/>
          <w:spacing w:val="-2"/>
          <w:kern w:val="0"/>
          <w:position w:val="-2"/>
          <w:szCs w:val="21"/>
        </w:rPr>
        <w:t>龄</w:t>
      </w:r>
      <w:r>
        <w:rPr>
          <w:rFonts w:hint="eastAsia" w:ascii="宋体" w:hAnsi="宋体" w:cs="微软雅黑"/>
          <w:kern w:val="0"/>
          <w:position w:val="-2"/>
          <w:szCs w:val="21"/>
        </w:rPr>
        <w:t>：</w:t>
      </w:r>
      <w:r>
        <w:rPr>
          <w:rFonts w:hint="eastAsia" w:ascii="宋体" w:hAnsi="宋体"/>
          <w:szCs w:val="21"/>
          <w:u w:val="single"/>
        </w:rPr>
        <w:t xml:space="preserve">         </w:t>
      </w:r>
      <w:r>
        <w:rPr>
          <w:rFonts w:hint="eastAsia" w:ascii="宋体" w:hAnsi="宋体" w:cs="微软雅黑"/>
          <w:kern w:val="0"/>
          <w:position w:val="-2"/>
          <w:szCs w:val="21"/>
        </w:rPr>
        <w:t>职</w:t>
      </w:r>
      <w:r>
        <w:rPr>
          <w:rFonts w:hint="eastAsia" w:ascii="宋体" w:hAnsi="宋体" w:cs="微软雅黑"/>
          <w:spacing w:val="-2"/>
          <w:kern w:val="0"/>
          <w:position w:val="-2"/>
          <w:szCs w:val="21"/>
        </w:rPr>
        <w:t>务</w:t>
      </w:r>
      <w:r>
        <w:rPr>
          <w:rFonts w:hint="eastAsia" w:ascii="宋体" w:hAnsi="宋体" w:cs="微软雅黑"/>
          <w:kern w:val="0"/>
          <w:position w:val="-2"/>
          <w:szCs w:val="21"/>
        </w:rPr>
        <w:t>：</w:t>
      </w:r>
      <w:r>
        <w:rPr>
          <w:rFonts w:hint="eastAsia" w:ascii="宋体" w:hAnsi="宋体"/>
          <w:szCs w:val="21"/>
          <w:u w:val="single"/>
        </w:rPr>
        <w:t xml:space="preserve">         </w:t>
      </w:r>
      <w:r>
        <w:rPr>
          <w:rFonts w:hint="eastAsia" w:ascii="宋体" w:hAnsi="宋体" w:cs="微软雅黑"/>
          <w:kern w:val="0"/>
          <w:position w:val="-2"/>
          <w:szCs w:val="21"/>
        </w:rPr>
        <w:t>系</w:t>
      </w:r>
      <w:r>
        <w:rPr>
          <w:rFonts w:hint="eastAsia" w:ascii="宋体" w:hAnsi="宋体"/>
          <w:szCs w:val="21"/>
          <w:u w:val="single"/>
        </w:rPr>
        <w:t xml:space="preserve">         </w:t>
      </w:r>
      <w:r>
        <w:rPr>
          <w:rFonts w:hint="eastAsia" w:ascii="宋体" w:hAnsi="宋体" w:cs="微软雅黑"/>
          <w:spacing w:val="-2"/>
          <w:kern w:val="0"/>
          <w:position w:val="-2"/>
          <w:szCs w:val="21"/>
        </w:rPr>
        <w:t>（</w:t>
      </w:r>
      <w:r>
        <w:rPr>
          <w:rFonts w:hint="eastAsia" w:ascii="宋体" w:hAnsi="宋体" w:cs="微软雅黑"/>
          <w:kern w:val="0"/>
          <w:position w:val="-2"/>
          <w:szCs w:val="21"/>
        </w:rPr>
        <w:t>投</w:t>
      </w:r>
      <w:r>
        <w:rPr>
          <w:rFonts w:hint="eastAsia" w:ascii="宋体" w:hAnsi="宋体" w:cs="微软雅黑"/>
          <w:spacing w:val="-2"/>
          <w:kern w:val="0"/>
          <w:position w:val="-2"/>
          <w:szCs w:val="21"/>
        </w:rPr>
        <w:t>标</w:t>
      </w:r>
      <w:r>
        <w:rPr>
          <w:rFonts w:hint="eastAsia" w:ascii="宋体" w:hAnsi="宋体" w:cs="微软雅黑"/>
          <w:kern w:val="0"/>
          <w:position w:val="-2"/>
          <w:szCs w:val="21"/>
        </w:rPr>
        <w:t>人</w:t>
      </w:r>
      <w:r>
        <w:rPr>
          <w:rFonts w:hint="eastAsia" w:ascii="宋体" w:hAnsi="宋体" w:cs="微软雅黑"/>
          <w:spacing w:val="-2"/>
          <w:kern w:val="0"/>
          <w:position w:val="-2"/>
          <w:szCs w:val="21"/>
        </w:rPr>
        <w:t>名</w:t>
      </w:r>
      <w:r>
        <w:rPr>
          <w:rFonts w:hint="eastAsia" w:ascii="宋体" w:hAnsi="宋体" w:cs="微软雅黑"/>
          <w:kern w:val="0"/>
          <w:position w:val="-2"/>
          <w:szCs w:val="21"/>
        </w:rPr>
        <w:t>称</w:t>
      </w:r>
      <w:r>
        <w:rPr>
          <w:rFonts w:hint="eastAsia" w:ascii="宋体" w:hAnsi="宋体" w:cs="微软雅黑"/>
          <w:spacing w:val="-2"/>
          <w:kern w:val="0"/>
          <w:position w:val="-2"/>
          <w:szCs w:val="21"/>
        </w:rPr>
        <w:t>）</w:t>
      </w:r>
      <w:r>
        <w:rPr>
          <w:rFonts w:hint="eastAsia" w:ascii="宋体" w:hAnsi="宋体" w:cs="微软雅黑"/>
          <w:kern w:val="0"/>
          <w:position w:val="-2"/>
          <w:szCs w:val="21"/>
        </w:rPr>
        <w:t>的</w:t>
      </w:r>
      <w:r>
        <w:rPr>
          <w:rFonts w:hint="eastAsia" w:ascii="宋体" w:hAnsi="宋体" w:cs="微软雅黑"/>
          <w:spacing w:val="-2"/>
          <w:kern w:val="0"/>
          <w:position w:val="-2"/>
          <w:szCs w:val="21"/>
        </w:rPr>
        <w:t>法定</w:t>
      </w:r>
      <w:r>
        <w:rPr>
          <w:rFonts w:hint="eastAsia" w:ascii="宋体" w:hAnsi="宋体" w:cs="微软雅黑"/>
          <w:kern w:val="0"/>
          <w:position w:val="-2"/>
          <w:szCs w:val="21"/>
        </w:rPr>
        <w:t>代表</w:t>
      </w:r>
      <w:r>
        <w:rPr>
          <w:rFonts w:hint="eastAsia" w:ascii="宋体" w:hAnsi="宋体" w:cs="微软雅黑"/>
          <w:spacing w:val="-2"/>
          <w:kern w:val="0"/>
          <w:position w:val="-2"/>
          <w:szCs w:val="21"/>
        </w:rPr>
        <w:t>人</w:t>
      </w:r>
      <w:r>
        <w:rPr>
          <w:rFonts w:hint="eastAsia" w:ascii="宋体" w:hAnsi="宋体" w:cs="微软雅黑"/>
          <w:kern w:val="0"/>
          <w:position w:val="-2"/>
          <w:szCs w:val="21"/>
        </w:rPr>
        <w:t>（</w:t>
      </w:r>
      <w:r>
        <w:rPr>
          <w:rFonts w:hint="eastAsia" w:ascii="宋体" w:hAnsi="宋体" w:cs="微软雅黑"/>
          <w:spacing w:val="-2"/>
          <w:kern w:val="0"/>
          <w:position w:val="-2"/>
          <w:szCs w:val="21"/>
        </w:rPr>
        <w:t>单</w:t>
      </w:r>
      <w:r>
        <w:rPr>
          <w:rFonts w:hint="eastAsia" w:ascii="宋体" w:hAnsi="宋体" w:cs="微软雅黑"/>
          <w:kern w:val="0"/>
          <w:position w:val="-2"/>
          <w:szCs w:val="21"/>
        </w:rPr>
        <w:t>位</w:t>
      </w:r>
      <w:r>
        <w:rPr>
          <w:rFonts w:hint="eastAsia" w:ascii="宋体" w:hAnsi="宋体" w:cs="微软雅黑"/>
          <w:spacing w:val="-2"/>
          <w:kern w:val="0"/>
          <w:position w:val="-2"/>
          <w:szCs w:val="21"/>
        </w:rPr>
        <w:t>负</w:t>
      </w:r>
      <w:r>
        <w:rPr>
          <w:rFonts w:hint="eastAsia" w:ascii="宋体" w:hAnsi="宋体" w:cs="微软雅黑"/>
          <w:kern w:val="0"/>
          <w:position w:val="-2"/>
          <w:szCs w:val="21"/>
        </w:rPr>
        <w:t>责</w:t>
      </w:r>
      <w:r>
        <w:rPr>
          <w:rFonts w:hint="eastAsia" w:ascii="宋体" w:hAnsi="宋体" w:cs="微软雅黑"/>
          <w:spacing w:val="-2"/>
          <w:kern w:val="0"/>
          <w:position w:val="-2"/>
          <w:szCs w:val="21"/>
        </w:rPr>
        <w:t>人</w:t>
      </w:r>
      <w:r>
        <w:rPr>
          <w:rFonts w:hint="eastAsia" w:ascii="宋体" w:hAnsi="宋体" w:cs="微软雅黑"/>
          <w:spacing w:val="-106"/>
          <w:kern w:val="0"/>
          <w:position w:val="-2"/>
          <w:szCs w:val="21"/>
        </w:rPr>
        <w:t>）</w:t>
      </w:r>
      <w:r>
        <w:rPr>
          <w:rFonts w:hint="eastAsia" w:ascii="宋体" w:hAnsi="宋体" w:cs="微软雅黑"/>
          <w:kern w:val="0"/>
          <w:position w:val="-2"/>
          <w:szCs w:val="21"/>
        </w:rPr>
        <w:t>。</w:t>
      </w:r>
    </w:p>
    <w:p w14:paraId="729C06C5">
      <w:pPr>
        <w:autoSpaceDE w:val="0"/>
        <w:autoSpaceDN w:val="0"/>
        <w:adjustRightInd w:val="0"/>
        <w:snapToGrid w:val="0"/>
        <w:spacing w:line="360" w:lineRule="auto"/>
        <w:ind w:left="520" w:right="-20"/>
        <w:jc w:val="left"/>
        <w:rPr>
          <w:rFonts w:ascii="宋体" w:hAnsi="宋体" w:cs="微软雅黑"/>
          <w:kern w:val="0"/>
          <w:szCs w:val="21"/>
        </w:rPr>
      </w:pPr>
      <w:r>
        <w:rPr>
          <w:rFonts w:hint="eastAsia" w:ascii="宋体" w:hAnsi="宋体" w:cs="微软雅黑"/>
          <w:kern w:val="0"/>
          <w:szCs w:val="21"/>
        </w:rPr>
        <w:t>特此</w:t>
      </w:r>
      <w:r>
        <w:rPr>
          <w:rFonts w:hint="eastAsia" w:ascii="宋体" w:hAnsi="宋体" w:cs="微软雅黑"/>
          <w:spacing w:val="-2"/>
          <w:kern w:val="0"/>
          <w:szCs w:val="21"/>
        </w:rPr>
        <w:t>证</w:t>
      </w:r>
      <w:r>
        <w:rPr>
          <w:rFonts w:hint="eastAsia" w:ascii="宋体" w:hAnsi="宋体" w:cs="微软雅黑"/>
          <w:kern w:val="0"/>
          <w:szCs w:val="21"/>
        </w:rPr>
        <w:t>明。</w:t>
      </w:r>
    </w:p>
    <w:p w14:paraId="2760FF6B">
      <w:pPr>
        <w:autoSpaceDE w:val="0"/>
        <w:autoSpaceDN w:val="0"/>
        <w:adjustRightInd w:val="0"/>
        <w:snapToGrid w:val="0"/>
        <w:spacing w:line="360" w:lineRule="auto"/>
        <w:ind w:left="100" w:right="4231"/>
        <w:jc w:val="left"/>
        <w:rPr>
          <w:rFonts w:ascii="宋体" w:hAnsi="宋体" w:cs="微软雅黑"/>
          <w:kern w:val="0"/>
          <w:szCs w:val="21"/>
        </w:rPr>
      </w:pPr>
      <w:r>
        <w:rPr>
          <w:rFonts w:hint="eastAsia" w:ascii="宋体" w:hAnsi="宋体" w:cs="微软雅黑"/>
          <w:kern w:val="0"/>
          <w:szCs w:val="21"/>
        </w:rPr>
        <w:t>附：</w:t>
      </w: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cs="微软雅黑"/>
          <w:kern w:val="0"/>
          <w:szCs w:val="21"/>
        </w:rPr>
        <w:t>身</w:t>
      </w:r>
      <w:r>
        <w:rPr>
          <w:rFonts w:hint="eastAsia" w:ascii="宋体" w:hAnsi="宋体" w:cs="微软雅黑"/>
          <w:spacing w:val="-2"/>
          <w:kern w:val="0"/>
          <w:szCs w:val="21"/>
        </w:rPr>
        <w:t>份</w:t>
      </w:r>
      <w:r>
        <w:rPr>
          <w:rFonts w:hint="eastAsia" w:ascii="宋体" w:hAnsi="宋体" w:cs="微软雅黑"/>
          <w:kern w:val="0"/>
          <w:szCs w:val="21"/>
        </w:rPr>
        <w:t>证</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r>
        <w:rPr>
          <w:rFonts w:hint="eastAsia" w:ascii="宋体" w:hAnsi="宋体" w:cs="微软雅黑"/>
          <w:kern w:val="0"/>
          <w:szCs w:val="21"/>
        </w:rPr>
        <w:t>。</w:t>
      </w:r>
    </w:p>
    <w:tbl>
      <w:tblPr>
        <w:tblStyle w:val="142"/>
        <w:tblW w:w="7959"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79"/>
        <w:gridCol w:w="3980"/>
      </w:tblGrid>
      <w:tr w14:paraId="4BB00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2" w:hRule="atLeast"/>
        </w:trPr>
        <w:tc>
          <w:tcPr>
            <w:tcW w:w="3979" w:type="dxa"/>
            <w:vAlign w:val="center"/>
          </w:tcPr>
          <w:p w14:paraId="265A0735">
            <w:pPr>
              <w:adjustRightInd w:val="0"/>
              <w:snapToGrid w:val="0"/>
              <w:spacing w:line="360" w:lineRule="auto"/>
              <w:rPr>
                <w:rFonts w:ascii="宋体" w:hAnsi="宋体"/>
                <w:szCs w:val="21"/>
              </w:rPr>
            </w:pPr>
            <w:r>
              <w:rPr>
                <w:rFonts w:hint="eastAsia" w:ascii="宋体" w:hAnsi="宋体"/>
                <w:szCs w:val="21"/>
              </w:rPr>
              <w:t>身份证（正面）</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p>
        </w:tc>
        <w:tc>
          <w:tcPr>
            <w:tcW w:w="3980" w:type="dxa"/>
            <w:vAlign w:val="center"/>
          </w:tcPr>
          <w:p w14:paraId="36E7D4F6">
            <w:pPr>
              <w:adjustRightInd w:val="0"/>
              <w:snapToGrid w:val="0"/>
              <w:spacing w:line="360" w:lineRule="auto"/>
              <w:rPr>
                <w:rFonts w:ascii="宋体" w:hAnsi="宋体"/>
                <w:szCs w:val="21"/>
              </w:rPr>
            </w:pPr>
            <w:r>
              <w:rPr>
                <w:rFonts w:hint="eastAsia" w:ascii="宋体" w:hAnsi="宋体"/>
                <w:szCs w:val="21"/>
              </w:rPr>
              <w:t>身份证（反面）</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p>
        </w:tc>
      </w:tr>
    </w:tbl>
    <w:p w14:paraId="1A8E128F">
      <w:pPr>
        <w:adjustRightInd w:val="0"/>
        <w:snapToGrid w:val="0"/>
        <w:spacing w:line="360" w:lineRule="auto"/>
        <w:rPr>
          <w:rFonts w:ascii="宋体" w:hAnsi="宋体"/>
          <w:szCs w:val="21"/>
        </w:rPr>
      </w:pPr>
    </w:p>
    <w:p w14:paraId="42CB8BC8">
      <w:pPr>
        <w:adjustRightInd w:val="0"/>
        <w:snapToGrid w:val="0"/>
        <w:spacing w:line="360" w:lineRule="auto"/>
        <w:rPr>
          <w:rFonts w:ascii="宋体" w:hAnsi="宋体"/>
          <w:szCs w:val="21"/>
        </w:rPr>
      </w:pPr>
      <w:r>
        <w:rPr>
          <w:rFonts w:hint="eastAsia" w:ascii="宋体" w:hAnsi="宋体"/>
          <w:szCs w:val="21"/>
        </w:rPr>
        <w:t>注：投标人代表为法定代表人（单位负责人）的提供。自然人投标的无需提供。</w:t>
      </w:r>
    </w:p>
    <w:p w14:paraId="15D90A8D">
      <w:pPr>
        <w:adjustRightInd w:val="0"/>
        <w:snapToGrid w:val="0"/>
        <w:spacing w:line="360" w:lineRule="auto"/>
        <w:rPr>
          <w:rFonts w:ascii="宋体" w:hAnsi="宋体"/>
          <w:szCs w:val="21"/>
        </w:rPr>
      </w:pPr>
    </w:p>
    <w:p w14:paraId="5BEC5EBA">
      <w:pPr>
        <w:adjustRightInd w:val="0"/>
        <w:snapToGrid w:val="0"/>
        <w:spacing w:line="360" w:lineRule="auto"/>
        <w:rPr>
          <w:rFonts w:ascii="宋体" w:hAnsi="宋体"/>
          <w:szCs w:val="21"/>
        </w:rPr>
      </w:pPr>
      <w:r>
        <w:rPr>
          <w:rFonts w:hint="eastAsia" w:ascii="宋体" w:hAnsi="宋体"/>
          <w:szCs w:val="21"/>
        </w:rPr>
        <w:t>投标人名称（盖单位章）：</w:t>
      </w:r>
    </w:p>
    <w:p w14:paraId="6F179F66">
      <w:pPr>
        <w:adjustRightInd w:val="0"/>
        <w:snapToGrid w:val="0"/>
        <w:spacing w:line="360" w:lineRule="auto"/>
        <w:ind w:right="420"/>
        <w:rPr>
          <w:rFonts w:ascii="宋体" w:hAnsi="宋体"/>
          <w:szCs w:val="21"/>
        </w:rPr>
      </w:pPr>
      <w:r>
        <w:rPr>
          <w:rFonts w:hint="eastAsia" w:ascii="宋体" w:hAnsi="宋体" w:cs="宋体"/>
          <w:szCs w:val="21"/>
        </w:rPr>
        <w:t>日期：</w:t>
      </w:r>
      <w:r>
        <w:rPr>
          <w:rFonts w:hint="eastAsia" w:ascii="宋体" w:hAnsi="宋体"/>
          <w:szCs w:val="21"/>
        </w:rPr>
        <w:t>年月日</w:t>
      </w:r>
    </w:p>
    <w:p w14:paraId="7451714C">
      <w:pPr>
        <w:widowControl/>
        <w:jc w:val="left"/>
        <w:rPr>
          <w:rFonts w:ascii="黑体" w:hAnsi="宋体" w:eastAsia="黑体"/>
          <w:b/>
          <w:bCs/>
          <w:sz w:val="28"/>
          <w:szCs w:val="28"/>
        </w:rPr>
      </w:pPr>
      <w:bookmarkStart w:id="121" w:name="_Toc20651247"/>
      <w:r>
        <w:rPr>
          <w:rFonts w:ascii="黑体" w:hAnsi="宋体" w:eastAsia="黑体"/>
          <w:b/>
          <w:bCs/>
          <w:sz w:val="28"/>
          <w:szCs w:val="28"/>
        </w:rPr>
        <w:br w:type="page"/>
      </w:r>
    </w:p>
    <w:p w14:paraId="360D8AE1">
      <w:pPr>
        <w:pStyle w:val="2"/>
        <w:numPr>
          <w:ilvl w:val="0"/>
          <w:numId w:val="0"/>
        </w:numPr>
        <w:adjustRightInd w:val="0"/>
        <w:snapToGrid w:val="0"/>
        <w:spacing w:before="0" w:after="0" w:line="360" w:lineRule="auto"/>
        <w:jc w:val="center"/>
        <w:rPr>
          <w:rFonts w:hint="eastAsia" w:ascii="黑体" w:hAnsi="宋体" w:eastAsia="黑体"/>
          <w:color w:val="000000"/>
          <w:sz w:val="28"/>
          <w:szCs w:val="28"/>
        </w:rPr>
      </w:pPr>
      <w:bookmarkStart w:id="122" w:name="_Toc21712"/>
      <w:bookmarkStart w:id="123" w:name="_Toc20853"/>
      <w:r>
        <w:rPr>
          <w:rFonts w:hint="eastAsia" w:ascii="黑体" w:hAnsi="宋体" w:eastAsia="黑体"/>
          <w:color w:val="000000"/>
          <w:sz w:val="28"/>
          <w:szCs w:val="28"/>
          <w:lang w:val="en-US" w:eastAsia="zh-CN"/>
        </w:rPr>
        <w:t>三</w:t>
      </w:r>
      <w:r>
        <w:rPr>
          <w:rFonts w:hint="eastAsia" w:ascii="黑体" w:hAnsi="宋体" w:eastAsia="黑体"/>
          <w:color w:val="000000"/>
          <w:sz w:val="28"/>
          <w:szCs w:val="28"/>
        </w:rPr>
        <w:t>、授权委托书</w:t>
      </w:r>
      <w:bookmarkEnd w:id="121"/>
      <w:bookmarkEnd w:id="122"/>
      <w:bookmarkEnd w:id="123"/>
    </w:p>
    <w:p w14:paraId="4FFADDAE">
      <w:pPr>
        <w:autoSpaceDE w:val="0"/>
        <w:autoSpaceDN w:val="0"/>
        <w:adjustRightInd w:val="0"/>
        <w:snapToGrid w:val="0"/>
        <w:spacing w:line="360" w:lineRule="auto"/>
        <w:ind w:firstLine="506" w:firstLineChars="200"/>
        <w:jc w:val="left"/>
        <w:rPr>
          <w:rFonts w:ascii="宋体" w:hAnsi="宋体"/>
          <w:b/>
          <w:spacing w:val="6"/>
          <w:szCs w:val="21"/>
        </w:rPr>
      </w:pPr>
    </w:p>
    <w:p w14:paraId="5EB67B9F">
      <w:pPr>
        <w:adjustRightInd w:val="0"/>
        <w:snapToGrid w:val="0"/>
        <w:spacing w:line="360" w:lineRule="auto"/>
        <w:rPr>
          <w:rFonts w:ascii="宋体" w:hAnsi="宋体" w:cs="宋体"/>
          <w:kern w:val="0"/>
          <w:szCs w:val="21"/>
        </w:rPr>
      </w:pPr>
      <w:r>
        <w:rPr>
          <w:rFonts w:hint="eastAsia" w:ascii="宋体" w:hAnsi="宋体" w:cs="宋体"/>
          <w:kern w:val="0"/>
          <w:szCs w:val="21"/>
        </w:rPr>
        <w:t>本人</w:t>
      </w:r>
      <w:r>
        <w:rPr>
          <w:rFonts w:hint="eastAsia" w:ascii="宋体" w:hAnsi="宋体" w:cs="宋体"/>
          <w:kern w:val="0"/>
          <w:szCs w:val="21"/>
          <w:u w:val="single"/>
        </w:rPr>
        <w:t xml:space="preserve">          </w:t>
      </w:r>
      <w:r>
        <w:rPr>
          <w:rFonts w:hint="eastAsia" w:ascii="宋体" w:hAnsi="宋体" w:cs="宋体"/>
          <w:kern w:val="0"/>
          <w:szCs w:val="21"/>
        </w:rPr>
        <w:t>（姓名、职务）系</w:t>
      </w:r>
      <w:r>
        <w:rPr>
          <w:rFonts w:hint="eastAsia" w:ascii="宋体" w:hAnsi="宋体" w:cs="宋体"/>
          <w:kern w:val="0"/>
          <w:szCs w:val="21"/>
          <w:u w:val="single"/>
        </w:rPr>
        <w:t xml:space="preserve">                        </w:t>
      </w:r>
      <w:r>
        <w:rPr>
          <w:rFonts w:hint="eastAsia" w:ascii="宋体" w:hAnsi="宋体" w:cs="宋体"/>
          <w:kern w:val="0"/>
          <w:szCs w:val="21"/>
        </w:rPr>
        <w:t xml:space="preserve"> （</w:t>
      </w:r>
      <w:r>
        <w:rPr>
          <w:rFonts w:hint="eastAsia" w:ascii="宋体" w:hAnsi="宋体"/>
          <w:szCs w:val="21"/>
        </w:rPr>
        <w:t>投标人</w:t>
      </w:r>
      <w:r>
        <w:rPr>
          <w:rFonts w:hint="eastAsia" w:ascii="宋体" w:hAnsi="宋体" w:cs="宋体"/>
          <w:kern w:val="0"/>
          <w:szCs w:val="21"/>
        </w:rPr>
        <w:t>名称）的法定代表人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cs="宋体"/>
          <w:kern w:val="0"/>
          <w:szCs w:val="21"/>
        </w:rPr>
        <w:t>，现授权</w:t>
      </w:r>
      <w:r>
        <w:rPr>
          <w:rFonts w:hint="eastAsia" w:ascii="宋体" w:hAnsi="宋体" w:cs="宋体"/>
          <w:kern w:val="0"/>
          <w:szCs w:val="21"/>
          <w:u w:val="single"/>
        </w:rPr>
        <w:t xml:space="preserve">          </w:t>
      </w:r>
      <w:r>
        <w:rPr>
          <w:rFonts w:hint="eastAsia" w:ascii="宋体" w:hAnsi="宋体" w:cs="宋体"/>
          <w:kern w:val="0"/>
          <w:szCs w:val="21"/>
        </w:rPr>
        <w:t>（姓名、职务）为我方代理人。代理人根据授权，以我方名义签署、澄清、说明、补正、递交、撤回、修改</w:t>
      </w:r>
      <w:r>
        <w:rPr>
          <w:rFonts w:hint="eastAsia" w:ascii="宋体" w:hAnsi="宋体" w:cs="宋体"/>
          <w:kern w:val="0"/>
          <w:szCs w:val="21"/>
          <w:u w:val="single"/>
        </w:rPr>
        <w:t xml:space="preserve">              </w:t>
      </w:r>
      <w:r>
        <w:rPr>
          <w:rFonts w:hint="eastAsia" w:ascii="宋体" w:hAnsi="宋体" w:cs="宋体"/>
          <w:kern w:val="0"/>
          <w:szCs w:val="21"/>
        </w:rPr>
        <w:t>（项目名称</w:t>
      </w:r>
      <w:r>
        <w:rPr>
          <w:rFonts w:ascii="宋体" w:hAnsi="宋体" w:cs="宋体"/>
          <w:kern w:val="0"/>
          <w:szCs w:val="21"/>
        </w:rPr>
        <w:t>）</w:t>
      </w:r>
      <w:r>
        <w:rPr>
          <w:rFonts w:hint="eastAsia" w:ascii="宋体" w:hAnsi="宋体" w:eastAsia="宋体" w:cs="Times New Roman"/>
          <w:szCs w:val="21"/>
          <w:u w:val="none"/>
          <w:lang w:val="en-US" w:eastAsia="zh-CN"/>
        </w:rPr>
        <w:t>包名称：</w:t>
      </w:r>
      <w:r>
        <w:rPr>
          <w:rFonts w:hint="eastAsia" w:ascii="宋体" w:hAnsi="宋体" w:eastAsia="宋体" w:cs="Times New Roman"/>
          <w:szCs w:val="21"/>
          <w:u w:val="none"/>
        </w:rPr>
        <w:t xml:space="preserve"> </w:t>
      </w:r>
      <w:r>
        <w:rPr>
          <w:rFonts w:hint="eastAsia" w:ascii="宋体" w:hAnsi="宋体" w:eastAsia="宋体" w:cs="Times New Roman"/>
          <w:szCs w:val="21"/>
          <w:u w:val="single"/>
          <w:lang w:val="en-US" w:eastAsia="zh-CN"/>
        </w:rPr>
        <w:t xml:space="preserve">     </w:t>
      </w:r>
      <w:r>
        <w:rPr>
          <w:rFonts w:hint="eastAsia" w:ascii="宋体" w:hAnsi="宋体" w:cs="宋体"/>
          <w:kern w:val="0"/>
          <w:szCs w:val="21"/>
        </w:rPr>
        <w:t>（</w:t>
      </w:r>
      <w:r>
        <w:rPr>
          <w:rFonts w:hint="eastAsia" w:ascii="宋体" w:hAnsi="宋体"/>
        </w:rPr>
        <w:t>政府采购计划编号</w:t>
      </w:r>
      <w:r>
        <w:rPr>
          <w:rFonts w:hint="eastAsia" w:ascii="宋体" w:hAnsi="宋体"/>
          <w:iCs/>
        </w:rPr>
        <w:t>：</w:t>
      </w:r>
      <w:r>
        <w:rPr>
          <w:rFonts w:hint="eastAsia" w:ascii="宋体" w:hAnsi="宋体"/>
          <w:iCs/>
          <w:u w:val="single"/>
        </w:rPr>
        <w:t xml:space="preserve">      </w:t>
      </w:r>
      <w:r>
        <w:rPr>
          <w:rFonts w:hint="eastAsia" w:ascii="宋体" w:hAnsi="宋体"/>
          <w:iCs/>
        </w:rPr>
        <w:t xml:space="preserve"> ，</w:t>
      </w:r>
      <w:r>
        <w:rPr>
          <w:rFonts w:hint="eastAsia" w:ascii="宋体" w:hAnsi="宋体" w:cs="宋体"/>
          <w:kern w:val="0"/>
          <w:szCs w:val="21"/>
        </w:rPr>
        <w:t>委托代理编号：</w:t>
      </w:r>
      <w:r>
        <w:rPr>
          <w:rFonts w:hint="eastAsia" w:ascii="宋体" w:hAnsi="宋体" w:cs="宋体"/>
          <w:kern w:val="0"/>
          <w:szCs w:val="21"/>
          <w:u w:val="single"/>
        </w:rPr>
        <w:t xml:space="preserve">       </w:t>
      </w:r>
      <w:r>
        <w:rPr>
          <w:rFonts w:hint="eastAsia" w:ascii="宋体" w:hAnsi="宋体" w:cs="宋体"/>
          <w:kern w:val="0"/>
          <w:szCs w:val="21"/>
        </w:rPr>
        <w:t>）投标文件、签订合同和处理有关事宜，其法律后果由我方承担。</w:t>
      </w:r>
    </w:p>
    <w:p w14:paraId="094C6F79">
      <w:pPr>
        <w:autoSpaceDE w:val="0"/>
        <w:autoSpaceDN w:val="0"/>
        <w:adjustRightInd w:val="0"/>
        <w:snapToGrid w:val="0"/>
        <w:spacing w:line="360" w:lineRule="auto"/>
        <w:ind w:firstLine="480" w:firstLineChars="200"/>
        <w:jc w:val="left"/>
        <w:rPr>
          <w:rFonts w:ascii="宋体" w:hAnsi="宋体" w:cs="宋体"/>
          <w:kern w:val="0"/>
          <w:szCs w:val="21"/>
        </w:rPr>
      </w:pPr>
      <w:r>
        <w:rPr>
          <w:rFonts w:hint="eastAsia" w:ascii="宋体" w:hAnsi="宋体" w:cs="宋体"/>
          <w:kern w:val="0"/>
          <w:szCs w:val="21"/>
        </w:rPr>
        <w:t>委托期限：</w:t>
      </w:r>
      <w:r>
        <w:rPr>
          <w:rFonts w:hint="eastAsia" w:ascii="宋体" w:hAnsi="宋体" w:cs="宋体"/>
          <w:kern w:val="0"/>
          <w:szCs w:val="21"/>
          <w:u w:val="single"/>
        </w:rPr>
        <w:t xml:space="preserve">                                     </w:t>
      </w:r>
      <w:r>
        <w:rPr>
          <w:rFonts w:hint="eastAsia" w:ascii="宋体" w:hAnsi="宋体" w:cs="宋体"/>
          <w:kern w:val="0"/>
          <w:szCs w:val="21"/>
        </w:rPr>
        <w:t xml:space="preserve"> 。</w:t>
      </w:r>
    </w:p>
    <w:p w14:paraId="5C7F7D2F">
      <w:pPr>
        <w:adjustRightInd w:val="0"/>
        <w:snapToGrid w:val="0"/>
        <w:spacing w:line="360" w:lineRule="auto"/>
        <w:ind w:firstLine="435"/>
        <w:rPr>
          <w:rFonts w:ascii="宋体" w:hAnsi="宋体" w:cs="宋体"/>
          <w:kern w:val="0"/>
          <w:szCs w:val="21"/>
        </w:rPr>
      </w:pPr>
      <w:r>
        <w:rPr>
          <w:rFonts w:hint="eastAsia" w:ascii="宋体" w:hAnsi="宋体" w:cs="宋体"/>
          <w:kern w:val="0"/>
          <w:szCs w:val="21"/>
        </w:rPr>
        <w:t>代理人无转委托权。</w:t>
      </w:r>
    </w:p>
    <w:p w14:paraId="0FF7AC7B">
      <w:pPr>
        <w:adjustRightInd w:val="0"/>
        <w:snapToGrid w:val="0"/>
        <w:spacing w:line="360" w:lineRule="auto"/>
        <w:ind w:firstLine="435"/>
        <w:rPr>
          <w:rFonts w:ascii="宋体" w:hAnsi="宋体" w:cs="微软雅黑"/>
          <w:kern w:val="0"/>
          <w:szCs w:val="21"/>
        </w:rPr>
      </w:pPr>
      <w:r>
        <w:rPr>
          <w:rFonts w:hint="eastAsia" w:ascii="宋体" w:hAnsi="宋体"/>
          <w:szCs w:val="21"/>
        </w:rPr>
        <w:t>本授权书于</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日签字生效，特此声明。</w:t>
      </w:r>
    </w:p>
    <w:tbl>
      <w:tblPr>
        <w:tblStyle w:val="45"/>
        <w:tblW w:w="8039" w:type="dxa"/>
        <w:tblInd w:w="6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19"/>
        <w:gridCol w:w="4020"/>
      </w:tblGrid>
      <w:tr w14:paraId="121B1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6" w:hRule="atLeast"/>
        </w:trPr>
        <w:tc>
          <w:tcPr>
            <w:tcW w:w="4019" w:type="dxa"/>
            <w:tcBorders>
              <w:top w:val="single" w:color="auto" w:sz="4" w:space="0"/>
              <w:left w:val="single" w:color="auto" w:sz="4" w:space="0"/>
              <w:bottom w:val="single" w:color="auto" w:sz="4" w:space="0"/>
              <w:right w:val="single" w:color="auto" w:sz="4" w:space="0"/>
            </w:tcBorders>
            <w:shd w:val="clear" w:color="auto" w:fill="auto"/>
            <w:vAlign w:val="center"/>
          </w:tcPr>
          <w:p w14:paraId="33459DA2">
            <w:pPr>
              <w:adjustRightInd w:val="0"/>
              <w:snapToGrid w:val="0"/>
              <w:spacing w:line="360" w:lineRule="auto"/>
              <w:jc w:val="center"/>
              <w:rPr>
                <w:rFonts w:ascii="宋体" w:hAnsi="宋体"/>
                <w:szCs w:val="21"/>
              </w:rPr>
            </w:pPr>
            <w:r>
              <w:rPr>
                <w:rFonts w:hint="eastAsia" w:ascii="宋体" w:hAnsi="宋体"/>
                <w:szCs w:val="21"/>
              </w:rPr>
              <w:t>委托代理人身份证（正面）</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p>
        </w:tc>
        <w:tc>
          <w:tcPr>
            <w:tcW w:w="4020" w:type="dxa"/>
            <w:tcBorders>
              <w:top w:val="single" w:color="auto" w:sz="4" w:space="0"/>
              <w:left w:val="single" w:color="auto" w:sz="4" w:space="0"/>
              <w:bottom w:val="single" w:color="auto" w:sz="4" w:space="0"/>
              <w:right w:val="single" w:color="auto" w:sz="4" w:space="0"/>
            </w:tcBorders>
            <w:shd w:val="clear" w:color="auto" w:fill="auto"/>
            <w:vAlign w:val="center"/>
          </w:tcPr>
          <w:p w14:paraId="74E5C83F">
            <w:pPr>
              <w:adjustRightInd w:val="0"/>
              <w:snapToGrid w:val="0"/>
              <w:spacing w:line="360" w:lineRule="auto"/>
              <w:jc w:val="center"/>
              <w:rPr>
                <w:rFonts w:ascii="宋体" w:hAnsi="宋体"/>
                <w:szCs w:val="21"/>
              </w:rPr>
            </w:pPr>
            <w:r>
              <w:rPr>
                <w:rFonts w:hint="eastAsia" w:ascii="宋体" w:hAnsi="宋体"/>
                <w:szCs w:val="21"/>
              </w:rPr>
              <w:t>委托代理人身份证（反面）</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p>
        </w:tc>
      </w:tr>
      <w:tr w14:paraId="7EE73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93" w:hRule="atLeast"/>
        </w:trPr>
        <w:tc>
          <w:tcPr>
            <w:tcW w:w="4019" w:type="dxa"/>
            <w:tcBorders>
              <w:top w:val="single" w:color="auto" w:sz="4" w:space="0"/>
              <w:left w:val="single" w:color="auto" w:sz="4" w:space="0"/>
              <w:bottom w:val="single" w:color="auto" w:sz="4" w:space="0"/>
              <w:right w:val="single" w:color="auto" w:sz="4" w:space="0"/>
            </w:tcBorders>
            <w:shd w:val="clear" w:color="auto" w:fill="auto"/>
            <w:vAlign w:val="center"/>
          </w:tcPr>
          <w:p w14:paraId="78E85790">
            <w:pPr>
              <w:adjustRightInd w:val="0"/>
              <w:snapToGrid w:val="0"/>
              <w:spacing w:line="360" w:lineRule="auto"/>
              <w:jc w:val="center"/>
              <w:rPr>
                <w:rFonts w:ascii="宋体" w:hAnsi="宋体"/>
                <w:szCs w:val="21"/>
              </w:rPr>
            </w:pPr>
            <w:r>
              <w:rPr>
                <w:rFonts w:hint="eastAsia" w:ascii="宋体" w:hAnsi="宋体"/>
                <w:szCs w:val="21"/>
              </w:rPr>
              <w:t>法定代表人身份证（正面）</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p>
        </w:tc>
        <w:tc>
          <w:tcPr>
            <w:tcW w:w="4020" w:type="dxa"/>
            <w:tcBorders>
              <w:top w:val="single" w:color="auto" w:sz="4" w:space="0"/>
              <w:left w:val="single" w:color="auto" w:sz="4" w:space="0"/>
              <w:bottom w:val="single" w:color="auto" w:sz="4" w:space="0"/>
              <w:right w:val="single" w:color="auto" w:sz="4" w:space="0"/>
            </w:tcBorders>
            <w:shd w:val="clear" w:color="auto" w:fill="auto"/>
            <w:vAlign w:val="center"/>
          </w:tcPr>
          <w:p w14:paraId="4D21D33B">
            <w:pPr>
              <w:adjustRightInd w:val="0"/>
              <w:snapToGrid w:val="0"/>
              <w:spacing w:line="360" w:lineRule="auto"/>
              <w:jc w:val="center"/>
              <w:rPr>
                <w:rFonts w:ascii="宋体" w:hAnsi="宋体"/>
                <w:szCs w:val="21"/>
              </w:rPr>
            </w:pPr>
            <w:r>
              <w:rPr>
                <w:rFonts w:hint="eastAsia" w:ascii="宋体" w:hAnsi="宋体"/>
                <w:szCs w:val="21"/>
              </w:rPr>
              <w:t>法定代表人身份证（反面）</w:t>
            </w:r>
            <w:r>
              <w:rPr>
                <w:rFonts w:hint="eastAsia" w:ascii="宋体" w:hAnsi="宋体" w:cs="微软雅黑"/>
                <w:spacing w:val="-2"/>
                <w:kern w:val="0"/>
                <w:szCs w:val="21"/>
              </w:rPr>
              <w:t>复</w:t>
            </w:r>
            <w:r>
              <w:rPr>
                <w:rFonts w:hint="eastAsia" w:ascii="宋体" w:hAnsi="宋体" w:cs="微软雅黑"/>
                <w:kern w:val="0"/>
                <w:szCs w:val="21"/>
              </w:rPr>
              <w:t>印</w:t>
            </w:r>
            <w:r>
              <w:rPr>
                <w:rFonts w:hint="eastAsia" w:ascii="宋体" w:hAnsi="宋体" w:cs="微软雅黑"/>
                <w:spacing w:val="-2"/>
                <w:kern w:val="0"/>
                <w:szCs w:val="21"/>
              </w:rPr>
              <w:t>件</w:t>
            </w:r>
          </w:p>
        </w:tc>
      </w:tr>
    </w:tbl>
    <w:p w14:paraId="5F24D4FC">
      <w:pPr>
        <w:adjustRightInd w:val="0"/>
        <w:snapToGrid w:val="0"/>
        <w:spacing w:line="360" w:lineRule="auto"/>
        <w:rPr>
          <w:rFonts w:ascii="宋体" w:hAnsi="宋体"/>
          <w:szCs w:val="21"/>
        </w:rPr>
      </w:pPr>
    </w:p>
    <w:p w14:paraId="211B8CA3">
      <w:pPr>
        <w:adjustRightInd w:val="0"/>
        <w:snapToGrid w:val="0"/>
        <w:spacing w:line="360" w:lineRule="auto"/>
        <w:rPr>
          <w:rFonts w:ascii="宋体" w:hAnsi="宋体"/>
          <w:szCs w:val="21"/>
        </w:rPr>
      </w:pPr>
      <w:r>
        <w:rPr>
          <w:rFonts w:hint="eastAsia" w:ascii="宋体" w:hAnsi="宋体"/>
          <w:szCs w:val="21"/>
        </w:rPr>
        <w:t>注：投标人代表不是投标人的法定代表人（单位负责人）的提供。</w:t>
      </w:r>
    </w:p>
    <w:p w14:paraId="1E224953">
      <w:pPr>
        <w:adjustRightInd w:val="0"/>
        <w:snapToGrid w:val="0"/>
        <w:spacing w:line="360" w:lineRule="auto"/>
        <w:ind w:firstLine="480" w:firstLineChars="200"/>
        <w:rPr>
          <w:rFonts w:ascii="宋体" w:hAnsi="宋体"/>
          <w:szCs w:val="21"/>
        </w:rPr>
      </w:pPr>
    </w:p>
    <w:p w14:paraId="1BB3EB96">
      <w:pPr>
        <w:adjustRightInd w:val="0"/>
        <w:snapToGrid w:val="0"/>
        <w:spacing w:line="360" w:lineRule="auto"/>
        <w:ind w:firstLine="480" w:firstLineChars="200"/>
        <w:rPr>
          <w:rFonts w:ascii="宋体" w:hAnsi="宋体"/>
          <w:szCs w:val="21"/>
        </w:rPr>
      </w:pPr>
    </w:p>
    <w:p w14:paraId="2671FCF1">
      <w:pPr>
        <w:adjustRightInd w:val="0"/>
        <w:snapToGrid w:val="0"/>
        <w:spacing w:line="360" w:lineRule="auto"/>
        <w:rPr>
          <w:rFonts w:ascii="宋体" w:hAnsi="宋体"/>
          <w:szCs w:val="21"/>
        </w:rPr>
      </w:pPr>
      <w:r>
        <w:rPr>
          <w:rFonts w:hint="eastAsia" w:ascii="宋体" w:hAnsi="宋体"/>
          <w:szCs w:val="21"/>
        </w:rPr>
        <w:t>投标人名称（盖单位章）：</w:t>
      </w:r>
    </w:p>
    <w:p w14:paraId="492147A6">
      <w:pPr>
        <w:adjustRightInd w:val="0"/>
        <w:snapToGrid w:val="0"/>
        <w:spacing w:line="360" w:lineRule="auto"/>
        <w:ind w:right="420"/>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（签字或印章）：</w:t>
      </w:r>
    </w:p>
    <w:p w14:paraId="7C2BAC7A">
      <w:pPr>
        <w:adjustRightInd w:val="0"/>
        <w:snapToGrid w:val="0"/>
        <w:spacing w:line="360" w:lineRule="auto"/>
        <w:ind w:right="420"/>
        <w:rPr>
          <w:rFonts w:ascii="宋体" w:hAnsi="宋体"/>
          <w:szCs w:val="21"/>
        </w:rPr>
      </w:pPr>
      <w:r>
        <w:rPr>
          <w:rFonts w:hint="eastAsia" w:ascii="宋体" w:hAnsi="宋体"/>
          <w:szCs w:val="21"/>
        </w:rPr>
        <w:t>委托代理人（签字或印章）：</w:t>
      </w:r>
    </w:p>
    <w:p w14:paraId="550256E3">
      <w:pPr>
        <w:adjustRightInd w:val="0"/>
        <w:snapToGrid w:val="0"/>
        <w:spacing w:line="360" w:lineRule="auto"/>
        <w:ind w:right="420"/>
        <w:rPr>
          <w:rFonts w:ascii="宋体" w:hAnsi="宋体"/>
          <w:szCs w:val="21"/>
        </w:rPr>
      </w:pPr>
      <w:r>
        <w:rPr>
          <w:rFonts w:hint="eastAsia" w:ascii="宋体" w:hAnsi="宋体" w:cs="宋体"/>
          <w:szCs w:val="21"/>
        </w:rPr>
        <w:t>日期：</w:t>
      </w:r>
      <w:r>
        <w:rPr>
          <w:rFonts w:hint="eastAsia" w:ascii="宋体" w:hAnsi="宋体"/>
          <w:szCs w:val="21"/>
        </w:rPr>
        <w:t>年月日</w:t>
      </w:r>
    </w:p>
    <w:p w14:paraId="256631D6">
      <w:pPr>
        <w:pStyle w:val="44"/>
        <w:ind w:left="0" w:leftChars="0" w:firstLine="0" w:firstLineChars="0"/>
      </w:pPr>
    </w:p>
    <w:p w14:paraId="4C69BB49">
      <w:pPr>
        <w:pStyle w:val="2"/>
        <w:numPr>
          <w:ilvl w:val="0"/>
          <w:numId w:val="0"/>
        </w:numPr>
        <w:adjustRightInd w:val="0"/>
        <w:snapToGrid w:val="0"/>
        <w:spacing w:before="0" w:after="0" w:line="360" w:lineRule="auto"/>
        <w:jc w:val="center"/>
        <w:rPr>
          <w:rFonts w:hint="eastAsia" w:ascii="黑体" w:hAnsi="宋体" w:eastAsia="黑体"/>
          <w:color w:val="000000"/>
          <w:sz w:val="28"/>
          <w:szCs w:val="28"/>
          <w:lang w:val="en-US" w:eastAsia="zh-CN"/>
        </w:rPr>
      </w:pPr>
      <w:bookmarkStart w:id="124" w:name="_Toc10664"/>
      <w:r>
        <w:rPr>
          <w:rFonts w:hint="eastAsia" w:ascii="黑体" w:hAnsi="宋体" w:eastAsia="黑体"/>
          <w:color w:val="000000"/>
          <w:sz w:val="28"/>
          <w:szCs w:val="28"/>
          <w:lang w:val="en-US" w:eastAsia="zh-CN"/>
        </w:rPr>
        <w:t>四、投标人提供的资格证明文件</w:t>
      </w:r>
      <w:bookmarkEnd w:id="124"/>
      <w:bookmarkStart w:id="125" w:name="_Toc294206743"/>
      <w:bookmarkStart w:id="126" w:name="_Toc294186060"/>
    </w:p>
    <w:p w14:paraId="5BF8AB56">
      <w:pPr>
        <w:pStyle w:val="25"/>
        <w:adjustRightInd w:val="0"/>
        <w:snapToGrid w:val="0"/>
        <w:spacing w:line="360" w:lineRule="auto"/>
        <w:jc w:val="center"/>
        <w:rPr>
          <w:rFonts w:hAnsi="宋体" w:cs="Times New Roman"/>
          <w:b/>
          <w:bCs/>
          <w:color w:val="000000"/>
          <w:sz w:val="24"/>
          <w:szCs w:val="24"/>
        </w:rPr>
      </w:pPr>
    </w:p>
    <w:bookmarkEnd w:id="125"/>
    <w:bookmarkEnd w:id="126"/>
    <w:p w14:paraId="472E4489">
      <w:pPr>
        <w:pStyle w:val="25"/>
        <w:adjustRightInd w:val="0"/>
        <w:snapToGrid w:val="0"/>
        <w:spacing w:line="360" w:lineRule="auto"/>
        <w:jc w:val="center"/>
        <w:rPr>
          <w:rFonts w:ascii="黑体" w:hAnsi="黑体" w:eastAsia="黑体" w:cs="Times New Roman"/>
          <w:b/>
          <w:bCs/>
          <w:sz w:val="28"/>
          <w:szCs w:val="28"/>
        </w:rPr>
      </w:pPr>
      <w:r>
        <w:rPr>
          <w:rFonts w:hint="eastAsia" w:ascii="黑体" w:hAnsi="黑体" w:eastAsia="黑体" w:cs="Times New Roman"/>
          <w:b/>
          <w:bCs/>
          <w:sz w:val="28"/>
          <w:szCs w:val="28"/>
        </w:rPr>
        <w:t>须  知</w:t>
      </w:r>
    </w:p>
    <w:p w14:paraId="788315D9">
      <w:pPr>
        <w:tabs>
          <w:tab w:val="left" w:pos="4725"/>
        </w:tabs>
        <w:adjustRightInd w:val="0"/>
        <w:snapToGrid w:val="0"/>
        <w:spacing w:beforeLines="50" w:line="360" w:lineRule="auto"/>
        <w:ind w:firstLine="482" w:firstLineChars="200"/>
        <w:rPr>
          <w:rFonts w:ascii="宋体" w:hAnsi="宋体"/>
          <w:b/>
          <w:bCs/>
          <w:szCs w:val="21"/>
        </w:rPr>
      </w:pPr>
      <w:r>
        <w:rPr>
          <w:rFonts w:hint="eastAsia" w:ascii="宋体" w:hAnsi="宋体"/>
          <w:b/>
          <w:szCs w:val="21"/>
        </w:rPr>
        <w:t>1、投标人</w:t>
      </w:r>
      <w:r>
        <w:rPr>
          <w:rFonts w:hint="eastAsia" w:ascii="宋体" w:hAnsi="宋体"/>
          <w:b/>
          <w:bCs/>
          <w:szCs w:val="21"/>
        </w:rPr>
        <w:t>应按第二章第15.1款要求提供下列的证明材料</w:t>
      </w:r>
    </w:p>
    <w:p w14:paraId="756248B5">
      <w:pPr>
        <w:tabs>
          <w:tab w:val="left" w:pos="4725"/>
        </w:tabs>
        <w:adjustRightInd w:val="0"/>
        <w:snapToGrid w:val="0"/>
        <w:spacing w:beforeLines="50" w:line="360" w:lineRule="auto"/>
        <w:ind w:firstLine="840" w:firstLineChars="350"/>
        <w:rPr>
          <w:rFonts w:ascii="宋体" w:hAnsi="宋体"/>
          <w:szCs w:val="21"/>
        </w:rPr>
      </w:pPr>
      <w:r>
        <w:rPr>
          <w:rFonts w:hint="eastAsia" w:ascii="宋体" w:hAnsi="宋体"/>
          <w:szCs w:val="21"/>
        </w:rPr>
        <w:t>附件</w:t>
      </w:r>
      <w:r>
        <w:rPr>
          <w:rFonts w:hint="eastAsia" w:ascii="宋体" w:hAnsi="宋体"/>
          <w:szCs w:val="21"/>
          <w:lang w:val="en-US" w:eastAsia="zh-CN"/>
        </w:rPr>
        <w:t>4</w:t>
      </w:r>
      <w:r>
        <w:rPr>
          <w:rFonts w:hint="eastAsia" w:ascii="宋体" w:hAnsi="宋体"/>
          <w:szCs w:val="21"/>
        </w:rPr>
        <w:t>-1 投标人资格声明(格式)</w:t>
      </w:r>
    </w:p>
    <w:p w14:paraId="5193C073">
      <w:pPr>
        <w:tabs>
          <w:tab w:val="left" w:pos="4725"/>
        </w:tabs>
        <w:adjustRightInd w:val="0"/>
        <w:snapToGrid w:val="0"/>
        <w:spacing w:beforeLines="50" w:line="360" w:lineRule="auto"/>
        <w:ind w:firstLine="840" w:firstLineChars="350"/>
        <w:rPr>
          <w:rFonts w:ascii="宋体" w:hAnsi="宋体"/>
          <w:szCs w:val="21"/>
        </w:rPr>
      </w:pPr>
      <w:r>
        <w:rPr>
          <w:rFonts w:hint="eastAsia" w:ascii="宋体" w:hAnsi="宋体"/>
          <w:szCs w:val="21"/>
        </w:rPr>
        <w:t>附件</w:t>
      </w:r>
      <w:r>
        <w:rPr>
          <w:rFonts w:hint="eastAsia" w:ascii="宋体" w:hAnsi="宋体"/>
          <w:szCs w:val="21"/>
          <w:lang w:val="en-US" w:eastAsia="zh-CN"/>
        </w:rPr>
        <w:t>4</w:t>
      </w:r>
      <w:r>
        <w:rPr>
          <w:rFonts w:hint="eastAsia" w:ascii="宋体" w:hAnsi="宋体"/>
          <w:szCs w:val="21"/>
        </w:rPr>
        <w:t>-2 法人或者其他组织的营业执照等主体资格证明文件，自然人的身份证明</w:t>
      </w:r>
    </w:p>
    <w:p w14:paraId="1719B800">
      <w:pPr>
        <w:tabs>
          <w:tab w:val="left" w:pos="4725"/>
        </w:tabs>
        <w:adjustRightInd w:val="0"/>
        <w:snapToGrid w:val="0"/>
        <w:spacing w:beforeLines="50" w:line="360" w:lineRule="auto"/>
        <w:ind w:firstLine="840" w:firstLineChars="350"/>
        <w:rPr>
          <w:rFonts w:ascii="宋体" w:hAnsi="宋体"/>
          <w:szCs w:val="21"/>
        </w:rPr>
      </w:pPr>
      <w:r>
        <w:rPr>
          <w:rFonts w:hint="eastAsia" w:ascii="宋体" w:hAnsi="宋体"/>
          <w:szCs w:val="21"/>
        </w:rPr>
        <w:t>附件</w:t>
      </w:r>
      <w:r>
        <w:rPr>
          <w:rFonts w:hint="eastAsia" w:ascii="宋体" w:hAnsi="宋体"/>
          <w:szCs w:val="21"/>
          <w:lang w:val="en-US" w:eastAsia="zh-CN"/>
        </w:rPr>
        <w:t>4</w:t>
      </w:r>
      <w:r>
        <w:rPr>
          <w:rFonts w:hint="eastAsia" w:ascii="宋体" w:hAnsi="宋体"/>
          <w:szCs w:val="21"/>
        </w:rPr>
        <w:t>-3 湖南省政府采购供应商资格承诺函(格式)</w:t>
      </w:r>
    </w:p>
    <w:p w14:paraId="7D69E8CD">
      <w:pPr>
        <w:tabs>
          <w:tab w:val="left" w:pos="4725"/>
        </w:tabs>
        <w:adjustRightInd w:val="0"/>
        <w:snapToGrid w:val="0"/>
        <w:spacing w:beforeLines="50" w:line="360" w:lineRule="auto"/>
        <w:ind w:firstLine="840" w:firstLineChars="350"/>
        <w:rPr>
          <w:rFonts w:ascii="宋体" w:hAnsi="宋体"/>
          <w:szCs w:val="21"/>
        </w:rPr>
      </w:pPr>
      <w:r>
        <w:rPr>
          <w:rFonts w:hint="eastAsia" w:ascii="宋体" w:hAnsi="宋体"/>
          <w:szCs w:val="21"/>
        </w:rPr>
        <w:t>附件</w:t>
      </w:r>
      <w:r>
        <w:rPr>
          <w:rFonts w:hint="eastAsia" w:ascii="宋体" w:hAnsi="宋体"/>
          <w:szCs w:val="21"/>
          <w:lang w:val="en-US" w:eastAsia="zh-CN"/>
        </w:rPr>
        <w:t>4</w:t>
      </w:r>
      <w:r>
        <w:rPr>
          <w:rFonts w:hint="eastAsia" w:ascii="宋体" w:hAnsi="宋体"/>
          <w:szCs w:val="21"/>
        </w:rPr>
        <w:t>-4 符合特定资格条件证明材料复印件或者情况说明</w:t>
      </w:r>
    </w:p>
    <w:p w14:paraId="17BF47C6">
      <w:pPr>
        <w:tabs>
          <w:tab w:val="left" w:pos="4725"/>
        </w:tabs>
        <w:adjustRightInd w:val="0"/>
        <w:snapToGrid w:val="0"/>
        <w:spacing w:beforeLines="50" w:line="360" w:lineRule="auto"/>
        <w:ind w:firstLine="840" w:firstLineChars="350"/>
        <w:rPr>
          <w:rFonts w:ascii="宋体" w:hAnsi="宋体"/>
          <w:szCs w:val="21"/>
        </w:rPr>
      </w:pPr>
      <w:r>
        <w:rPr>
          <w:rFonts w:hint="eastAsia" w:ascii="宋体" w:hAnsi="宋体"/>
          <w:szCs w:val="21"/>
        </w:rPr>
        <w:t>附件</w:t>
      </w:r>
      <w:r>
        <w:rPr>
          <w:rFonts w:hint="eastAsia" w:ascii="宋体" w:hAnsi="宋体"/>
          <w:szCs w:val="21"/>
          <w:lang w:val="en-US" w:eastAsia="zh-CN"/>
        </w:rPr>
        <w:t>4</w:t>
      </w:r>
      <w:r>
        <w:rPr>
          <w:rFonts w:hint="eastAsia" w:ascii="宋体" w:hAnsi="宋体"/>
          <w:szCs w:val="21"/>
        </w:rPr>
        <w:t>-5 联合体协议书（格式）（联合体形式投标的提供）</w:t>
      </w:r>
    </w:p>
    <w:p w14:paraId="46616394">
      <w:pPr>
        <w:tabs>
          <w:tab w:val="left" w:pos="4725"/>
        </w:tabs>
        <w:adjustRightInd w:val="0"/>
        <w:snapToGrid w:val="0"/>
        <w:spacing w:beforeLines="50" w:line="360" w:lineRule="auto"/>
        <w:ind w:firstLine="480" w:firstLineChars="200"/>
        <w:rPr>
          <w:rFonts w:ascii="宋体" w:hAnsi="宋体" w:cs="宋体"/>
          <w:szCs w:val="21"/>
        </w:rPr>
      </w:pPr>
      <w:r>
        <w:rPr>
          <w:rFonts w:hint="eastAsia" w:ascii="宋体" w:hAnsi="宋体"/>
          <w:szCs w:val="21"/>
        </w:rPr>
        <w:t>2、</w:t>
      </w:r>
      <w:r>
        <w:rPr>
          <w:rFonts w:hint="eastAsia" w:ascii="宋体" w:hAnsi="宋体" w:cs="宋体"/>
          <w:szCs w:val="21"/>
        </w:rPr>
        <w:t>投标人以联合体形式投标的，除应提交联合协议书(本节附4-4)外，参加联合体的各方均应提交上款资格证明材料。</w:t>
      </w:r>
    </w:p>
    <w:p w14:paraId="325D466B">
      <w:pPr>
        <w:tabs>
          <w:tab w:val="left" w:pos="4725"/>
        </w:tabs>
        <w:adjustRightInd w:val="0"/>
        <w:snapToGrid w:val="0"/>
        <w:spacing w:beforeLines="50" w:line="360" w:lineRule="auto"/>
        <w:ind w:firstLine="480" w:firstLineChars="200"/>
        <w:rPr>
          <w:rFonts w:ascii="宋体" w:hAnsi="宋体"/>
          <w:szCs w:val="21"/>
        </w:rPr>
      </w:pPr>
      <w:r>
        <w:rPr>
          <w:rFonts w:hint="eastAsia" w:ascii="宋体" w:hAnsi="宋体"/>
          <w:szCs w:val="21"/>
          <w:lang w:val="en-US" w:eastAsia="zh-CN"/>
        </w:rPr>
        <w:t>3</w:t>
      </w:r>
      <w:r>
        <w:rPr>
          <w:rFonts w:hint="eastAsia" w:ascii="宋体" w:hAnsi="宋体"/>
          <w:szCs w:val="21"/>
        </w:rPr>
        <w:t>、附件</w:t>
      </w:r>
      <w:r>
        <w:rPr>
          <w:rFonts w:hint="eastAsia" w:ascii="宋体" w:hAnsi="宋体"/>
          <w:szCs w:val="21"/>
          <w:lang w:val="en-US" w:eastAsia="zh-CN"/>
        </w:rPr>
        <w:t>4</w:t>
      </w:r>
      <w:r>
        <w:rPr>
          <w:rFonts w:hint="eastAsia" w:ascii="宋体" w:hAnsi="宋体"/>
          <w:szCs w:val="21"/>
        </w:rPr>
        <w:t>-7 投标人应提供的其他资格证明文件</w:t>
      </w:r>
    </w:p>
    <w:p w14:paraId="15800520">
      <w:pPr>
        <w:tabs>
          <w:tab w:val="left" w:pos="4725"/>
        </w:tabs>
        <w:adjustRightInd w:val="0"/>
        <w:snapToGrid w:val="0"/>
        <w:spacing w:beforeLines="50" w:line="360" w:lineRule="auto"/>
        <w:rPr>
          <w:rFonts w:ascii="宋体" w:hAnsi="宋体"/>
          <w:szCs w:val="21"/>
        </w:rPr>
      </w:pPr>
    </w:p>
    <w:p w14:paraId="30B832CA">
      <w:pPr>
        <w:pStyle w:val="63"/>
      </w:pPr>
    </w:p>
    <w:p w14:paraId="0EE9B75D">
      <w:pPr>
        <w:tabs>
          <w:tab w:val="left" w:pos="4725"/>
        </w:tabs>
        <w:adjustRightInd w:val="0"/>
        <w:snapToGrid w:val="0"/>
        <w:spacing w:line="360" w:lineRule="auto"/>
        <w:rPr>
          <w:rFonts w:ascii="宋体" w:hAnsi="宋体" w:cs="宋体"/>
          <w:szCs w:val="21"/>
        </w:rPr>
      </w:pPr>
    </w:p>
    <w:p w14:paraId="7B621EF1">
      <w:pPr>
        <w:widowControl/>
        <w:adjustRightInd w:val="0"/>
        <w:snapToGrid w:val="0"/>
        <w:spacing w:line="360" w:lineRule="auto"/>
        <w:jc w:val="left"/>
        <w:rPr>
          <w:rFonts w:ascii="黑体" w:hAnsi="仿宋" w:eastAsia="黑体" w:cs="宋体"/>
          <w:sz w:val="10"/>
          <w:szCs w:val="10"/>
        </w:rPr>
      </w:pPr>
      <w:r>
        <w:rPr>
          <w:rFonts w:ascii="黑体" w:hAnsi="仿宋" w:eastAsia="黑体" w:cs="宋体"/>
          <w:szCs w:val="21"/>
        </w:rPr>
        <w:br w:type="page"/>
      </w:r>
    </w:p>
    <w:p w14:paraId="6C659DC8">
      <w:pPr>
        <w:keepNext/>
        <w:keepLines/>
        <w:adjustRightInd w:val="0"/>
        <w:snapToGrid w:val="0"/>
        <w:spacing w:beforeLines="50" w:line="360" w:lineRule="auto"/>
        <w:outlineLvl w:val="3"/>
        <w:rPr>
          <w:rFonts w:ascii="黑体" w:hAnsi="仿宋" w:eastAsia="黑体" w:cs="宋体"/>
          <w:bCs/>
          <w:color w:val="000000" w:themeColor="text1"/>
          <w:szCs w:val="21"/>
          <w14:textFill>
            <w14:solidFill>
              <w14:schemeClr w14:val="tx1"/>
            </w14:solidFill>
          </w14:textFill>
        </w:rPr>
      </w:pPr>
      <w:bookmarkStart w:id="127" w:name="_Toc7690"/>
      <w:bookmarkStart w:id="128" w:name="_Toc24486"/>
      <w:bookmarkStart w:id="129" w:name="_Toc20651250"/>
      <w:bookmarkStart w:id="130" w:name="_Toc24591"/>
      <w:bookmarkStart w:id="131" w:name="_Toc590"/>
      <w:r>
        <w:rPr>
          <w:rFonts w:hint="eastAsia" w:ascii="黑体" w:hAnsi="仿宋" w:eastAsia="黑体" w:cs="宋体"/>
          <w:bCs/>
          <w:color w:val="000000" w:themeColor="text1"/>
          <w:szCs w:val="21"/>
          <w14:textFill>
            <w14:solidFill>
              <w14:schemeClr w14:val="tx1"/>
            </w14:solidFill>
          </w14:textFill>
        </w:rPr>
        <w:t>附件</w:t>
      </w:r>
      <w:r>
        <w:rPr>
          <w:rFonts w:hint="eastAsia" w:ascii="黑体" w:hAnsi="仿宋" w:eastAsia="黑体" w:cs="宋体"/>
          <w:bCs/>
          <w:color w:val="000000" w:themeColor="text1"/>
          <w:szCs w:val="21"/>
          <w:lang w:val="en-US" w:eastAsia="zh-CN"/>
          <w14:textFill>
            <w14:solidFill>
              <w14:schemeClr w14:val="tx1"/>
            </w14:solidFill>
          </w14:textFill>
        </w:rPr>
        <w:t>4</w:t>
      </w:r>
      <w:r>
        <w:rPr>
          <w:rFonts w:hint="eastAsia" w:ascii="黑体" w:hAnsi="仿宋" w:eastAsia="黑体" w:cs="宋体"/>
          <w:bCs/>
          <w:color w:val="000000" w:themeColor="text1"/>
          <w:szCs w:val="21"/>
          <w14:textFill>
            <w14:solidFill>
              <w14:schemeClr w14:val="tx1"/>
            </w14:solidFill>
          </w14:textFill>
        </w:rPr>
        <w:t>-1 投标人资格声明(格式)</w:t>
      </w:r>
      <w:bookmarkEnd w:id="127"/>
      <w:bookmarkEnd w:id="128"/>
      <w:bookmarkEnd w:id="129"/>
      <w:bookmarkEnd w:id="130"/>
    </w:p>
    <w:p w14:paraId="43411E9E">
      <w:pPr>
        <w:widowControl/>
        <w:adjustRightInd w:val="0"/>
        <w:snapToGrid w:val="0"/>
        <w:spacing w:beforeLines="50" w:line="360" w:lineRule="auto"/>
        <w:jc w:val="center"/>
        <w:rPr>
          <w:rFonts w:ascii="宋体" w:hAnsi="宋体" w:cs="宋体"/>
          <w:color w:val="000000" w:themeColor="text1"/>
          <w:szCs w:val="21"/>
          <w14:textFill>
            <w14:solidFill>
              <w14:schemeClr w14:val="tx1"/>
            </w14:solidFill>
          </w14:textFill>
        </w:rPr>
      </w:pPr>
      <w:r>
        <w:rPr>
          <w:rFonts w:hint="eastAsia" w:ascii="黑体" w:hAnsi="仿宋" w:eastAsia="黑体" w:cs="宋体"/>
          <w:b/>
          <w:color w:val="000000" w:themeColor="text1"/>
          <w:sz w:val="28"/>
          <w:szCs w:val="28"/>
          <w14:textFill>
            <w14:solidFill>
              <w14:schemeClr w14:val="tx1"/>
            </w14:solidFill>
          </w14:textFill>
        </w:rPr>
        <w:t>投标人资格声明(格式)</w:t>
      </w:r>
    </w:p>
    <w:p w14:paraId="310C4FB2">
      <w:pPr>
        <w:widowControl/>
        <w:adjustRightInd w:val="0"/>
        <w:snapToGrid w:val="0"/>
        <w:spacing w:beforeLines="50"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致(采购人、采购代理机构)：</w:t>
      </w:r>
    </w:p>
    <w:p w14:paraId="30EB264A">
      <w:pPr>
        <w:widowControl/>
        <w:adjustRightInd w:val="0"/>
        <w:snapToGrid w:val="0"/>
        <w:spacing w:beforeLines="50" w:line="360" w:lineRule="auto"/>
        <w:ind w:firstLine="48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按照《中华人民共和国政府采购法》第二十二条和招标文件的规定，我单位郑重声明如下：</w:t>
      </w:r>
    </w:p>
    <w:p w14:paraId="4FD1898B">
      <w:pPr>
        <w:widowControl/>
        <w:adjustRightInd w:val="0"/>
        <w:snapToGrid w:val="0"/>
        <w:spacing w:beforeLines="50" w:line="360" w:lineRule="auto"/>
        <w:ind w:firstLine="48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一、我单位是按照中华人民共和国法律规定登记注册的，注册地点为，全称为，统一社会信用代码为，法定代表人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为，</w:t>
      </w:r>
      <w:r>
        <w:rPr>
          <w:rFonts w:hint="eastAsia" w:ascii="宋体" w:hAnsi="宋体" w:cs="宋体"/>
          <w:szCs w:val="21"/>
        </w:rPr>
        <w:t>企业规模为</w:t>
      </w:r>
      <w:r>
        <w:rPr>
          <w:rFonts w:hint="eastAsia" w:ascii="宋体" w:hAnsi="宋体" w:cs="宋体"/>
          <w:color w:val="000000" w:themeColor="text1"/>
          <w:szCs w:val="21"/>
          <w14:textFill>
            <w14:solidFill>
              <w14:schemeClr w14:val="tx1"/>
            </w14:solidFill>
          </w14:textFill>
        </w:rPr>
        <w:t>，具有独立承担民事责任的能力。</w:t>
      </w:r>
    </w:p>
    <w:p w14:paraId="18F1E147">
      <w:pPr>
        <w:widowControl/>
        <w:adjustRightInd w:val="0"/>
        <w:snapToGrid w:val="0"/>
        <w:spacing w:beforeLines="50" w:line="360" w:lineRule="auto"/>
        <w:ind w:firstLine="48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二、我单位未被</w:t>
      </w:r>
      <w:r>
        <w:rPr>
          <w:rFonts w:hint="eastAsia" w:ascii="华文中宋" w:hAnsi="华文中宋" w:eastAsia="华文中宋"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国家企业信用信息系统</w:t>
      </w:r>
      <w:r>
        <w:rPr>
          <w:rFonts w:hint="eastAsia" w:ascii="华文中宋" w:hAnsi="华文中宋" w:eastAsia="华文中宋"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列入经营异常名录或者严重违法企业名单。</w:t>
      </w:r>
    </w:p>
    <w:p w14:paraId="4BB422A0">
      <w:pPr>
        <w:widowControl/>
        <w:adjustRightInd w:val="0"/>
        <w:snapToGrid w:val="0"/>
        <w:spacing w:beforeLines="50" w:line="360" w:lineRule="auto"/>
        <w:ind w:firstLine="48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三、</w:t>
      </w:r>
      <w:r>
        <w:rPr>
          <w:rFonts w:hint="eastAsia" w:ascii="宋体" w:hAnsi="宋体" w:cs="宋体"/>
          <w:color w:val="000000" w:themeColor="text1"/>
          <w:szCs w:val="21"/>
          <w14:textFill>
            <w14:solidFill>
              <w14:schemeClr w14:val="tx1"/>
            </w14:solidFill>
          </w14:textFill>
        </w:rPr>
        <w:t>我单位具有良好的商业信誉和健全的财务会计制度。</w:t>
      </w:r>
    </w:p>
    <w:p w14:paraId="1ED727F8">
      <w:pPr>
        <w:widowControl/>
        <w:adjustRightInd w:val="0"/>
        <w:snapToGrid w:val="0"/>
        <w:spacing w:beforeLines="50" w:line="360" w:lineRule="auto"/>
        <w:ind w:firstLine="48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四、我</w:t>
      </w:r>
      <w:r>
        <w:rPr>
          <w:rFonts w:hint="eastAsia" w:ascii="宋体" w:hAnsi="宋体" w:cs="宋体"/>
          <w:color w:val="000000" w:themeColor="text1"/>
          <w:szCs w:val="21"/>
          <w14:textFill>
            <w14:solidFill>
              <w14:schemeClr w14:val="tx1"/>
            </w14:solidFill>
          </w14:textFill>
        </w:rPr>
        <w:t>单位</w:t>
      </w:r>
      <w:r>
        <w:rPr>
          <w:rFonts w:hint="eastAsia" w:ascii="宋体" w:hAnsi="宋体" w:cs="宋体"/>
          <w:color w:val="000000" w:themeColor="text1"/>
          <w:kern w:val="0"/>
          <w:szCs w:val="21"/>
          <w14:textFill>
            <w14:solidFill>
              <w14:schemeClr w14:val="tx1"/>
            </w14:solidFill>
          </w14:textFill>
        </w:rPr>
        <w:t>依法进行纳税和社会保险申报并实际履行了义务。</w:t>
      </w:r>
    </w:p>
    <w:p w14:paraId="2FE64F25">
      <w:pPr>
        <w:widowControl/>
        <w:adjustRightInd w:val="0"/>
        <w:snapToGrid w:val="0"/>
        <w:spacing w:beforeLines="50" w:line="360" w:lineRule="auto"/>
        <w:ind w:firstLine="48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五、我单位具有履行本项目采购合同所必需的设备和专业技术能力，并具有履行合同的良好</w:t>
      </w:r>
      <w:r>
        <w:rPr>
          <w:rFonts w:ascii="宋体" w:hAnsi="宋体"/>
          <w:color w:val="000000" w:themeColor="text1"/>
          <w:szCs w:val="21"/>
          <w14:textFill>
            <w14:solidFill>
              <w14:schemeClr w14:val="tx1"/>
            </w14:solidFill>
          </w14:textFill>
        </w:rPr>
        <w:t>记录</w:t>
      </w:r>
      <w:r>
        <w:rPr>
          <w:rFonts w:hint="eastAsia" w:ascii="宋体" w:hAnsi="宋体" w:cs="宋体"/>
          <w:color w:val="000000" w:themeColor="text1"/>
          <w:szCs w:val="21"/>
          <w14:textFill>
            <w14:solidFill>
              <w14:schemeClr w14:val="tx1"/>
            </w14:solidFill>
          </w14:textFill>
        </w:rPr>
        <w:t>。</w:t>
      </w:r>
    </w:p>
    <w:p w14:paraId="7616BE9D">
      <w:pPr>
        <w:widowControl/>
        <w:adjustRightInd w:val="0"/>
        <w:snapToGrid w:val="0"/>
        <w:spacing w:beforeLines="50" w:line="360" w:lineRule="auto"/>
        <w:ind w:firstLine="48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六、我单位在参加采购项目政府采购活动前</w:t>
      </w:r>
      <w:r>
        <w:rPr>
          <w:rFonts w:hint="eastAsia" w:ascii="宋体" w:hAnsi="宋体" w:cs="宋体"/>
          <w:color w:val="000000" w:themeColor="text1"/>
          <w:szCs w:val="21"/>
          <w:lang w:eastAsia="zh-CN"/>
          <w14:textFill>
            <w14:solidFill>
              <w14:schemeClr w14:val="tx1"/>
            </w14:solidFill>
          </w14:textFill>
        </w:rPr>
        <w:t>两年</w:t>
      </w:r>
      <w:r>
        <w:rPr>
          <w:rFonts w:hint="eastAsia" w:ascii="宋体" w:hAnsi="宋体" w:cs="宋体"/>
          <w:color w:val="000000" w:themeColor="text1"/>
          <w:szCs w:val="21"/>
          <w14:textFill>
            <w14:solidFill>
              <w14:schemeClr w14:val="tx1"/>
            </w14:solidFill>
          </w14:textFill>
        </w:rPr>
        <w:t>内，在经营活动中，未因违法经营受到刑事处罚或者责令停产停业、吊销许可证或者执照、较大数额罚款等行政处罚。其中较大数额罚款是指：达到处罚地行政处罚听证范围中“较大数额罚款”标准的；法律、法规、规章、国务院有关行政主管部门对“较大数额罚款”标准另有规定的，从其规定。</w:t>
      </w:r>
    </w:p>
    <w:p w14:paraId="56226478">
      <w:pPr>
        <w:widowControl/>
        <w:adjustRightInd w:val="0"/>
        <w:snapToGrid w:val="0"/>
        <w:spacing w:beforeLines="50" w:line="360" w:lineRule="auto"/>
        <w:ind w:firstLine="48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供应商在参加政府采购活动前3年内因违法经营被禁止在一定期限内参加政府采购活动，期限届满的，可以参加政府采购活动。</w:t>
      </w:r>
    </w:p>
    <w:p w14:paraId="093A1967">
      <w:pPr>
        <w:widowControl/>
        <w:adjustRightInd w:val="0"/>
        <w:snapToGrid w:val="0"/>
        <w:spacing w:beforeLines="50" w:line="360" w:lineRule="auto"/>
        <w:ind w:firstLine="480" w:firstLineChars="200"/>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七、我单位具备法律、行政法规规定的其他条件。</w:t>
      </w:r>
    </w:p>
    <w:p w14:paraId="2D216FDB">
      <w:pPr>
        <w:widowControl/>
        <w:adjustRightInd w:val="0"/>
        <w:snapToGrid w:val="0"/>
        <w:spacing w:beforeLines="50" w:line="360" w:lineRule="auto"/>
        <w:ind w:firstLine="480" w:firstLineChars="200"/>
        <w:jc w:val="left"/>
        <w:rPr>
          <w:color w:val="000000" w:themeColor="text1"/>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八、</w:t>
      </w:r>
      <w:r>
        <w:rPr>
          <w:rFonts w:hint="eastAsia"/>
          <w:color w:val="000000" w:themeColor="text1"/>
          <w:szCs w:val="21"/>
          <w14:textFill>
            <w14:solidFill>
              <w14:schemeClr w14:val="tx1"/>
            </w14:solidFill>
          </w14:textFill>
        </w:rPr>
        <w:t>与我单位存在“单位负责人为同一人或者存在直接控股、管理关系”的其他单位信息如下（如无，填写“无”）：</w:t>
      </w:r>
    </w:p>
    <w:p w14:paraId="3633BF94">
      <w:pPr>
        <w:adjustRightInd w:val="0"/>
        <w:snapToGrid w:val="0"/>
        <w:spacing w:beforeLines="50" w:line="360" w:lineRule="auto"/>
        <w:ind w:firstLine="480" w:firstLineChars="200"/>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hint="eastAsia"/>
          <w:color w:val="000000" w:themeColor="text1"/>
          <w:szCs w:val="21"/>
          <w14:textFill>
            <w14:solidFill>
              <w14:schemeClr w14:val="tx1"/>
            </w14:solidFill>
          </w14:textFill>
        </w:rPr>
        <w:t>与我单位的法定代表人（单位负责人）为同一人的其他单位如下：</w:t>
      </w:r>
    </w:p>
    <w:p w14:paraId="1D4EF2EF">
      <w:pPr>
        <w:adjustRightInd w:val="0"/>
        <w:snapToGrid w:val="0"/>
        <w:spacing w:beforeLines="50" w:line="360" w:lineRule="auto"/>
        <w:ind w:firstLine="48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2、我</w:t>
      </w:r>
      <w:r>
        <w:rPr>
          <w:rFonts w:hint="eastAsia"/>
          <w:color w:val="000000" w:themeColor="text1"/>
          <w:szCs w:val="21"/>
          <w14:textFill>
            <w14:solidFill>
              <w14:schemeClr w14:val="tx1"/>
            </w14:solidFill>
          </w14:textFill>
        </w:rPr>
        <w:t>单位</w:t>
      </w:r>
      <w:r>
        <w:rPr>
          <w:rFonts w:hint="eastAsia" w:ascii="宋体" w:hAnsi="宋体"/>
          <w:color w:val="000000" w:themeColor="text1"/>
          <w:szCs w:val="21"/>
          <w14:textFill>
            <w14:solidFill>
              <w14:schemeClr w14:val="tx1"/>
            </w14:solidFill>
          </w14:textFill>
        </w:rPr>
        <w:t>直接控股的其他单位如下：</w:t>
      </w:r>
    </w:p>
    <w:p w14:paraId="6D1F9FA8">
      <w:pPr>
        <w:adjustRightInd w:val="0"/>
        <w:snapToGrid w:val="0"/>
        <w:spacing w:beforeLines="50" w:line="360" w:lineRule="auto"/>
        <w:ind w:firstLine="480" w:firstLineChars="200"/>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3、与我</w:t>
      </w:r>
      <w:r>
        <w:rPr>
          <w:rFonts w:hint="eastAsia"/>
          <w:color w:val="000000" w:themeColor="text1"/>
          <w:szCs w:val="21"/>
          <w14:textFill>
            <w14:solidFill>
              <w14:schemeClr w14:val="tx1"/>
            </w14:solidFill>
          </w14:textFill>
        </w:rPr>
        <w:t>单位存在</w:t>
      </w:r>
      <w:r>
        <w:rPr>
          <w:rFonts w:hint="eastAsia" w:ascii="宋体" w:hAnsi="宋体"/>
          <w:color w:val="000000" w:themeColor="text1"/>
          <w:szCs w:val="21"/>
          <w14:textFill>
            <w14:solidFill>
              <w14:schemeClr w14:val="tx1"/>
            </w14:solidFill>
          </w14:textFill>
        </w:rPr>
        <w:t>管理关系的其他单位如下：</w:t>
      </w:r>
    </w:p>
    <w:p w14:paraId="01D2C80A">
      <w:pPr>
        <w:widowControl/>
        <w:adjustRightInd w:val="0"/>
        <w:snapToGrid w:val="0"/>
        <w:spacing w:beforeLines="50" w:line="360" w:lineRule="auto"/>
        <w:ind w:firstLine="480" w:firstLineChars="200"/>
        <w:jc w:val="left"/>
        <w:rPr>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九、</w:t>
      </w:r>
      <w:r>
        <w:rPr>
          <w:rFonts w:ascii="宋体" w:hAnsi="宋体"/>
          <w:color w:val="000000" w:themeColor="text1"/>
          <w:szCs w:val="21"/>
          <w14:textFill>
            <w14:solidFill>
              <w14:schemeClr w14:val="tx1"/>
            </w14:solidFill>
          </w14:textFill>
        </w:rPr>
        <w:t>我</w:t>
      </w:r>
      <w:r>
        <w:rPr>
          <w:rFonts w:hint="eastAsia" w:ascii="宋体" w:hAnsi="宋体"/>
          <w:color w:val="000000" w:themeColor="text1"/>
          <w:szCs w:val="21"/>
          <w14:textFill>
            <w14:solidFill>
              <w14:schemeClr w14:val="tx1"/>
            </w14:solidFill>
          </w14:textFill>
        </w:rPr>
        <w:t>单位</w:t>
      </w:r>
      <w:r>
        <w:rPr>
          <w:rFonts w:ascii="宋体" w:hAnsi="宋体"/>
          <w:color w:val="000000" w:themeColor="text1"/>
          <w:szCs w:val="21"/>
          <w14:textFill>
            <w14:solidFill>
              <w14:schemeClr w14:val="tx1"/>
            </w14:solidFill>
          </w14:textFill>
        </w:rPr>
        <w:t>不属于为本项目提供整体设计、规范编制或者项目管理、监理、检测等服务的投标人。</w:t>
      </w:r>
    </w:p>
    <w:p w14:paraId="20430542">
      <w:pPr>
        <w:widowControl/>
        <w:adjustRightInd w:val="0"/>
        <w:snapToGrid w:val="0"/>
        <w:spacing w:beforeLines="50" w:line="360" w:lineRule="auto"/>
        <w:ind w:firstLine="480" w:firstLineChars="200"/>
        <w:jc w:val="left"/>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十、</w:t>
      </w:r>
      <w:r>
        <w:rPr>
          <w:rFonts w:ascii="宋体" w:hAnsi="宋体"/>
          <w:color w:val="000000" w:themeColor="text1"/>
          <w:szCs w:val="21"/>
          <w14:textFill>
            <w14:solidFill>
              <w14:schemeClr w14:val="tx1"/>
            </w14:solidFill>
          </w14:textFill>
        </w:rPr>
        <w:t>我单位无以下不良信用记录情形：</w:t>
      </w:r>
    </w:p>
    <w:p w14:paraId="7D41EC6A">
      <w:pPr>
        <w:widowControl/>
        <w:adjustRightInd w:val="0"/>
        <w:snapToGrid w:val="0"/>
        <w:spacing w:beforeLines="50" w:line="360" w:lineRule="auto"/>
        <w:ind w:firstLine="48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1</w:t>
      </w:r>
      <w:r>
        <w:rPr>
          <w:rFonts w:hint="eastAsia" w:ascii="宋体" w:hAnsi="宋体"/>
          <w:color w:val="000000" w:themeColor="text1"/>
          <w:szCs w:val="21"/>
          <w14:textFill>
            <w14:solidFill>
              <w14:schemeClr w14:val="tx1"/>
            </w14:solidFill>
          </w14:textFill>
        </w:rPr>
        <w:t>、在</w:t>
      </w:r>
      <w:r>
        <w:rPr>
          <w:rFonts w:hint="eastAsia" w:ascii="宋体" w:hAnsi="宋体" w:cs="宋体"/>
          <w:color w:val="000000" w:themeColor="text1"/>
          <w:szCs w:val="21"/>
          <w14:textFill>
            <w14:solidFill>
              <w14:schemeClr w14:val="tx1"/>
            </w14:solidFill>
          </w14:textFill>
        </w:rPr>
        <w:t>“信用中国”网站被列入失信被执行人和重大税收违法案件当事人名单；</w:t>
      </w:r>
    </w:p>
    <w:p w14:paraId="6043EFD2">
      <w:pPr>
        <w:widowControl/>
        <w:adjustRightInd w:val="0"/>
        <w:snapToGrid w:val="0"/>
        <w:spacing w:beforeLines="50" w:line="360" w:lineRule="auto"/>
        <w:ind w:firstLine="48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2</w:t>
      </w:r>
      <w:r>
        <w:rPr>
          <w:rFonts w:hint="eastAsia" w:ascii="宋体" w:hAnsi="宋体"/>
          <w:color w:val="000000" w:themeColor="text1"/>
          <w:szCs w:val="21"/>
          <w14:textFill>
            <w14:solidFill>
              <w14:schemeClr w14:val="tx1"/>
            </w14:solidFill>
          </w14:textFill>
        </w:rPr>
        <w:t>、在</w:t>
      </w:r>
      <w:r>
        <w:rPr>
          <w:rFonts w:hint="eastAsia" w:ascii="宋体" w:hAnsi="宋体" w:cs="宋体"/>
          <w:color w:val="000000" w:themeColor="text1"/>
          <w:szCs w:val="21"/>
          <w14:textFill>
            <w14:solidFill>
              <w14:schemeClr w14:val="tx1"/>
            </w14:solidFill>
          </w14:textFill>
        </w:rPr>
        <w:t>“中国政府采购网”网站被列入政府采购严重违法失信行为记录名单；</w:t>
      </w:r>
    </w:p>
    <w:p w14:paraId="0978DECF">
      <w:pPr>
        <w:widowControl/>
        <w:adjustRightInd w:val="0"/>
        <w:snapToGrid w:val="0"/>
        <w:spacing w:beforeLines="50" w:line="360" w:lineRule="auto"/>
        <w:ind w:firstLine="480" w:firstLineChars="200"/>
        <w:jc w:val="left"/>
        <w:rPr>
          <w:rFonts w:ascii="宋体" w:hAnsi="宋体"/>
          <w:color w:val="000000" w:themeColor="text1"/>
          <w:szCs w:val="21"/>
          <w14:textFill>
            <w14:solidFill>
              <w14:schemeClr w14:val="tx1"/>
            </w14:solidFill>
          </w14:textFill>
        </w:rPr>
      </w:pPr>
      <w:r>
        <w:rPr>
          <w:rFonts w:ascii="宋体" w:hAnsi="宋体"/>
          <w:color w:val="000000" w:themeColor="text1"/>
          <w:szCs w:val="21"/>
          <w14:textFill>
            <w14:solidFill>
              <w14:schemeClr w14:val="tx1"/>
            </w14:solidFill>
          </w14:textFill>
        </w:rPr>
        <w:t>3</w:t>
      </w:r>
      <w:r>
        <w:rPr>
          <w:rFonts w:hint="eastAsia" w:ascii="宋体" w:hAnsi="宋体"/>
          <w:color w:val="000000" w:themeColor="text1"/>
          <w:szCs w:val="21"/>
          <w14:textFill>
            <w14:solidFill>
              <w14:schemeClr w14:val="tx1"/>
            </w14:solidFill>
          </w14:textFill>
        </w:rPr>
        <w:t>、</w:t>
      </w:r>
      <w:r>
        <w:rPr>
          <w:rFonts w:ascii="宋体" w:hAnsi="宋体"/>
          <w:color w:val="000000" w:themeColor="text1"/>
          <w:szCs w:val="21"/>
          <w14:textFill>
            <w14:solidFill>
              <w14:schemeClr w14:val="tx1"/>
            </w14:solidFill>
          </w14:textFill>
        </w:rPr>
        <w:t>不符合《政府采购法》第二十二条规定的条件。</w:t>
      </w:r>
    </w:p>
    <w:p w14:paraId="486DBD48">
      <w:pPr>
        <w:widowControl/>
        <w:adjustRightInd w:val="0"/>
        <w:snapToGrid w:val="0"/>
        <w:spacing w:beforeLines="50" w:line="360" w:lineRule="auto"/>
        <w:ind w:firstLine="48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我单位保证上述声明的事项都是真实的，如有虚假，我单位愿意承担相应的法律责任，并承担因此所造成的一切损失。</w:t>
      </w:r>
    </w:p>
    <w:p w14:paraId="4AFDB4C9">
      <w:pPr>
        <w:widowControl/>
        <w:adjustRightInd w:val="0"/>
        <w:snapToGrid w:val="0"/>
        <w:spacing w:beforeLines="50" w:line="360" w:lineRule="auto"/>
        <w:jc w:val="left"/>
        <w:rPr>
          <w:rFonts w:ascii="宋体" w:hAnsi="宋体" w:cs="宋体"/>
          <w:color w:val="000000" w:themeColor="text1"/>
          <w:szCs w:val="21"/>
          <w14:textFill>
            <w14:solidFill>
              <w14:schemeClr w14:val="tx1"/>
            </w14:solidFill>
          </w14:textFill>
        </w:rPr>
      </w:pPr>
    </w:p>
    <w:p w14:paraId="4B601967">
      <w:pPr>
        <w:widowControl/>
        <w:adjustRightInd w:val="0"/>
        <w:snapToGrid w:val="0"/>
        <w:spacing w:beforeLines="50"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注：第三条“良好的商业信誉”是指投标人经营状况良好，无本资格声明第十条情形。</w:t>
      </w:r>
    </w:p>
    <w:p w14:paraId="0F397A6E">
      <w:pPr>
        <w:widowControl/>
        <w:adjustRightInd w:val="0"/>
        <w:snapToGrid w:val="0"/>
        <w:spacing w:beforeLines="50" w:line="360" w:lineRule="auto"/>
        <w:jc w:val="left"/>
        <w:rPr>
          <w:rFonts w:ascii="宋体" w:hAnsi="宋体" w:cs="宋体"/>
          <w:color w:val="000000" w:themeColor="text1"/>
          <w:szCs w:val="21"/>
          <w14:textFill>
            <w14:solidFill>
              <w14:schemeClr w14:val="tx1"/>
            </w14:solidFill>
          </w14:textFill>
        </w:rPr>
      </w:pPr>
    </w:p>
    <w:p w14:paraId="594639B6">
      <w:pPr>
        <w:widowControl/>
        <w:adjustRightInd w:val="0"/>
        <w:snapToGrid w:val="0"/>
        <w:spacing w:line="360" w:lineRule="auto"/>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投标人名称（盖单位公章）：</w:t>
      </w:r>
    </w:p>
    <w:p w14:paraId="08868110">
      <w:pPr>
        <w:widowControl/>
        <w:adjustRightInd w:val="0"/>
        <w:snapToGrid w:val="0"/>
        <w:spacing w:line="360" w:lineRule="auto"/>
        <w:jc w:val="left"/>
        <w:rPr>
          <w:rFonts w:ascii="宋体" w:hAnsi="宋体" w:cs="宋体"/>
          <w:b/>
          <w:bCs/>
          <w:color w:val="000000" w:themeColor="text1"/>
          <w:kern w:val="0"/>
          <w:sz w:val="44"/>
          <w:szCs w:val="44"/>
          <w14:textFill>
            <w14:solidFill>
              <w14:schemeClr w14:val="tx1"/>
            </w14:solidFill>
          </w14:textFill>
        </w:rPr>
      </w:pPr>
      <w:r>
        <w:rPr>
          <w:rFonts w:hint="eastAsia" w:ascii="宋体" w:hAnsi="宋体" w:cs="微软雅黑"/>
          <w:color w:val="000000" w:themeColor="text1"/>
          <w:spacing w:val="-2"/>
          <w:kern w:val="0"/>
          <w:szCs w:val="21"/>
          <w14:textFill>
            <w14:solidFill>
              <w14:schemeClr w14:val="tx1"/>
            </w14:solidFill>
          </w14:textFill>
        </w:rPr>
        <w:t>法</w:t>
      </w:r>
      <w:r>
        <w:rPr>
          <w:rFonts w:hint="eastAsia" w:ascii="宋体" w:hAnsi="宋体" w:cs="微软雅黑"/>
          <w:color w:val="000000" w:themeColor="text1"/>
          <w:kern w:val="0"/>
          <w:szCs w:val="21"/>
          <w14:textFill>
            <w14:solidFill>
              <w14:schemeClr w14:val="tx1"/>
            </w14:solidFill>
          </w14:textFill>
        </w:rPr>
        <w:t>定</w:t>
      </w:r>
      <w:r>
        <w:rPr>
          <w:rFonts w:hint="eastAsia" w:ascii="宋体" w:hAnsi="宋体" w:cs="微软雅黑"/>
          <w:color w:val="000000" w:themeColor="text1"/>
          <w:spacing w:val="-2"/>
          <w:kern w:val="0"/>
          <w:szCs w:val="21"/>
          <w14:textFill>
            <w14:solidFill>
              <w14:schemeClr w14:val="tx1"/>
            </w14:solidFill>
          </w14:textFill>
        </w:rPr>
        <w:t>代</w:t>
      </w:r>
      <w:r>
        <w:rPr>
          <w:rFonts w:hint="eastAsia" w:ascii="宋体" w:hAnsi="宋体" w:cs="微软雅黑"/>
          <w:color w:val="000000" w:themeColor="text1"/>
          <w:kern w:val="0"/>
          <w:szCs w:val="21"/>
          <w14:textFill>
            <w14:solidFill>
              <w14:schemeClr w14:val="tx1"/>
            </w14:solidFill>
          </w14:textFill>
        </w:rPr>
        <w:t>表</w:t>
      </w:r>
      <w:r>
        <w:rPr>
          <w:rFonts w:hint="eastAsia" w:ascii="宋体" w:hAnsi="宋体" w:cs="微软雅黑"/>
          <w:color w:val="000000" w:themeColor="text1"/>
          <w:spacing w:val="-2"/>
          <w:kern w:val="0"/>
          <w:szCs w:val="21"/>
          <w14:textFill>
            <w14:solidFill>
              <w14:schemeClr w14:val="tx1"/>
            </w14:solidFill>
          </w14:textFill>
        </w:rPr>
        <w:t>人</w:t>
      </w:r>
      <w:r>
        <w:rPr>
          <w:rFonts w:hint="eastAsia" w:ascii="宋体" w:hAnsi="宋体" w:cs="微软雅黑"/>
          <w:color w:val="000000" w:themeColor="text1"/>
          <w:kern w:val="0"/>
          <w:szCs w:val="21"/>
          <w14:textFill>
            <w14:solidFill>
              <w14:schemeClr w14:val="tx1"/>
            </w14:solidFill>
          </w14:textFill>
        </w:rPr>
        <w:t>（</w:t>
      </w:r>
      <w:r>
        <w:rPr>
          <w:rFonts w:hint="eastAsia" w:ascii="宋体" w:hAnsi="宋体" w:cs="微软雅黑"/>
          <w:color w:val="000000" w:themeColor="text1"/>
          <w:spacing w:val="-2"/>
          <w:kern w:val="0"/>
          <w:szCs w:val="21"/>
          <w14:textFill>
            <w14:solidFill>
              <w14:schemeClr w14:val="tx1"/>
            </w14:solidFill>
          </w14:textFill>
        </w:rPr>
        <w:t>单</w:t>
      </w:r>
      <w:r>
        <w:rPr>
          <w:rFonts w:hint="eastAsia" w:ascii="宋体" w:hAnsi="宋体" w:cs="微软雅黑"/>
          <w:color w:val="000000" w:themeColor="text1"/>
          <w:kern w:val="0"/>
          <w:szCs w:val="21"/>
          <w14:textFill>
            <w14:solidFill>
              <w14:schemeClr w14:val="tx1"/>
            </w14:solidFill>
          </w14:textFill>
        </w:rPr>
        <w:t>位</w:t>
      </w:r>
      <w:r>
        <w:rPr>
          <w:rFonts w:hint="eastAsia" w:ascii="宋体" w:hAnsi="宋体" w:cs="微软雅黑"/>
          <w:color w:val="000000" w:themeColor="text1"/>
          <w:spacing w:val="-2"/>
          <w:kern w:val="0"/>
          <w:szCs w:val="21"/>
          <w14:textFill>
            <w14:solidFill>
              <w14:schemeClr w14:val="tx1"/>
            </w14:solidFill>
          </w14:textFill>
        </w:rPr>
        <w:t>负</w:t>
      </w:r>
      <w:r>
        <w:rPr>
          <w:rFonts w:hint="eastAsia" w:ascii="宋体" w:hAnsi="宋体" w:cs="微软雅黑"/>
          <w:color w:val="000000" w:themeColor="text1"/>
          <w:kern w:val="0"/>
          <w:szCs w:val="21"/>
          <w14:textFill>
            <w14:solidFill>
              <w14:schemeClr w14:val="tx1"/>
            </w14:solidFill>
          </w14:textFill>
        </w:rPr>
        <w:t>责人</w:t>
      </w:r>
      <w:r>
        <w:rPr>
          <w:rFonts w:hint="eastAsia" w:ascii="宋体" w:hAnsi="宋体" w:cs="微软雅黑"/>
          <w:color w:val="000000" w:themeColor="text1"/>
          <w:spacing w:val="-2"/>
          <w:kern w:val="0"/>
          <w:szCs w:val="21"/>
          <w14:textFill>
            <w14:solidFill>
              <w14:schemeClr w14:val="tx1"/>
            </w14:solidFill>
          </w14:textFill>
        </w:rPr>
        <w:t>）</w:t>
      </w:r>
      <w:r>
        <w:rPr>
          <w:rFonts w:hint="eastAsia" w:ascii="宋体" w:hAnsi="宋体"/>
          <w:color w:val="000000" w:themeColor="text1"/>
          <w14:textFill>
            <w14:solidFill>
              <w14:schemeClr w14:val="tx1"/>
            </w14:solidFill>
          </w14:textFill>
        </w:rPr>
        <w:t>或委托代理人：（签字或印章）</w:t>
      </w:r>
    </w:p>
    <w:p w14:paraId="26089A67">
      <w:pPr>
        <w:widowControl/>
        <w:adjustRightInd w:val="0"/>
        <w:snapToGrid w:val="0"/>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日期：年月日</w:t>
      </w:r>
    </w:p>
    <w:p w14:paraId="5EE68D63">
      <w:pPr>
        <w:rPr>
          <w:rFonts w:ascii="黑体" w:hAnsi="仿宋" w:cs="宋体"/>
          <w:szCs w:val="21"/>
        </w:rPr>
      </w:pPr>
      <w:r>
        <w:rPr>
          <w:rFonts w:hint="eastAsia" w:ascii="黑体" w:hAnsi="仿宋" w:cs="宋体"/>
          <w:szCs w:val="21"/>
        </w:rPr>
        <w:br w:type="page"/>
      </w:r>
    </w:p>
    <w:p w14:paraId="79146894">
      <w:pPr>
        <w:pStyle w:val="5"/>
        <w:rPr>
          <w:rFonts w:ascii="黑体" w:hAnsi="仿宋" w:cs="宋体"/>
          <w:b w:val="0"/>
          <w:sz w:val="21"/>
          <w:szCs w:val="21"/>
        </w:rPr>
      </w:pPr>
      <w:bookmarkStart w:id="132" w:name="_Toc23634"/>
      <w:bookmarkStart w:id="133" w:name="_Toc13005"/>
      <w:r>
        <w:rPr>
          <w:rFonts w:hint="eastAsia" w:ascii="黑体" w:hAnsi="仿宋" w:cs="宋体"/>
          <w:b w:val="0"/>
          <w:sz w:val="21"/>
          <w:szCs w:val="21"/>
        </w:rPr>
        <w:t>附件</w:t>
      </w:r>
      <w:r>
        <w:rPr>
          <w:rFonts w:hint="eastAsia" w:ascii="黑体" w:hAnsi="仿宋" w:cs="宋体"/>
          <w:b w:val="0"/>
          <w:sz w:val="21"/>
          <w:szCs w:val="21"/>
          <w:lang w:val="en-US" w:eastAsia="zh-CN"/>
        </w:rPr>
        <w:t>4</w:t>
      </w:r>
      <w:r>
        <w:rPr>
          <w:rFonts w:hint="eastAsia" w:ascii="黑体" w:hAnsi="仿宋" w:cs="宋体"/>
          <w:b w:val="0"/>
          <w:sz w:val="21"/>
          <w:szCs w:val="21"/>
        </w:rPr>
        <w:t>-2 法人或者其他组织的营业执照等主体资格证明文件，自然人的身份证明</w:t>
      </w:r>
      <w:bookmarkEnd w:id="131"/>
      <w:bookmarkEnd w:id="132"/>
      <w:bookmarkEnd w:id="133"/>
    </w:p>
    <w:p w14:paraId="46935270">
      <w:pPr>
        <w:widowControl/>
        <w:adjustRightInd w:val="0"/>
        <w:snapToGrid w:val="0"/>
        <w:spacing w:line="360" w:lineRule="auto"/>
        <w:jc w:val="center"/>
        <w:rPr>
          <w:rFonts w:ascii="黑体" w:hAnsi="仿宋" w:eastAsia="黑体" w:cs="宋体"/>
          <w:b/>
          <w:sz w:val="28"/>
          <w:szCs w:val="28"/>
        </w:rPr>
      </w:pPr>
      <w:r>
        <w:rPr>
          <w:rFonts w:hint="eastAsia" w:ascii="黑体" w:hAnsi="仿宋" w:eastAsia="黑体" w:cs="宋体"/>
          <w:b/>
          <w:sz w:val="28"/>
          <w:szCs w:val="28"/>
        </w:rPr>
        <w:t>法人或者其他组织的营业执照等主体资格证明文件，自然人的身份证明</w:t>
      </w:r>
    </w:p>
    <w:p w14:paraId="2A5A99E0">
      <w:pPr>
        <w:widowControl/>
        <w:adjustRightInd w:val="0"/>
        <w:snapToGrid w:val="0"/>
        <w:spacing w:beforeLines="50" w:line="360" w:lineRule="auto"/>
        <w:ind w:firstLine="480" w:firstLineChars="200"/>
        <w:jc w:val="left"/>
        <w:rPr>
          <w:rFonts w:ascii="宋体" w:hAnsi="宋体" w:cs="宋体"/>
          <w:szCs w:val="21"/>
        </w:rPr>
      </w:pPr>
    </w:p>
    <w:p w14:paraId="5EC6B202">
      <w:pPr>
        <w:adjustRightInd w:val="0"/>
        <w:snapToGrid w:val="0"/>
        <w:spacing w:beforeLines="50" w:line="360" w:lineRule="auto"/>
        <w:ind w:firstLine="480" w:firstLineChars="200"/>
        <w:rPr>
          <w:rFonts w:ascii="宋体" w:hAnsi="宋体" w:cs="宋体"/>
          <w:szCs w:val="21"/>
        </w:rPr>
      </w:pPr>
      <w:r>
        <w:rPr>
          <w:rFonts w:hint="eastAsia" w:ascii="宋体" w:hAnsi="宋体" w:cs="宋体"/>
          <w:szCs w:val="21"/>
        </w:rPr>
        <w:t>注：按第二章第</w:t>
      </w:r>
      <w:r>
        <w:rPr>
          <w:rFonts w:ascii="宋体" w:hAnsi="宋体" w:cs="宋体"/>
          <w:szCs w:val="21"/>
        </w:rPr>
        <w:t>1</w:t>
      </w:r>
      <w:r>
        <w:rPr>
          <w:rFonts w:hint="eastAsia" w:ascii="宋体" w:hAnsi="宋体" w:cs="宋体"/>
          <w:szCs w:val="21"/>
        </w:rPr>
        <w:t>4</w:t>
      </w:r>
      <w:r>
        <w:rPr>
          <w:rFonts w:ascii="宋体" w:hAnsi="宋体" w:cs="宋体"/>
          <w:szCs w:val="21"/>
        </w:rPr>
        <w:t>.1</w:t>
      </w:r>
      <w:r>
        <w:rPr>
          <w:rFonts w:hint="eastAsia" w:ascii="宋体" w:hAnsi="宋体" w:cs="宋体"/>
          <w:szCs w:val="21"/>
        </w:rPr>
        <w:t>（1）项要求提供。</w:t>
      </w:r>
    </w:p>
    <w:p w14:paraId="1867DA4E">
      <w:pPr>
        <w:adjustRightInd w:val="0"/>
        <w:snapToGrid w:val="0"/>
        <w:spacing w:beforeLines="50" w:line="360" w:lineRule="auto"/>
        <w:ind w:firstLine="480" w:firstLineChars="200"/>
        <w:rPr>
          <w:rFonts w:ascii="宋体" w:hAnsi="宋体"/>
        </w:rPr>
      </w:pPr>
      <w:r>
        <w:rPr>
          <w:rFonts w:hint="eastAsia" w:ascii="宋体" w:hAnsi="宋体" w:cs="宋体"/>
          <w:szCs w:val="21"/>
        </w:rPr>
        <w:t>（1）</w:t>
      </w:r>
      <w:r>
        <w:rPr>
          <w:rFonts w:hint="eastAsia" w:ascii="宋体" w:hAnsi="宋体"/>
        </w:rPr>
        <w:t>投标人为法人的，应提交营业执照或法人登记证书的复印件；</w:t>
      </w:r>
    </w:p>
    <w:p w14:paraId="4D40BB84">
      <w:pPr>
        <w:adjustRightInd w:val="0"/>
        <w:snapToGrid w:val="0"/>
        <w:spacing w:beforeLines="50" w:line="360" w:lineRule="auto"/>
        <w:ind w:firstLine="480" w:firstLineChars="200"/>
        <w:rPr>
          <w:rFonts w:ascii="宋体" w:hAnsi="宋体"/>
        </w:rPr>
      </w:pPr>
      <w:r>
        <w:rPr>
          <w:rFonts w:hint="eastAsia" w:ascii="宋体" w:hAnsi="宋体" w:cs="宋体"/>
          <w:szCs w:val="21"/>
        </w:rPr>
        <w:t>（2）</w:t>
      </w:r>
      <w:r>
        <w:rPr>
          <w:rFonts w:hint="eastAsia" w:ascii="宋体" w:hAnsi="宋体"/>
        </w:rPr>
        <w:t>投标人为非法人组织的，应提交依法登记证书复印件；</w:t>
      </w:r>
    </w:p>
    <w:p w14:paraId="575E2E08">
      <w:pPr>
        <w:adjustRightInd w:val="0"/>
        <w:snapToGrid w:val="0"/>
        <w:spacing w:beforeLines="50" w:line="360" w:lineRule="auto"/>
        <w:ind w:firstLine="480" w:firstLineChars="200"/>
        <w:rPr>
          <w:rFonts w:ascii="宋体" w:hAnsi="宋体"/>
        </w:rPr>
      </w:pPr>
      <w:r>
        <w:rPr>
          <w:rFonts w:hint="eastAsia" w:ascii="宋体" w:hAnsi="宋体" w:cs="宋体"/>
          <w:szCs w:val="21"/>
        </w:rPr>
        <w:t>（3）</w:t>
      </w:r>
      <w:r>
        <w:rPr>
          <w:rFonts w:hint="eastAsia" w:ascii="宋体" w:hAnsi="宋体"/>
        </w:rPr>
        <w:t>投标人为个体工商户的，应提交个体工商户营业执照复印件；</w:t>
      </w:r>
    </w:p>
    <w:p w14:paraId="294277D5">
      <w:pPr>
        <w:adjustRightInd w:val="0"/>
        <w:snapToGrid w:val="0"/>
        <w:spacing w:beforeLines="50" w:line="360" w:lineRule="auto"/>
        <w:ind w:firstLine="480" w:firstLineChars="200"/>
        <w:rPr>
          <w:rFonts w:ascii="宋体" w:hAnsi="宋体"/>
        </w:rPr>
      </w:pPr>
      <w:r>
        <w:rPr>
          <w:rFonts w:hint="eastAsia" w:ascii="宋体" w:hAnsi="宋体" w:cs="宋体"/>
          <w:szCs w:val="21"/>
        </w:rPr>
        <w:t>（4）</w:t>
      </w:r>
      <w:r>
        <w:rPr>
          <w:rFonts w:hint="eastAsia" w:ascii="宋体" w:hAnsi="宋体"/>
        </w:rPr>
        <w:t>投标人为自然人的，应提交自然人的身份证明复印件。</w:t>
      </w:r>
    </w:p>
    <w:p w14:paraId="0C0A16D1">
      <w:pPr>
        <w:adjustRightInd w:val="0"/>
        <w:snapToGrid w:val="0"/>
        <w:spacing w:beforeLines="50" w:line="360" w:lineRule="auto"/>
        <w:ind w:firstLine="480" w:firstLineChars="200"/>
        <w:rPr>
          <w:rFonts w:ascii="宋体" w:hAnsi="宋体"/>
        </w:rPr>
      </w:pPr>
    </w:p>
    <w:p w14:paraId="160245AF">
      <w:pPr>
        <w:widowControl/>
        <w:jc w:val="left"/>
        <w:rPr>
          <w:rFonts w:ascii="黑体" w:hAnsi="仿宋" w:eastAsia="黑体" w:cs="宋体"/>
          <w:bCs/>
          <w:sz w:val="10"/>
          <w:szCs w:val="10"/>
        </w:rPr>
      </w:pPr>
      <w:r>
        <w:rPr>
          <w:rFonts w:ascii="黑体" w:hAnsi="仿宋" w:cs="宋体"/>
          <w:b/>
          <w:szCs w:val="21"/>
        </w:rPr>
        <w:br w:type="page"/>
      </w:r>
    </w:p>
    <w:p w14:paraId="189FC6AB">
      <w:pPr>
        <w:pStyle w:val="5"/>
        <w:adjustRightInd w:val="0"/>
        <w:snapToGrid w:val="0"/>
        <w:spacing w:beforeLines="50" w:after="0" w:line="360" w:lineRule="auto"/>
        <w:rPr>
          <w:rFonts w:ascii="黑体" w:hAnsi="仿宋" w:cs="宋体"/>
          <w:b w:val="0"/>
          <w:sz w:val="21"/>
          <w:szCs w:val="21"/>
        </w:rPr>
      </w:pPr>
      <w:bookmarkStart w:id="134" w:name="_Toc25872"/>
      <w:bookmarkStart w:id="135" w:name="_Toc25060"/>
      <w:bookmarkStart w:id="136" w:name="_Toc24449"/>
      <w:r>
        <w:rPr>
          <w:rFonts w:hint="eastAsia" w:ascii="黑体" w:hAnsi="仿宋" w:cs="宋体"/>
          <w:b w:val="0"/>
          <w:sz w:val="21"/>
          <w:szCs w:val="21"/>
        </w:rPr>
        <w:t>附件</w:t>
      </w:r>
      <w:r>
        <w:rPr>
          <w:rFonts w:hint="eastAsia" w:ascii="黑体" w:hAnsi="仿宋" w:cs="宋体"/>
          <w:b w:val="0"/>
          <w:sz w:val="21"/>
          <w:szCs w:val="21"/>
          <w:lang w:val="en-US" w:eastAsia="zh-CN"/>
        </w:rPr>
        <w:t>4</w:t>
      </w:r>
      <w:r>
        <w:rPr>
          <w:rFonts w:hint="eastAsia" w:ascii="黑体" w:hAnsi="仿宋" w:cs="宋体"/>
          <w:b w:val="0"/>
          <w:sz w:val="21"/>
          <w:szCs w:val="21"/>
        </w:rPr>
        <w:t>-3 湖南省政府采购供应商资格承诺函(格式)</w:t>
      </w:r>
      <w:bookmarkEnd w:id="134"/>
      <w:bookmarkEnd w:id="135"/>
      <w:bookmarkEnd w:id="136"/>
    </w:p>
    <w:p w14:paraId="6EF7AA9C">
      <w:pPr>
        <w:widowControl/>
        <w:adjustRightInd w:val="0"/>
        <w:snapToGrid w:val="0"/>
        <w:spacing w:beforeLines="150" w:line="360" w:lineRule="auto"/>
        <w:jc w:val="center"/>
        <w:rPr>
          <w:rFonts w:ascii="宋体" w:hAnsi="宋体" w:cs="宋体"/>
          <w:szCs w:val="21"/>
        </w:rPr>
      </w:pPr>
      <w:r>
        <w:rPr>
          <w:rFonts w:hint="eastAsia" w:ascii="黑体" w:hAnsi="仿宋" w:eastAsia="黑体" w:cs="宋体"/>
          <w:b/>
          <w:sz w:val="28"/>
          <w:szCs w:val="28"/>
        </w:rPr>
        <w:t>湖南省政府采购供应商资格承诺函(格式)</w:t>
      </w:r>
    </w:p>
    <w:p w14:paraId="29768FCC">
      <w:pPr>
        <w:widowControl/>
        <w:spacing w:beforeLines="50" w:line="360" w:lineRule="auto"/>
        <w:ind w:firstLine="480" w:firstLineChars="200"/>
        <w:jc w:val="left"/>
        <w:rPr>
          <w:rFonts w:ascii="宋体" w:hAnsi="宋体" w:cs="宋体"/>
          <w:szCs w:val="21"/>
        </w:rPr>
      </w:pPr>
      <w:r>
        <w:rPr>
          <w:rFonts w:hint="eastAsia" w:ascii="宋体" w:hAnsi="宋体" w:cs="宋体"/>
          <w:szCs w:val="21"/>
        </w:rPr>
        <w:t>本公司独立承担民事责任、具有良好的商业信誉和健全的财务会计制度、依法缴纳税收和社会保障资金,在前</w:t>
      </w:r>
      <w:r>
        <w:rPr>
          <w:rFonts w:hint="eastAsia" w:ascii="宋体" w:hAnsi="宋体" w:cs="宋体"/>
          <w:szCs w:val="21"/>
          <w:lang w:eastAsia="zh-CN"/>
        </w:rPr>
        <w:t>两年</w:t>
      </w:r>
      <w:r>
        <w:rPr>
          <w:rFonts w:hint="eastAsia" w:ascii="宋体" w:hAnsi="宋体" w:cs="宋体"/>
          <w:szCs w:val="21"/>
        </w:rPr>
        <w:t>的经营活动中无重大违法记录,未列入严重失信行为名单,符合政府采购供应商的基本资格要求。</w:t>
      </w:r>
    </w:p>
    <w:p w14:paraId="447DA988">
      <w:pPr>
        <w:widowControl/>
        <w:spacing w:beforeLines="50" w:line="360" w:lineRule="auto"/>
        <w:ind w:firstLine="480" w:firstLineChars="200"/>
        <w:jc w:val="left"/>
        <w:rPr>
          <w:rFonts w:ascii="宋体" w:hAnsi="宋体" w:cs="宋体"/>
          <w:szCs w:val="21"/>
        </w:rPr>
      </w:pPr>
      <w:r>
        <w:rPr>
          <w:rFonts w:hint="eastAsia" w:ascii="宋体" w:hAnsi="宋体" w:cs="宋体"/>
          <w:szCs w:val="21"/>
        </w:rPr>
        <w:t>按照《政府采购促进中小企业发展管理办法》(财库〔2020〕46号),本公司企业规模为: 大型□中型□小型□微型□。</w:t>
      </w:r>
    </w:p>
    <w:p w14:paraId="521D40E0">
      <w:pPr>
        <w:widowControl/>
        <w:spacing w:beforeLines="50" w:line="360" w:lineRule="auto"/>
        <w:ind w:firstLine="480" w:firstLineChars="200"/>
        <w:jc w:val="left"/>
        <w:rPr>
          <w:rFonts w:ascii="宋体" w:hAnsi="宋体" w:cs="宋体"/>
          <w:szCs w:val="21"/>
        </w:rPr>
      </w:pPr>
      <w:r>
        <w:rPr>
          <w:rFonts w:hint="eastAsia" w:ascii="宋体" w:hAnsi="宋体" w:cs="宋体"/>
          <w:szCs w:val="21"/>
        </w:rPr>
        <w:t>□本公司自愿入驻湖南省政府采购电子卖场,遵守《湖南省政府采购电子卖场管理办法》(湘财购〔2019〕27号),如违反承诺,同意金融机构将增信保证划缴国库(非电子卖场采购活动项目不需勾选)。</w:t>
      </w:r>
    </w:p>
    <w:p w14:paraId="636FAB77">
      <w:pPr>
        <w:widowControl/>
        <w:spacing w:beforeLines="50" w:line="360" w:lineRule="auto"/>
        <w:ind w:firstLine="480" w:firstLineChars="200"/>
        <w:jc w:val="left"/>
        <w:rPr>
          <w:rFonts w:ascii="宋体" w:hAnsi="宋体" w:cs="宋体"/>
          <w:szCs w:val="21"/>
        </w:rPr>
      </w:pPr>
    </w:p>
    <w:p w14:paraId="57DD954F">
      <w:pPr>
        <w:widowControl/>
        <w:spacing w:beforeLines="50" w:line="360" w:lineRule="auto"/>
        <w:ind w:firstLine="480" w:firstLineChars="200"/>
        <w:jc w:val="left"/>
        <w:rPr>
          <w:rFonts w:ascii="宋体" w:hAnsi="宋体" w:cs="宋体"/>
          <w:szCs w:val="21"/>
        </w:rPr>
      </w:pPr>
      <w:r>
        <w:rPr>
          <w:rFonts w:hint="eastAsia" w:ascii="宋体" w:hAnsi="宋体" w:cs="宋体"/>
          <w:szCs w:val="21"/>
        </w:rPr>
        <w:t>公司(单位)名称(盖章)：</w:t>
      </w:r>
    </w:p>
    <w:p w14:paraId="4E042494">
      <w:pPr>
        <w:widowControl/>
        <w:spacing w:beforeLines="50" w:line="360" w:lineRule="auto"/>
        <w:ind w:firstLine="480" w:firstLineChars="200"/>
        <w:jc w:val="left"/>
        <w:rPr>
          <w:rFonts w:ascii="宋体" w:hAnsi="宋体" w:cs="宋体"/>
          <w:szCs w:val="21"/>
        </w:rPr>
      </w:pPr>
      <w:r>
        <w:rPr>
          <w:rFonts w:hint="eastAsia" w:ascii="宋体" w:hAnsi="宋体" w:cs="宋体"/>
          <w:szCs w:val="21"/>
        </w:rPr>
        <w:t>机构代码、注册登记机构、日期、有效期、注册资本、地 址、经济行业、经济性质</w:t>
      </w:r>
    </w:p>
    <w:p w14:paraId="5EA393DC">
      <w:pPr>
        <w:widowControl/>
        <w:spacing w:beforeLines="50" w:line="360" w:lineRule="auto"/>
        <w:ind w:firstLine="480" w:firstLineChars="200"/>
        <w:jc w:val="left"/>
        <w:rPr>
          <w:rFonts w:ascii="宋体" w:hAnsi="宋体" w:cs="宋体"/>
          <w:szCs w:val="21"/>
        </w:rPr>
      </w:pPr>
      <w:r>
        <w:rPr>
          <w:rFonts w:hint="eastAsia" w:ascii="宋体" w:hAnsi="宋体" w:cs="宋体"/>
          <w:szCs w:val="21"/>
        </w:rPr>
        <w:t>法定代表人(负责人)姓名(签字)、身份证号、手机号:</w:t>
      </w:r>
    </w:p>
    <w:p w14:paraId="37CA76C2">
      <w:pPr>
        <w:widowControl/>
        <w:spacing w:beforeLines="50" w:line="360" w:lineRule="auto"/>
        <w:ind w:firstLine="480" w:firstLineChars="200"/>
        <w:jc w:val="left"/>
        <w:rPr>
          <w:rFonts w:ascii="宋体" w:hAnsi="宋体" w:cs="宋体"/>
          <w:szCs w:val="21"/>
        </w:rPr>
      </w:pPr>
      <w:r>
        <w:rPr>
          <w:rFonts w:hint="eastAsia" w:ascii="宋体" w:hAnsi="宋体" w:cs="宋体"/>
          <w:szCs w:val="21"/>
        </w:rPr>
        <w:t>授权代表人姓名(签字)、身份证号、手机号:</w:t>
      </w:r>
    </w:p>
    <w:p w14:paraId="0D4F386B">
      <w:pPr>
        <w:widowControl/>
        <w:spacing w:beforeLines="50" w:line="360" w:lineRule="auto"/>
        <w:ind w:firstLine="480" w:firstLineChars="200"/>
        <w:jc w:val="left"/>
        <w:rPr>
          <w:rFonts w:ascii="宋体" w:hAnsi="宋体" w:cs="宋体"/>
          <w:szCs w:val="21"/>
        </w:rPr>
      </w:pPr>
    </w:p>
    <w:p w14:paraId="37EED59E">
      <w:pPr>
        <w:widowControl/>
        <w:spacing w:line="360" w:lineRule="auto"/>
        <w:ind w:firstLine="482" w:firstLineChars="200"/>
        <w:jc w:val="left"/>
        <w:rPr>
          <w:rFonts w:ascii="黑体" w:hAnsi="仿宋" w:eastAsia="黑体" w:cs="宋体"/>
          <w:bCs/>
          <w:sz w:val="10"/>
          <w:szCs w:val="10"/>
        </w:rPr>
      </w:pPr>
      <w:r>
        <w:rPr>
          <w:rFonts w:ascii="黑体" w:hAnsi="仿宋" w:cs="宋体"/>
          <w:b/>
          <w:szCs w:val="21"/>
        </w:rPr>
        <w:br w:type="page"/>
      </w:r>
    </w:p>
    <w:p w14:paraId="75D9B464">
      <w:pPr>
        <w:pStyle w:val="5"/>
        <w:spacing w:before="0"/>
        <w:rPr>
          <w:rFonts w:ascii="黑体" w:hAnsi="仿宋" w:cs="宋体"/>
          <w:b w:val="0"/>
          <w:sz w:val="21"/>
          <w:szCs w:val="21"/>
        </w:rPr>
      </w:pPr>
      <w:bookmarkStart w:id="137" w:name="_Toc811"/>
      <w:bookmarkStart w:id="138" w:name="_Toc12545"/>
      <w:bookmarkStart w:id="139" w:name="_Toc13891"/>
      <w:r>
        <w:rPr>
          <w:rFonts w:hint="eastAsia" w:ascii="黑体" w:hAnsi="仿宋" w:cs="宋体"/>
          <w:b w:val="0"/>
          <w:sz w:val="21"/>
          <w:szCs w:val="21"/>
        </w:rPr>
        <w:t>附件</w:t>
      </w:r>
      <w:r>
        <w:rPr>
          <w:rFonts w:hint="eastAsia" w:ascii="黑体" w:hAnsi="仿宋" w:cs="宋体"/>
          <w:b w:val="0"/>
          <w:sz w:val="21"/>
          <w:szCs w:val="21"/>
          <w:lang w:val="en-US" w:eastAsia="zh-CN"/>
        </w:rPr>
        <w:t>4</w:t>
      </w:r>
      <w:r>
        <w:rPr>
          <w:rFonts w:hint="eastAsia" w:ascii="黑体" w:hAnsi="仿宋" w:cs="宋体"/>
          <w:b w:val="0"/>
          <w:sz w:val="21"/>
          <w:szCs w:val="21"/>
        </w:rPr>
        <w:t>-4 符合特定资格条件证明材料复印件或者情况说明</w:t>
      </w:r>
      <w:bookmarkEnd w:id="137"/>
      <w:bookmarkEnd w:id="138"/>
      <w:bookmarkEnd w:id="139"/>
    </w:p>
    <w:p w14:paraId="3B4F60F1">
      <w:pPr>
        <w:widowControl/>
        <w:adjustRightInd w:val="0"/>
        <w:snapToGrid w:val="0"/>
        <w:spacing w:line="360" w:lineRule="auto"/>
        <w:jc w:val="center"/>
        <w:rPr>
          <w:rFonts w:ascii="黑体" w:hAnsi="仿宋" w:eastAsia="黑体" w:cs="宋体"/>
          <w:b/>
          <w:sz w:val="28"/>
          <w:szCs w:val="28"/>
        </w:rPr>
      </w:pPr>
      <w:r>
        <w:rPr>
          <w:rFonts w:hint="eastAsia" w:ascii="黑体" w:hAnsi="仿宋" w:eastAsia="黑体" w:cs="宋体"/>
          <w:b/>
          <w:sz w:val="28"/>
          <w:szCs w:val="28"/>
        </w:rPr>
        <w:t>符合特定资格条件证明材料复印件或者情况说明</w:t>
      </w:r>
    </w:p>
    <w:p w14:paraId="0EA5F714">
      <w:pPr>
        <w:widowControl/>
        <w:adjustRightInd w:val="0"/>
        <w:snapToGrid w:val="0"/>
        <w:spacing w:line="360" w:lineRule="auto"/>
        <w:ind w:firstLine="560" w:firstLineChars="200"/>
        <w:jc w:val="left"/>
        <w:rPr>
          <w:rFonts w:ascii="黑体" w:hAnsi="仿宋" w:eastAsia="黑体" w:cs="宋体"/>
          <w:sz w:val="28"/>
          <w:szCs w:val="28"/>
        </w:rPr>
      </w:pPr>
    </w:p>
    <w:p w14:paraId="4FA62A26">
      <w:pPr>
        <w:widowControl/>
        <w:adjustRightInd w:val="0"/>
        <w:snapToGrid w:val="0"/>
        <w:spacing w:line="360" w:lineRule="auto"/>
        <w:ind w:firstLine="480" w:firstLineChars="200"/>
        <w:jc w:val="left"/>
        <w:rPr>
          <w:rFonts w:ascii="宋体" w:hAnsi="宋体" w:cs="宋体"/>
          <w:szCs w:val="21"/>
        </w:rPr>
      </w:pPr>
      <w:r>
        <w:rPr>
          <w:rFonts w:hint="eastAsia" w:ascii="宋体" w:hAnsi="宋体" w:cs="宋体"/>
          <w:szCs w:val="21"/>
        </w:rPr>
        <w:t>注：按第二章第</w:t>
      </w:r>
      <w:r>
        <w:rPr>
          <w:rFonts w:ascii="宋体" w:hAnsi="宋体" w:cs="宋体"/>
          <w:szCs w:val="21"/>
        </w:rPr>
        <w:t>1</w:t>
      </w:r>
      <w:r>
        <w:rPr>
          <w:rFonts w:hint="eastAsia" w:ascii="宋体" w:hAnsi="宋体" w:cs="宋体"/>
          <w:szCs w:val="21"/>
        </w:rPr>
        <w:t>4</w:t>
      </w:r>
      <w:r>
        <w:rPr>
          <w:rFonts w:ascii="宋体" w:hAnsi="宋体" w:cs="宋体"/>
          <w:szCs w:val="21"/>
        </w:rPr>
        <w:t>.1</w:t>
      </w:r>
      <w:r>
        <w:rPr>
          <w:rFonts w:hint="eastAsia" w:ascii="宋体" w:hAnsi="宋体" w:cs="宋体"/>
          <w:szCs w:val="21"/>
        </w:rPr>
        <w:t>（3）项要求提供。</w:t>
      </w:r>
    </w:p>
    <w:p w14:paraId="61134BA8">
      <w:pPr>
        <w:widowControl/>
        <w:jc w:val="left"/>
        <w:rPr>
          <w:rFonts w:ascii="黑体" w:hAnsi="仿宋" w:eastAsia="黑体" w:cs="宋体"/>
          <w:sz w:val="10"/>
          <w:szCs w:val="10"/>
        </w:rPr>
      </w:pPr>
      <w:r>
        <w:rPr>
          <w:rFonts w:ascii="黑体" w:hAnsi="仿宋" w:eastAsia="黑体" w:cs="宋体"/>
          <w:szCs w:val="21"/>
        </w:rPr>
        <w:br w:type="page"/>
      </w:r>
    </w:p>
    <w:p w14:paraId="2CF4DB66">
      <w:pPr>
        <w:pStyle w:val="5"/>
        <w:spacing w:before="0"/>
        <w:rPr>
          <w:rFonts w:ascii="黑体" w:hAnsi="宋体" w:cs="宋体"/>
          <w:b w:val="0"/>
          <w:kern w:val="0"/>
          <w:sz w:val="21"/>
          <w:szCs w:val="21"/>
        </w:rPr>
      </w:pPr>
      <w:bookmarkStart w:id="140" w:name="_Toc11547"/>
      <w:bookmarkStart w:id="141" w:name="_Toc18401"/>
      <w:bookmarkStart w:id="142" w:name="_Toc23332"/>
      <w:r>
        <w:rPr>
          <w:rFonts w:hint="eastAsia" w:ascii="黑体" w:hAnsi="仿宋" w:cs="宋体"/>
          <w:b w:val="0"/>
          <w:sz w:val="21"/>
          <w:szCs w:val="21"/>
        </w:rPr>
        <w:t>附件</w:t>
      </w:r>
      <w:r>
        <w:rPr>
          <w:rFonts w:hint="eastAsia" w:ascii="黑体" w:hAnsi="仿宋" w:cs="宋体"/>
          <w:b w:val="0"/>
          <w:sz w:val="21"/>
          <w:szCs w:val="21"/>
          <w:lang w:val="en-US" w:eastAsia="zh-CN"/>
        </w:rPr>
        <w:t>4</w:t>
      </w:r>
      <w:r>
        <w:rPr>
          <w:rFonts w:hint="eastAsia" w:ascii="黑体" w:hAnsi="仿宋" w:cs="宋体"/>
          <w:b w:val="0"/>
          <w:sz w:val="21"/>
          <w:szCs w:val="21"/>
        </w:rPr>
        <w:t>-5 联合体协议书（格式）</w:t>
      </w:r>
      <w:bookmarkEnd w:id="140"/>
      <w:bookmarkEnd w:id="141"/>
      <w:bookmarkEnd w:id="142"/>
    </w:p>
    <w:p w14:paraId="66B4A39A">
      <w:pPr>
        <w:adjustRightInd w:val="0"/>
        <w:snapToGrid w:val="0"/>
        <w:spacing w:line="360" w:lineRule="auto"/>
        <w:jc w:val="center"/>
        <w:rPr>
          <w:rFonts w:ascii="黑体" w:hAnsi="仿宋" w:eastAsia="黑体" w:cs="宋体"/>
          <w:b/>
          <w:sz w:val="28"/>
          <w:szCs w:val="28"/>
        </w:rPr>
      </w:pPr>
      <w:r>
        <w:rPr>
          <w:rFonts w:hint="eastAsia" w:ascii="黑体" w:hAnsi="仿宋" w:eastAsia="黑体" w:cs="宋体"/>
          <w:b/>
          <w:sz w:val="28"/>
          <w:szCs w:val="28"/>
        </w:rPr>
        <w:t>联合体协议书（格式）</w:t>
      </w:r>
    </w:p>
    <w:p w14:paraId="1EE4AED5">
      <w:pPr>
        <w:adjustRightInd w:val="0"/>
        <w:snapToGrid w:val="0"/>
        <w:spacing w:line="360" w:lineRule="auto"/>
        <w:jc w:val="center"/>
        <w:rPr>
          <w:rFonts w:ascii="黑体" w:hAnsi="仿宋" w:eastAsia="黑体" w:cs="宋体"/>
          <w:b/>
          <w:sz w:val="28"/>
          <w:szCs w:val="28"/>
        </w:rPr>
      </w:pPr>
      <w:r>
        <w:rPr>
          <w:rFonts w:hint="eastAsia" w:ascii="宋体" w:hAnsi="宋体"/>
          <w:szCs w:val="21"/>
        </w:rPr>
        <w:t>（联合体形式投标的提供）</w:t>
      </w:r>
    </w:p>
    <w:p w14:paraId="43B9ED3A">
      <w:pPr>
        <w:adjustRightInd w:val="0"/>
        <w:snapToGrid w:val="0"/>
        <w:spacing w:line="360" w:lineRule="auto"/>
        <w:rPr>
          <w:rFonts w:ascii="宋体" w:hAnsi="宋体"/>
          <w:szCs w:val="21"/>
        </w:rPr>
      </w:pPr>
    </w:p>
    <w:p w14:paraId="246AB775">
      <w:pPr>
        <w:adjustRightInd w:val="0"/>
        <w:snapToGrid w:val="0"/>
        <w:spacing w:line="360" w:lineRule="auto"/>
        <w:rPr>
          <w:rFonts w:ascii="宋体" w:hAnsi="宋体"/>
          <w:szCs w:val="21"/>
        </w:rPr>
      </w:pPr>
      <w:r>
        <w:rPr>
          <w:rFonts w:hint="eastAsia" w:ascii="宋体" w:hAnsi="宋体"/>
          <w:szCs w:val="21"/>
        </w:rPr>
        <w:t>致（采购人、采购代理机构）：</w:t>
      </w:r>
    </w:p>
    <w:p w14:paraId="5FC90C4C">
      <w:pPr>
        <w:adjustRightInd w:val="0"/>
        <w:snapToGrid w:val="0"/>
        <w:spacing w:line="360" w:lineRule="auto"/>
        <w:ind w:firstLine="480" w:firstLineChars="200"/>
        <w:rPr>
          <w:rFonts w:ascii="宋体" w:hAnsi="宋体"/>
          <w:szCs w:val="21"/>
        </w:rPr>
      </w:pPr>
      <w:r>
        <w:rPr>
          <w:rFonts w:hint="eastAsia" w:ascii="宋体" w:hAnsi="宋体"/>
          <w:szCs w:val="21"/>
        </w:rPr>
        <w:t>经研究，我们决定自愿组成联合体共同参加（项目名称</w:t>
      </w:r>
      <w:r>
        <w:rPr>
          <w:rFonts w:ascii="宋体" w:hAnsi="宋体"/>
          <w:szCs w:val="21"/>
        </w:rPr>
        <w:t>）</w:t>
      </w:r>
      <w:r>
        <w:rPr>
          <w:rFonts w:hint="eastAsia" w:ascii="宋体" w:hAnsi="宋体"/>
          <w:szCs w:val="21"/>
        </w:rPr>
        <w:t>（政府采购计划编号： ）项目的投标。现就联合体投标事宜订立如下协议：</w:t>
      </w:r>
    </w:p>
    <w:p w14:paraId="3B627E1A">
      <w:pPr>
        <w:adjustRightInd w:val="0"/>
        <w:snapToGrid w:val="0"/>
        <w:spacing w:line="360" w:lineRule="auto"/>
        <w:ind w:firstLine="480" w:firstLineChars="200"/>
        <w:rPr>
          <w:rFonts w:ascii="宋体" w:hAnsi="宋体"/>
          <w:szCs w:val="21"/>
          <w:u w:val="single"/>
        </w:rPr>
      </w:pPr>
      <w:r>
        <w:rPr>
          <w:rFonts w:hint="eastAsia" w:ascii="宋体" w:hAnsi="宋体"/>
          <w:szCs w:val="21"/>
        </w:rPr>
        <w:t>一、联合体基本信息：（各方公司名称、地址、注册资金、营业执照、</w:t>
      </w: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姓名）</w:t>
      </w:r>
    </w:p>
    <w:p w14:paraId="5436FA72">
      <w:pPr>
        <w:adjustRightInd w:val="0"/>
        <w:snapToGrid w:val="0"/>
        <w:spacing w:line="360" w:lineRule="auto"/>
        <w:ind w:firstLine="480" w:firstLineChars="200"/>
        <w:rPr>
          <w:rFonts w:ascii="宋体" w:hAnsi="宋体"/>
          <w:szCs w:val="21"/>
        </w:rPr>
      </w:pPr>
      <w:r>
        <w:rPr>
          <w:rFonts w:hint="eastAsia" w:ascii="宋体" w:hAnsi="宋体"/>
          <w:szCs w:val="21"/>
        </w:rPr>
        <w:t>二、（某成员单位名称）为（联合体名称）牵头人。</w:t>
      </w:r>
    </w:p>
    <w:p w14:paraId="746DB4B3">
      <w:pPr>
        <w:adjustRightInd w:val="0"/>
        <w:snapToGrid w:val="0"/>
        <w:spacing w:line="360" w:lineRule="auto"/>
        <w:ind w:firstLine="480" w:firstLineChars="200"/>
        <w:rPr>
          <w:rFonts w:ascii="宋体" w:hAnsi="宋体"/>
          <w:szCs w:val="21"/>
        </w:rPr>
      </w:pPr>
      <w:r>
        <w:rPr>
          <w:rFonts w:hint="eastAsia" w:ascii="宋体" w:hAnsi="宋体"/>
          <w:szCs w:val="21"/>
        </w:rPr>
        <w:t>三、联合体牵头人合法代表联合体各成员负责本项目投标文件编制活动，代表联合体提交和接收相关的资料、信息及指示，并处理与投标有关的一切事务；联合体中标后，联合体牵头人负责合同订立和合同实施阶段的主办、组织和协调工作。</w:t>
      </w:r>
    </w:p>
    <w:p w14:paraId="3AEC95D1">
      <w:pPr>
        <w:adjustRightInd w:val="0"/>
        <w:snapToGrid w:val="0"/>
        <w:spacing w:line="360" w:lineRule="auto"/>
        <w:ind w:firstLine="480" w:firstLineChars="200"/>
        <w:rPr>
          <w:rFonts w:ascii="宋体" w:hAnsi="宋体"/>
          <w:szCs w:val="21"/>
        </w:rPr>
      </w:pPr>
      <w:r>
        <w:rPr>
          <w:rFonts w:hint="eastAsia" w:ascii="宋体" w:hAnsi="宋体"/>
          <w:szCs w:val="21"/>
        </w:rPr>
        <w:t>四．联合体将严格按照招标文件的各项要求，递交投标文件，参加投标，履行中标义务和中标后的合同，并向采购人承担连带责任。</w:t>
      </w:r>
    </w:p>
    <w:p w14:paraId="5B6F70CF">
      <w:pPr>
        <w:adjustRightInd w:val="0"/>
        <w:snapToGrid w:val="0"/>
        <w:spacing w:line="360" w:lineRule="auto"/>
        <w:ind w:firstLine="480" w:firstLineChars="200"/>
        <w:rPr>
          <w:rFonts w:ascii="宋体" w:hAnsi="宋体"/>
          <w:szCs w:val="21"/>
          <w:u w:val="single"/>
        </w:rPr>
      </w:pPr>
      <w:r>
        <w:rPr>
          <w:rFonts w:hint="eastAsia" w:ascii="宋体" w:hAnsi="宋体"/>
          <w:szCs w:val="21"/>
        </w:rPr>
        <w:t>五、联合体各成员单位内部的职责分工如下：。按照本条上述分工，联合体各成员的协议合同金额占联合体协议合同总金额比例如下：。</w:t>
      </w:r>
    </w:p>
    <w:p w14:paraId="1EA54420">
      <w:pPr>
        <w:adjustRightInd w:val="0"/>
        <w:snapToGrid w:val="0"/>
        <w:spacing w:line="360" w:lineRule="auto"/>
        <w:ind w:firstLine="480" w:firstLineChars="200"/>
        <w:rPr>
          <w:rFonts w:ascii="宋体" w:hAnsi="宋体"/>
          <w:szCs w:val="21"/>
        </w:rPr>
      </w:pPr>
      <w:r>
        <w:rPr>
          <w:rFonts w:hint="eastAsia" w:ascii="宋体" w:hAnsi="宋体"/>
          <w:szCs w:val="21"/>
        </w:rPr>
        <w:t>六、本协议书自签署之日起生效，合同履行完毕后自动失效。</w:t>
      </w:r>
    </w:p>
    <w:p w14:paraId="73A49B10">
      <w:pPr>
        <w:adjustRightInd w:val="0"/>
        <w:snapToGrid w:val="0"/>
        <w:spacing w:line="360" w:lineRule="auto"/>
        <w:ind w:firstLine="480" w:firstLineChars="200"/>
        <w:rPr>
          <w:rFonts w:ascii="宋体" w:hAnsi="宋体"/>
          <w:szCs w:val="21"/>
        </w:rPr>
      </w:pPr>
      <w:r>
        <w:rPr>
          <w:rFonts w:hint="eastAsia" w:ascii="宋体" w:hAnsi="宋体"/>
          <w:szCs w:val="21"/>
        </w:rPr>
        <w:t>七、本协议书一式份，联合体成员和采购人各执一份。</w:t>
      </w:r>
    </w:p>
    <w:p w14:paraId="6F94770E">
      <w:pPr>
        <w:adjustRightInd w:val="0"/>
        <w:snapToGrid w:val="0"/>
        <w:spacing w:line="360" w:lineRule="auto"/>
        <w:rPr>
          <w:rFonts w:ascii="宋体" w:hAnsi="宋体"/>
          <w:szCs w:val="21"/>
        </w:rPr>
      </w:pPr>
    </w:p>
    <w:p w14:paraId="09C7D1CA">
      <w:pPr>
        <w:adjustRightInd w:val="0"/>
        <w:snapToGrid w:val="0"/>
        <w:spacing w:line="360" w:lineRule="auto"/>
        <w:rPr>
          <w:rFonts w:ascii="宋体" w:hAnsi="宋体"/>
          <w:szCs w:val="21"/>
        </w:rPr>
      </w:pPr>
      <w:r>
        <w:rPr>
          <w:rFonts w:hint="eastAsia" w:ascii="宋体" w:hAnsi="宋体"/>
          <w:szCs w:val="21"/>
        </w:rPr>
        <w:t>牵头人名称（盖单位章）：</w:t>
      </w:r>
    </w:p>
    <w:p w14:paraId="4981C546">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或其委托代理人（签字或印章）：</w:t>
      </w:r>
    </w:p>
    <w:p w14:paraId="265AE215">
      <w:pPr>
        <w:adjustRightInd w:val="0"/>
        <w:snapToGrid w:val="0"/>
        <w:spacing w:line="360" w:lineRule="auto"/>
        <w:rPr>
          <w:rFonts w:ascii="宋体" w:hAnsi="宋体"/>
          <w:szCs w:val="21"/>
        </w:rPr>
      </w:pPr>
    </w:p>
    <w:p w14:paraId="3ABBA9BF">
      <w:pPr>
        <w:adjustRightInd w:val="0"/>
        <w:snapToGrid w:val="0"/>
        <w:spacing w:line="360" w:lineRule="auto"/>
        <w:rPr>
          <w:rFonts w:ascii="宋体" w:hAnsi="宋体"/>
          <w:szCs w:val="21"/>
        </w:rPr>
      </w:pPr>
      <w:r>
        <w:rPr>
          <w:rFonts w:hint="eastAsia" w:ascii="宋体" w:hAnsi="宋体"/>
          <w:szCs w:val="21"/>
        </w:rPr>
        <w:t>成员1名称（盖单位章）：</w:t>
      </w:r>
    </w:p>
    <w:p w14:paraId="49BE50A9">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或其委托代理人（签字或印章）：</w:t>
      </w:r>
    </w:p>
    <w:p w14:paraId="50D04C89">
      <w:pPr>
        <w:adjustRightInd w:val="0"/>
        <w:snapToGrid w:val="0"/>
        <w:spacing w:line="360" w:lineRule="auto"/>
        <w:rPr>
          <w:rFonts w:ascii="宋体" w:hAnsi="宋体"/>
          <w:szCs w:val="21"/>
        </w:rPr>
      </w:pPr>
      <w:r>
        <w:rPr>
          <w:rFonts w:hint="eastAsia" w:ascii="宋体" w:hAnsi="宋体"/>
          <w:szCs w:val="21"/>
        </w:rPr>
        <w:t>成员2名称（盖单位章）：</w:t>
      </w:r>
    </w:p>
    <w:p w14:paraId="14E7B6B9">
      <w:pPr>
        <w:adjustRightInd w:val="0"/>
        <w:snapToGrid w:val="0"/>
        <w:spacing w:line="360" w:lineRule="auto"/>
        <w:rPr>
          <w:rFonts w:ascii="宋体" w:hAnsi="宋体"/>
          <w:szCs w:val="21"/>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或其委托代理人（签字或印章）：</w:t>
      </w:r>
    </w:p>
    <w:p w14:paraId="40F13B5C">
      <w:pPr>
        <w:adjustRightInd w:val="0"/>
        <w:snapToGrid w:val="0"/>
        <w:spacing w:line="360" w:lineRule="auto"/>
        <w:rPr>
          <w:rFonts w:ascii="宋体" w:hAnsi="宋体"/>
          <w:szCs w:val="21"/>
        </w:rPr>
      </w:pPr>
      <w:r>
        <w:rPr>
          <w:rFonts w:ascii="宋体" w:hAnsi="宋体"/>
          <w:szCs w:val="21"/>
        </w:rPr>
        <w:t>…</w:t>
      </w:r>
    </w:p>
    <w:p w14:paraId="628DF5CA">
      <w:pPr>
        <w:adjustRightInd w:val="0"/>
        <w:snapToGrid w:val="0"/>
        <w:spacing w:line="360" w:lineRule="auto"/>
        <w:rPr>
          <w:rFonts w:ascii="宋体" w:hAnsi="宋体"/>
          <w:szCs w:val="21"/>
        </w:rPr>
      </w:pPr>
      <w:r>
        <w:rPr>
          <w:rFonts w:hint="eastAsia" w:ascii="宋体" w:hAnsi="宋体"/>
          <w:szCs w:val="21"/>
        </w:rPr>
        <w:t xml:space="preserve">日期：年月日  </w:t>
      </w:r>
    </w:p>
    <w:p w14:paraId="1EFE9996">
      <w:pPr>
        <w:widowControl/>
        <w:adjustRightInd w:val="0"/>
        <w:snapToGrid w:val="0"/>
        <w:spacing w:line="360" w:lineRule="auto"/>
        <w:ind w:firstLine="480" w:firstLineChars="200"/>
        <w:jc w:val="left"/>
        <w:rPr>
          <w:rFonts w:ascii="宋体" w:hAnsi="宋体"/>
          <w:szCs w:val="21"/>
        </w:rPr>
      </w:pPr>
      <w:r>
        <w:rPr>
          <w:rFonts w:hint="eastAsia" w:ascii="宋体" w:hAnsi="宋体"/>
          <w:bCs/>
          <w:szCs w:val="21"/>
        </w:rPr>
        <w:t>注：1.</w:t>
      </w:r>
      <w:r>
        <w:rPr>
          <w:rFonts w:hint="eastAsia" w:ascii="宋体" w:hAnsi="宋体"/>
          <w:szCs w:val="21"/>
        </w:rPr>
        <w:t>本协议书由委托代理人签字的，应附授权委托书。</w:t>
      </w:r>
    </w:p>
    <w:p w14:paraId="56A590C4">
      <w:pPr>
        <w:widowControl/>
        <w:adjustRightInd w:val="0"/>
        <w:snapToGrid w:val="0"/>
        <w:spacing w:line="360" w:lineRule="auto"/>
        <w:ind w:firstLine="480" w:firstLineChars="200"/>
        <w:jc w:val="left"/>
        <w:rPr>
          <w:rFonts w:ascii="宋体" w:hAnsi="宋体"/>
          <w:szCs w:val="21"/>
        </w:rPr>
      </w:pPr>
      <w:r>
        <w:rPr>
          <w:rFonts w:hint="eastAsia" w:ascii="宋体" w:hAnsi="宋体"/>
          <w:szCs w:val="21"/>
        </w:rPr>
        <w:t>2.投标人在提交投标文件的截止时间前修改“开标一览表”中的投标报价，影响本协议书第五条的，应同时修改本协议书第五条。否则，评审时价格评审优惠不予以考虑。</w:t>
      </w:r>
    </w:p>
    <w:p w14:paraId="42169A62">
      <w:pPr>
        <w:pStyle w:val="63"/>
        <w:ind w:left="0" w:leftChars="0" w:firstLine="0" w:firstLineChars="0"/>
        <w:rPr>
          <w:sz w:val="10"/>
          <w:szCs w:val="10"/>
        </w:rPr>
      </w:pPr>
    </w:p>
    <w:p w14:paraId="7CC6A4E5">
      <w:pPr>
        <w:widowControl/>
        <w:wordWrap w:val="0"/>
        <w:spacing w:line="360" w:lineRule="auto"/>
        <w:jc w:val="left"/>
        <w:rPr>
          <w:rFonts w:ascii="黑体" w:hAnsi="仿宋" w:cs="宋体"/>
          <w:szCs w:val="21"/>
        </w:rPr>
      </w:pPr>
      <w:bookmarkStart w:id="143" w:name="_Toc2832"/>
      <w:r>
        <w:rPr>
          <w:rFonts w:hint="eastAsia" w:ascii="黑体" w:hAnsi="仿宋" w:cs="宋体"/>
          <w:szCs w:val="21"/>
        </w:rPr>
        <w:t>附页</w:t>
      </w:r>
      <w:r>
        <w:rPr>
          <w:rFonts w:hint="eastAsia" w:ascii="黑体" w:hAnsi="仿宋" w:cs="宋体"/>
          <w:szCs w:val="21"/>
          <w:lang w:val="en-US" w:eastAsia="zh-CN"/>
        </w:rPr>
        <w:t>4</w:t>
      </w:r>
      <w:r>
        <w:rPr>
          <w:rFonts w:hint="eastAsia" w:ascii="黑体" w:hAnsi="仿宋" w:cs="宋体"/>
          <w:szCs w:val="21"/>
        </w:rPr>
        <w:t>-</w:t>
      </w:r>
      <w:bookmarkEnd w:id="143"/>
      <w:r>
        <w:rPr>
          <w:rFonts w:hint="eastAsia" w:ascii="黑体" w:hAnsi="仿宋" w:cs="宋体"/>
          <w:szCs w:val="21"/>
          <w:lang w:val="en-US" w:eastAsia="zh-CN"/>
        </w:rPr>
        <w:t>6</w:t>
      </w:r>
      <w:r>
        <w:rPr>
          <w:rFonts w:hint="eastAsia" w:ascii="黑体" w:hAnsi="仿宋" w:cs="宋体"/>
          <w:szCs w:val="21"/>
        </w:rPr>
        <w:t xml:space="preserve">  投标人应提供的其他资格证明文件</w:t>
      </w:r>
    </w:p>
    <w:p w14:paraId="7CA24E9A">
      <w:pPr>
        <w:pStyle w:val="5"/>
        <w:spacing w:before="0" w:beforeAutospacing="0"/>
        <w:rPr>
          <w:rFonts w:hint="eastAsia" w:ascii="黑体" w:hAnsi="仿宋" w:cs="宋体"/>
          <w:b w:val="0"/>
          <w:color w:val="auto"/>
          <w:sz w:val="21"/>
          <w:szCs w:val="21"/>
        </w:rPr>
      </w:pPr>
      <w:bookmarkStart w:id="144" w:name="_Toc32294"/>
      <w:bookmarkStart w:id="145" w:name="_Toc2430"/>
      <w:r>
        <w:rPr>
          <w:rFonts w:hint="eastAsia" w:ascii="黑体" w:hAnsi="仿宋" w:cs="宋体"/>
          <w:b w:val="0"/>
          <w:color w:val="auto"/>
          <w:sz w:val="21"/>
          <w:szCs w:val="21"/>
          <w:lang w:val="en-US" w:eastAsia="zh-CN"/>
        </w:rPr>
        <w:t>落实政府采购政策需满足的资格要求：提供《中小企业声明函》</w:t>
      </w:r>
      <w:bookmarkEnd w:id="144"/>
      <w:bookmarkEnd w:id="145"/>
    </w:p>
    <w:p w14:paraId="136EF861">
      <w:pPr>
        <w:pStyle w:val="2"/>
        <w:numPr>
          <w:ilvl w:val="0"/>
          <w:numId w:val="0"/>
        </w:numPr>
        <w:adjustRightInd w:val="0"/>
        <w:snapToGrid w:val="0"/>
        <w:spacing w:before="0" w:after="0" w:line="360" w:lineRule="auto"/>
        <w:jc w:val="center"/>
        <w:rPr>
          <w:rFonts w:hint="eastAsia" w:ascii="黑体" w:hAnsi="黑体" w:eastAsia="黑体" w:cs="黑体"/>
          <w:b/>
          <w:bCs/>
          <w:color w:val="auto"/>
          <w:spacing w:val="6"/>
          <w:kern w:val="0"/>
          <w:sz w:val="28"/>
          <w:szCs w:val="28"/>
        </w:rPr>
      </w:pPr>
    </w:p>
    <w:p w14:paraId="46E80DA6">
      <w:pPr>
        <w:rPr>
          <w:rFonts w:hint="eastAsia" w:ascii="黑体" w:hAnsi="黑体" w:eastAsia="黑体" w:cs="黑体"/>
          <w:b/>
          <w:bCs/>
          <w:color w:val="auto"/>
          <w:spacing w:val="6"/>
          <w:kern w:val="0"/>
          <w:sz w:val="28"/>
          <w:szCs w:val="28"/>
        </w:rPr>
      </w:pPr>
    </w:p>
    <w:p w14:paraId="2615A441">
      <w:pPr>
        <w:rPr>
          <w:rFonts w:hint="eastAsia" w:ascii="黑体" w:hAnsi="黑体" w:eastAsia="黑体" w:cs="黑体"/>
          <w:b/>
          <w:bCs/>
          <w:color w:val="auto"/>
          <w:spacing w:val="6"/>
          <w:kern w:val="0"/>
          <w:sz w:val="28"/>
          <w:szCs w:val="28"/>
        </w:rPr>
      </w:pPr>
    </w:p>
    <w:p w14:paraId="088C2193">
      <w:pPr>
        <w:rPr>
          <w:rFonts w:hint="eastAsia" w:ascii="黑体" w:hAnsi="黑体" w:eastAsia="黑体" w:cs="黑体"/>
          <w:b/>
          <w:bCs/>
          <w:color w:val="auto"/>
          <w:spacing w:val="6"/>
          <w:kern w:val="0"/>
          <w:sz w:val="28"/>
          <w:szCs w:val="28"/>
        </w:rPr>
      </w:pPr>
    </w:p>
    <w:p w14:paraId="4D9EA8B0">
      <w:pPr>
        <w:rPr>
          <w:rFonts w:hint="eastAsia" w:ascii="黑体" w:hAnsi="黑体" w:eastAsia="黑体" w:cs="黑体"/>
          <w:b/>
          <w:bCs/>
          <w:color w:val="auto"/>
          <w:spacing w:val="6"/>
          <w:kern w:val="0"/>
          <w:sz w:val="28"/>
          <w:szCs w:val="28"/>
        </w:rPr>
      </w:pPr>
    </w:p>
    <w:p w14:paraId="330ADE27">
      <w:pPr>
        <w:rPr>
          <w:rFonts w:hint="eastAsia" w:ascii="黑体" w:hAnsi="黑体" w:eastAsia="黑体" w:cs="黑体"/>
          <w:b/>
          <w:bCs/>
          <w:color w:val="auto"/>
          <w:spacing w:val="6"/>
          <w:kern w:val="0"/>
          <w:sz w:val="28"/>
          <w:szCs w:val="28"/>
        </w:rPr>
      </w:pPr>
    </w:p>
    <w:p w14:paraId="6CFB611C">
      <w:pPr>
        <w:rPr>
          <w:rFonts w:hint="eastAsia" w:ascii="黑体" w:hAnsi="黑体" w:eastAsia="黑体" w:cs="黑体"/>
          <w:b/>
          <w:bCs/>
          <w:color w:val="auto"/>
          <w:spacing w:val="6"/>
          <w:kern w:val="0"/>
          <w:sz w:val="28"/>
          <w:szCs w:val="28"/>
        </w:rPr>
      </w:pPr>
    </w:p>
    <w:p w14:paraId="1CC7BF52">
      <w:pPr>
        <w:rPr>
          <w:rFonts w:hint="eastAsia" w:ascii="黑体" w:hAnsi="黑体" w:eastAsia="黑体" w:cs="黑体"/>
          <w:b/>
          <w:bCs/>
          <w:color w:val="auto"/>
          <w:spacing w:val="6"/>
          <w:kern w:val="0"/>
          <w:sz w:val="28"/>
          <w:szCs w:val="28"/>
        </w:rPr>
      </w:pPr>
    </w:p>
    <w:p w14:paraId="3C1098D7">
      <w:pPr>
        <w:rPr>
          <w:rFonts w:hint="eastAsia" w:ascii="黑体" w:hAnsi="黑体" w:eastAsia="黑体" w:cs="黑体"/>
          <w:b/>
          <w:bCs/>
          <w:color w:val="auto"/>
          <w:spacing w:val="6"/>
          <w:kern w:val="0"/>
          <w:sz w:val="28"/>
          <w:szCs w:val="28"/>
        </w:rPr>
      </w:pPr>
    </w:p>
    <w:p w14:paraId="30C44900">
      <w:pPr>
        <w:rPr>
          <w:rFonts w:hint="eastAsia" w:ascii="黑体" w:hAnsi="黑体" w:eastAsia="黑体" w:cs="黑体"/>
          <w:b/>
          <w:bCs/>
          <w:color w:val="auto"/>
          <w:spacing w:val="6"/>
          <w:kern w:val="0"/>
          <w:sz w:val="28"/>
          <w:szCs w:val="28"/>
        </w:rPr>
      </w:pPr>
    </w:p>
    <w:p w14:paraId="78D66B19">
      <w:pPr>
        <w:rPr>
          <w:rFonts w:hint="eastAsia" w:ascii="黑体" w:hAnsi="黑体" w:eastAsia="黑体" w:cs="黑体"/>
          <w:b/>
          <w:bCs/>
          <w:color w:val="auto"/>
          <w:spacing w:val="6"/>
          <w:kern w:val="0"/>
          <w:sz w:val="28"/>
          <w:szCs w:val="28"/>
        </w:rPr>
      </w:pPr>
    </w:p>
    <w:p w14:paraId="4BB4F529">
      <w:pPr>
        <w:rPr>
          <w:rFonts w:hint="eastAsia" w:ascii="黑体" w:hAnsi="黑体" w:eastAsia="黑体" w:cs="黑体"/>
          <w:b/>
          <w:bCs/>
          <w:color w:val="auto"/>
          <w:spacing w:val="6"/>
          <w:kern w:val="0"/>
          <w:sz w:val="28"/>
          <w:szCs w:val="28"/>
        </w:rPr>
      </w:pPr>
    </w:p>
    <w:p w14:paraId="4A017BB6">
      <w:pPr>
        <w:rPr>
          <w:rFonts w:hint="eastAsia" w:ascii="黑体" w:hAnsi="黑体" w:eastAsia="黑体" w:cs="黑体"/>
          <w:b/>
          <w:bCs/>
          <w:color w:val="auto"/>
          <w:spacing w:val="6"/>
          <w:kern w:val="0"/>
          <w:sz w:val="28"/>
          <w:szCs w:val="28"/>
        </w:rPr>
      </w:pPr>
    </w:p>
    <w:p w14:paraId="29DFDFD4">
      <w:pPr>
        <w:rPr>
          <w:rFonts w:hint="eastAsia" w:ascii="黑体" w:hAnsi="黑体" w:eastAsia="黑体" w:cs="黑体"/>
          <w:b/>
          <w:bCs/>
          <w:color w:val="auto"/>
          <w:spacing w:val="6"/>
          <w:kern w:val="0"/>
          <w:sz w:val="28"/>
          <w:szCs w:val="28"/>
        </w:rPr>
      </w:pPr>
    </w:p>
    <w:p w14:paraId="4DDD7AB0">
      <w:pPr>
        <w:rPr>
          <w:rFonts w:hint="eastAsia" w:ascii="黑体" w:hAnsi="黑体" w:eastAsia="黑体" w:cs="黑体"/>
          <w:b/>
          <w:bCs/>
          <w:color w:val="auto"/>
          <w:spacing w:val="6"/>
          <w:kern w:val="0"/>
          <w:sz w:val="28"/>
          <w:szCs w:val="28"/>
        </w:rPr>
      </w:pPr>
    </w:p>
    <w:p w14:paraId="293307E9">
      <w:pPr>
        <w:rPr>
          <w:rFonts w:hint="eastAsia" w:ascii="黑体" w:hAnsi="黑体" w:eastAsia="黑体" w:cs="黑体"/>
          <w:b/>
          <w:bCs/>
          <w:color w:val="auto"/>
          <w:spacing w:val="6"/>
          <w:kern w:val="0"/>
          <w:sz w:val="28"/>
          <w:szCs w:val="28"/>
        </w:rPr>
      </w:pPr>
    </w:p>
    <w:p w14:paraId="2C6067CF">
      <w:pPr>
        <w:rPr>
          <w:rFonts w:hint="eastAsia" w:ascii="黑体" w:hAnsi="黑体" w:eastAsia="黑体" w:cs="黑体"/>
          <w:b/>
          <w:bCs/>
          <w:color w:val="auto"/>
          <w:spacing w:val="6"/>
          <w:kern w:val="0"/>
          <w:sz w:val="28"/>
          <w:szCs w:val="28"/>
        </w:rPr>
      </w:pPr>
    </w:p>
    <w:p w14:paraId="6EE6FE8A">
      <w:pPr>
        <w:rPr>
          <w:rFonts w:hint="eastAsia" w:ascii="黑体" w:hAnsi="黑体" w:eastAsia="黑体" w:cs="黑体"/>
          <w:b/>
          <w:bCs/>
          <w:color w:val="auto"/>
          <w:spacing w:val="6"/>
          <w:kern w:val="0"/>
          <w:sz w:val="28"/>
          <w:szCs w:val="28"/>
        </w:rPr>
      </w:pPr>
    </w:p>
    <w:p w14:paraId="5EFD940D">
      <w:pPr>
        <w:rPr>
          <w:rFonts w:hint="eastAsia" w:ascii="黑体" w:hAnsi="黑体" w:eastAsia="黑体" w:cs="黑体"/>
          <w:b/>
          <w:bCs/>
          <w:color w:val="auto"/>
          <w:spacing w:val="6"/>
          <w:kern w:val="0"/>
          <w:sz w:val="28"/>
          <w:szCs w:val="28"/>
        </w:rPr>
      </w:pPr>
    </w:p>
    <w:p w14:paraId="3667632A">
      <w:pPr>
        <w:rPr>
          <w:rFonts w:hint="eastAsia" w:ascii="黑体" w:hAnsi="黑体" w:eastAsia="黑体" w:cs="黑体"/>
          <w:b/>
          <w:bCs/>
          <w:color w:val="auto"/>
          <w:spacing w:val="6"/>
          <w:kern w:val="0"/>
          <w:sz w:val="28"/>
          <w:szCs w:val="28"/>
        </w:rPr>
      </w:pPr>
    </w:p>
    <w:p w14:paraId="5E7D34D2">
      <w:pPr>
        <w:rPr>
          <w:rFonts w:hint="eastAsia" w:ascii="黑体" w:hAnsi="黑体" w:eastAsia="黑体" w:cs="黑体"/>
          <w:b/>
          <w:bCs/>
          <w:color w:val="auto"/>
          <w:spacing w:val="6"/>
          <w:kern w:val="0"/>
          <w:sz w:val="28"/>
          <w:szCs w:val="28"/>
        </w:rPr>
      </w:pPr>
    </w:p>
    <w:p w14:paraId="7254A19F">
      <w:pPr>
        <w:widowControl/>
        <w:adjustRightInd w:val="0"/>
        <w:snapToGrid w:val="0"/>
        <w:spacing w:line="360" w:lineRule="auto"/>
        <w:jc w:val="center"/>
        <w:rPr>
          <w:rFonts w:ascii="黑体" w:hAnsi="黑体" w:eastAsia="黑体" w:cs="宋体"/>
          <w:b/>
          <w:bCs/>
          <w:color w:val="auto"/>
          <w:spacing w:val="6"/>
          <w:kern w:val="0"/>
          <w:sz w:val="28"/>
          <w:szCs w:val="28"/>
        </w:rPr>
      </w:pPr>
      <w:r>
        <w:rPr>
          <w:rFonts w:hint="eastAsia" w:ascii="黑体" w:hAnsi="黑体" w:eastAsia="黑体" w:cs="黑体"/>
          <w:b/>
          <w:bCs/>
          <w:color w:val="auto"/>
          <w:spacing w:val="6"/>
          <w:kern w:val="0"/>
          <w:sz w:val="28"/>
          <w:szCs w:val="28"/>
        </w:rPr>
        <w:t>中小企业声明函</w:t>
      </w:r>
    </w:p>
    <w:p w14:paraId="4B4AF658">
      <w:pPr>
        <w:widowControl/>
        <w:adjustRightInd w:val="0"/>
        <w:snapToGrid w:val="0"/>
        <w:spacing w:line="360" w:lineRule="auto"/>
        <w:jc w:val="center"/>
        <w:rPr>
          <w:rFonts w:ascii="黑体" w:hAnsi="黑体" w:eastAsia="黑体" w:cs="宋体"/>
          <w:b/>
          <w:bCs/>
          <w:color w:val="auto"/>
          <w:spacing w:val="6"/>
          <w:kern w:val="0"/>
          <w:sz w:val="28"/>
          <w:szCs w:val="28"/>
        </w:rPr>
      </w:pPr>
    </w:p>
    <w:p w14:paraId="355E1D12">
      <w:pPr>
        <w:pStyle w:val="368"/>
        <w:spacing w:line="360" w:lineRule="auto"/>
        <w:ind w:firstLine="420"/>
        <w:rPr>
          <w:rFonts w:hint="eastAsia" w:ascii="宋体" w:hAnsi="宋体" w:eastAsia="宋体"/>
          <w:szCs w:val="21"/>
          <w:lang w:eastAsia="zh-CN"/>
        </w:rPr>
      </w:pPr>
      <w:r>
        <w:rPr>
          <w:rFonts w:hint="eastAsia" w:ascii="宋体" w:hAnsi="宋体"/>
          <w:szCs w:val="21"/>
        </w:rPr>
        <w:t>本公司(联合体)郑重声明，根据《政府采购促进中小企业发展管理办法》(财库(2020)46号)的规定，本公司(联合体)参加</w:t>
      </w:r>
      <w:r>
        <w:rPr>
          <w:rFonts w:hint="eastAsia" w:ascii="宋体" w:hAnsi="宋体"/>
          <w:szCs w:val="21"/>
          <w:u w:val="single"/>
        </w:rPr>
        <w:t xml:space="preserve">(单位名称)      </w:t>
      </w:r>
      <w:r>
        <w:rPr>
          <w:rFonts w:hint="eastAsia" w:ascii="宋体" w:hAnsi="宋体"/>
          <w:szCs w:val="21"/>
        </w:rPr>
        <w:t>的</w:t>
      </w:r>
      <w:r>
        <w:rPr>
          <w:rFonts w:hint="eastAsia" w:ascii="宋体" w:hAnsi="宋体"/>
          <w:szCs w:val="21"/>
          <w:u w:val="single"/>
        </w:rPr>
        <w:t xml:space="preserve">(项目名称)           </w:t>
      </w:r>
      <w:r>
        <w:rPr>
          <w:rFonts w:hint="eastAsia" w:ascii="宋体" w:hAnsi="宋体"/>
          <w:szCs w:val="21"/>
        </w:rPr>
        <w:t>采购活动，工程的施工单位全部为符合政策要求的中小企业(或者:服务全部由符合政策要求的中小企业承接)。相关企业(含联合体中的中小企业、签订分包意向协议的中小企业)的具体情况如下</w:t>
      </w:r>
      <w:r>
        <w:rPr>
          <w:rFonts w:hint="eastAsia" w:ascii="宋体" w:hAnsi="宋体"/>
          <w:szCs w:val="21"/>
          <w:lang w:eastAsia="zh-CN"/>
        </w:rPr>
        <w:t>：</w:t>
      </w:r>
    </w:p>
    <w:p w14:paraId="19EE41BF">
      <w:pPr>
        <w:pStyle w:val="368"/>
        <w:spacing w:line="360" w:lineRule="auto"/>
        <w:ind w:firstLine="420"/>
        <w:rPr>
          <w:rFonts w:hint="eastAsia" w:ascii="宋体" w:hAnsi="宋体"/>
          <w:szCs w:val="21"/>
          <w:u w:val="single"/>
        </w:rPr>
      </w:pPr>
      <w:r>
        <w:rPr>
          <w:rFonts w:hint="eastAsia" w:ascii="宋体" w:hAnsi="宋体"/>
          <w:szCs w:val="21"/>
        </w:rPr>
        <w:t>1.</w:t>
      </w:r>
      <w:r>
        <w:rPr>
          <w:rFonts w:hint="eastAsia" w:ascii="宋体" w:hAnsi="宋体"/>
          <w:szCs w:val="21"/>
          <w:u w:val="single"/>
        </w:rPr>
        <w:t>(标的名称)</w:t>
      </w:r>
      <w:r>
        <w:rPr>
          <w:rFonts w:hint="eastAsia" w:ascii="宋体" w:hAnsi="宋体"/>
          <w:szCs w:val="21"/>
        </w:rPr>
        <w:t>，属于</w:t>
      </w:r>
      <w:r>
        <w:rPr>
          <w:rFonts w:hint="eastAsia" w:ascii="宋体" w:hAnsi="宋体"/>
          <w:szCs w:val="21"/>
          <w:u w:val="single"/>
        </w:rPr>
        <w:t>(采购文件中明确的所属行业）</w:t>
      </w:r>
      <w:r>
        <w:rPr>
          <w:rFonts w:hint="eastAsia" w:ascii="宋体" w:hAnsi="宋体"/>
          <w:szCs w:val="21"/>
        </w:rPr>
        <w:t>承建(承接)企业为</w:t>
      </w:r>
      <w:r>
        <w:rPr>
          <w:rFonts w:hint="eastAsia" w:ascii="宋体" w:hAnsi="宋体"/>
          <w:szCs w:val="21"/>
          <w:u w:val="single"/>
        </w:rPr>
        <w:t>(企业名称）</w:t>
      </w:r>
      <w:r>
        <w:rPr>
          <w:rFonts w:hint="eastAsia" w:ascii="宋体" w:hAnsi="宋体"/>
          <w:szCs w:val="21"/>
        </w:rPr>
        <w:t>，从业人员</w:t>
      </w:r>
      <w:r>
        <w:rPr>
          <w:rFonts w:hint="eastAsia" w:ascii="宋体" w:hAnsi="宋体"/>
          <w:szCs w:val="21"/>
          <w:u w:val="single"/>
        </w:rPr>
        <w:t xml:space="preserve">    </w:t>
      </w:r>
      <w:r>
        <w:rPr>
          <w:rFonts w:hint="eastAsia" w:ascii="宋体" w:hAnsi="宋体"/>
          <w:szCs w:val="21"/>
        </w:rPr>
        <w:t>人，营业收入为</w:t>
      </w:r>
      <w:r>
        <w:rPr>
          <w:rFonts w:hint="eastAsia" w:ascii="宋体" w:hAnsi="宋体"/>
          <w:szCs w:val="21"/>
          <w:u w:val="single"/>
        </w:rPr>
        <w:t xml:space="preserve">    </w:t>
      </w:r>
      <w:r>
        <w:rPr>
          <w:rFonts w:hint="eastAsia" w:ascii="宋体" w:hAnsi="宋体"/>
          <w:szCs w:val="21"/>
        </w:rPr>
        <w:t>万元，资产总额为</w:t>
      </w:r>
      <w:r>
        <w:rPr>
          <w:rFonts w:hint="eastAsia" w:ascii="宋体" w:hAnsi="宋体"/>
          <w:szCs w:val="21"/>
          <w:u w:val="single"/>
        </w:rPr>
        <w:t xml:space="preserve">     </w:t>
      </w:r>
      <w:r>
        <w:rPr>
          <w:rFonts w:hint="eastAsia" w:ascii="宋体" w:hAnsi="宋体"/>
          <w:szCs w:val="21"/>
        </w:rPr>
        <w:t>万元，属于</w:t>
      </w:r>
      <w:r>
        <w:rPr>
          <w:rFonts w:hint="eastAsia" w:ascii="宋体" w:hAnsi="宋体"/>
          <w:szCs w:val="21"/>
          <w:u w:val="single"/>
        </w:rPr>
        <w:t>(中型企业、小型企业、微型企业）。</w:t>
      </w:r>
    </w:p>
    <w:p w14:paraId="6F3F93E5">
      <w:pPr>
        <w:pStyle w:val="368"/>
        <w:spacing w:line="360" w:lineRule="auto"/>
        <w:ind w:firstLine="420"/>
        <w:rPr>
          <w:rFonts w:hint="eastAsia" w:ascii="宋体" w:hAnsi="宋体"/>
          <w:szCs w:val="21"/>
          <w:u w:val="single"/>
        </w:rPr>
      </w:pPr>
      <w:r>
        <w:rPr>
          <w:rFonts w:hint="eastAsia" w:ascii="宋体" w:hAnsi="宋体"/>
          <w:szCs w:val="21"/>
        </w:rPr>
        <w:t>2.</w:t>
      </w:r>
      <w:r>
        <w:rPr>
          <w:rFonts w:hint="eastAsia" w:ascii="宋体" w:hAnsi="宋体"/>
          <w:szCs w:val="21"/>
          <w:u w:val="single"/>
        </w:rPr>
        <w:t>(标的名称)</w:t>
      </w:r>
      <w:r>
        <w:rPr>
          <w:rFonts w:hint="eastAsia" w:ascii="宋体" w:hAnsi="宋体"/>
          <w:szCs w:val="21"/>
        </w:rPr>
        <w:t>，属于</w:t>
      </w:r>
      <w:r>
        <w:rPr>
          <w:rFonts w:hint="eastAsia" w:ascii="宋体" w:hAnsi="宋体"/>
          <w:szCs w:val="21"/>
          <w:u w:val="single"/>
        </w:rPr>
        <w:t>(采购文件中明确的所属行业）</w:t>
      </w:r>
      <w:r>
        <w:rPr>
          <w:rFonts w:hint="eastAsia" w:ascii="宋体" w:hAnsi="宋体"/>
          <w:szCs w:val="21"/>
        </w:rPr>
        <w:t>承建(承接)企业为</w:t>
      </w:r>
      <w:r>
        <w:rPr>
          <w:rFonts w:hint="eastAsia" w:ascii="宋体" w:hAnsi="宋体"/>
          <w:szCs w:val="21"/>
          <w:u w:val="single"/>
        </w:rPr>
        <w:t>(企业名称)</w:t>
      </w:r>
      <w:r>
        <w:rPr>
          <w:rFonts w:hint="eastAsia" w:ascii="宋体" w:hAnsi="宋体"/>
          <w:szCs w:val="21"/>
        </w:rPr>
        <w:t>，从业人员</w:t>
      </w:r>
      <w:r>
        <w:rPr>
          <w:rFonts w:hint="eastAsia" w:ascii="宋体" w:hAnsi="宋体"/>
          <w:szCs w:val="21"/>
          <w:u w:val="single"/>
        </w:rPr>
        <w:t xml:space="preserve">    </w:t>
      </w:r>
      <w:r>
        <w:rPr>
          <w:rFonts w:hint="eastAsia" w:ascii="宋体" w:hAnsi="宋体"/>
          <w:szCs w:val="21"/>
        </w:rPr>
        <w:t>人，营业收入为</w:t>
      </w:r>
      <w:r>
        <w:rPr>
          <w:rFonts w:hint="eastAsia" w:ascii="宋体" w:hAnsi="宋体"/>
          <w:szCs w:val="21"/>
          <w:u w:val="single"/>
        </w:rPr>
        <w:t xml:space="preserve">   </w:t>
      </w:r>
      <w:r>
        <w:rPr>
          <w:rFonts w:hint="eastAsia" w:ascii="宋体" w:hAnsi="宋体"/>
          <w:szCs w:val="21"/>
        </w:rPr>
        <w:t>万元，资产总额为</w:t>
      </w:r>
      <w:r>
        <w:rPr>
          <w:rFonts w:hint="eastAsia" w:ascii="宋体" w:hAnsi="宋体"/>
          <w:szCs w:val="21"/>
          <w:u w:val="single"/>
        </w:rPr>
        <w:t xml:space="preserve">     </w:t>
      </w:r>
      <w:r>
        <w:rPr>
          <w:rFonts w:hint="eastAsia" w:ascii="宋体" w:hAnsi="宋体"/>
          <w:szCs w:val="21"/>
        </w:rPr>
        <w:t>万元，属于</w:t>
      </w:r>
      <w:r>
        <w:rPr>
          <w:rFonts w:hint="eastAsia" w:ascii="宋体" w:hAnsi="宋体"/>
          <w:szCs w:val="21"/>
          <w:u w:val="single"/>
        </w:rPr>
        <w:t>(中型企业、小型企业、微型企业）。</w:t>
      </w:r>
    </w:p>
    <w:p w14:paraId="51391B90">
      <w:pPr>
        <w:pStyle w:val="368"/>
        <w:spacing w:line="360" w:lineRule="auto"/>
        <w:ind w:firstLine="420"/>
        <w:rPr>
          <w:rFonts w:hint="eastAsia" w:ascii="宋体" w:hAnsi="宋体"/>
          <w:szCs w:val="21"/>
        </w:rPr>
      </w:pPr>
      <w:r>
        <w:rPr>
          <w:rFonts w:hint="eastAsia" w:ascii="宋体" w:hAnsi="宋体"/>
          <w:szCs w:val="21"/>
        </w:rPr>
        <w:t>以上企业，不属于大企业的分支机构，不存在控股股东为大企业的情形，也不存在与大企业的负责人为同一人的情形。</w:t>
      </w:r>
    </w:p>
    <w:p w14:paraId="5BF63B1A">
      <w:pPr>
        <w:pStyle w:val="368"/>
        <w:spacing w:line="360" w:lineRule="auto"/>
        <w:ind w:firstLine="420"/>
        <w:rPr>
          <w:rFonts w:hint="eastAsia" w:ascii="宋体" w:hAnsi="宋体"/>
          <w:szCs w:val="21"/>
        </w:rPr>
      </w:pPr>
      <w:r>
        <w:rPr>
          <w:rFonts w:hint="eastAsia" w:ascii="宋体" w:hAnsi="宋体"/>
          <w:szCs w:val="21"/>
        </w:rPr>
        <w:t xml:space="preserve">    本企业对上述声明内容的真实性负责。如有虚假，将依法承担相应责任。</w:t>
      </w:r>
    </w:p>
    <w:p w14:paraId="26548638">
      <w:pPr>
        <w:pStyle w:val="368"/>
        <w:spacing w:line="360" w:lineRule="auto"/>
        <w:ind w:firstLine="420"/>
        <w:jc w:val="center"/>
        <w:rPr>
          <w:rFonts w:hint="eastAsia" w:ascii="宋体" w:hAnsi="宋体"/>
          <w:szCs w:val="21"/>
        </w:rPr>
      </w:pPr>
    </w:p>
    <w:p w14:paraId="4FA2F145">
      <w:pPr>
        <w:pStyle w:val="368"/>
        <w:spacing w:line="360" w:lineRule="auto"/>
        <w:ind w:firstLine="420"/>
        <w:jc w:val="center"/>
        <w:rPr>
          <w:rFonts w:hint="eastAsia" w:ascii="宋体" w:hAnsi="宋体"/>
          <w:szCs w:val="21"/>
        </w:rPr>
      </w:pPr>
      <w:r>
        <w:rPr>
          <w:rFonts w:hint="eastAsia" w:ascii="宋体" w:hAnsi="宋体"/>
          <w:szCs w:val="21"/>
        </w:rPr>
        <w:t xml:space="preserve">                             企业名称(盖章)：</w:t>
      </w:r>
    </w:p>
    <w:p w14:paraId="6112D50A">
      <w:pPr>
        <w:widowControl/>
        <w:spacing w:line="360" w:lineRule="auto"/>
        <w:ind w:firstLine="480" w:firstLineChars="200"/>
        <w:jc w:val="left"/>
        <w:rPr>
          <w:rFonts w:ascii="宋体" w:hAnsi="宋体" w:cs="宋体"/>
          <w:color w:val="auto"/>
          <w:szCs w:val="21"/>
        </w:rPr>
      </w:pPr>
      <w:r>
        <w:rPr>
          <w:rFonts w:hint="eastAsia" w:ascii="宋体" w:hAnsi="宋体"/>
          <w:szCs w:val="21"/>
        </w:rPr>
        <w:t xml:space="preserve">                          </w:t>
      </w:r>
      <w:r>
        <w:rPr>
          <w:rFonts w:hint="eastAsia" w:ascii="宋体" w:hAnsi="宋体"/>
          <w:szCs w:val="21"/>
          <w:lang w:val="en-US" w:eastAsia="zh-CN"/>
        </w:rPr>
        <w:t xml:space="preserve">                    </w:t>
      </w:r>
      <w:r>
        <w:rPr>
          <w:rFonts w:hint="eastAsia" w:ascii="宋体" w:hAnsi="宋体"/>
          <w:szCs w:val="21"/>
        </w:rPr>
        <w:t xml:space="preserve"> 日期：</w:t>
      </w:r>
      <w:r>
        <w:rPr>
          <w:rFonts w:hint="eastAsia" w:ascii="宋体" w:hAnsi="宋体" w:cs="宋体"/>
          <w:color w:val="auto"/>
          <w:kern w:val="0"/>
          <w:szCs w:val="21"/>
          <w:lang w:bidi="ar"/>
        </w:rPr>
        <w:t xml:space="preserve"> </w:t>
      </w:r>
    </w:p>
    <w:p w14:paraId="03E75EE8">
      <w:pPr>
        <w:widowControl/>
        <w:ind w:firstLine="360" w:firstLineChars="200"/>
        <w:jc w:val="left"/>
        <w:rPr>
          <w:rFonts w:ascii="宋体" w:hAnsi="宋体" w:cs="宋体"/>
          <w:color w:val="auto"/>
          <w:kern w:val="0"/>
          <w:sz w:val="18"/>
          <w:szCs w:val="18"/>
          <w:lang w:bidi="ar"/>
        </w:rPr>
      </w:pPr>
    </w:p>
    <w:p w14:paraId="413C3E42">
      <w:pPr>
        <w:widowControl/>
        <w:ind w:firstLine="480" w:firstLineChars="200"/>
        <w:jc w:val="left"/>
        <w:rPr>
          <w:rFonts w:hint="eastAsia" w:ascii="宋体" w:hAnsi="宋体" w:cs="宋体"/>
          <w:b/>
          <w:bCs/>
          <w:color w:val="auto"/>
          <w:kern w:val="0"/>
          <w:szCs w:val="21"/>
          <w:lang w:bidi="ar"/>
        </w:rPr>
      </w:pPr>
      <w:r>
        <w:rPr>
          <w:rFonts w:hint="eastAsia" w:ascii="宋体" w:hAnsi="宋体" w:cs="宋体"/>
          <w:color w:val="auto"/>
          <w:kern w:val="0"/>
          <w:szCs w:val="21"/>
          <w:lang w:bidi="ar"/>
        </w:rPr>
        <w:t>注：1.属于专门面向中小企业采购的政府采购货物类项目，投标人应按本声明函内容和格式如实声明采购标的制造商的企业规模，未提供本声明函或不符合《政府采购促进中小企业发展管理办法》（财库﹝2020﹞46 号）规定的，其</w:t>
      </w:r>
      <w:r>
        <w:rPr>
          <w:rFonts w:hint="eastAsia" w:ascii="宋体" w:hAnsi="宋体" w:cs="宋体"/>
          <w:b/>
          <w:bCs/>
          <w:color w:val="auto"/>
          <w:kern w:val="0"/>
          <w:szCs w:val="21"/>
          <w:lang w:bidi="ar"/>
        </w:rPr>
        <w:t>投标无效。</w:t>
      </w:r>
    </w:p>
    <w:p w14:paraId="1D06ACD0">
      <w:pPr>
        <w:spacing w:line="480" w:lineRule="exact"/>
        <w:jc w:val="center"/>
        <w:rPr>
          <w:rFonts w:ascii="宋体" w:hAnsi="宋体"/>
          <w:szCs w:val="21"/>
        </w:rPr>
      </w:pPr>
      <w:r>
        <w:rPr>
          <w:rFonts w:hint="eastAsia" w:ascii="宋体" w:hAnsi="宋体" w:cs="宋体"/>
          <w:b w:val="0"/>
          <w:bCs w:val="0"/>
          <w:color w:val="auto"/>
          <w:kern w:val="0"/>
          <w:sz w:val="21"/>
          <w:szCs w:val="21"/>
          <w:lang w:val="en-US" w:eastAsia="zh-CN" w:bidi="ar"/>
        </w:rPr>
        <w:t xml:space="preserve">  </w:t>
      </w:r>
      <w:r>
        <w:rPr>
          <w:rFonts w:hint="eastAsia" w:ascii="宋体" w:hAnsi="宋体" w:eastAsia="宋体" w:cs="宋体"/>
          <w:b w:val="0"/>
          <w:bCs w:val="0"/>
          <w:color w:val="auto"/>
          <w:kern w:val="0"/>
          <w:sz w:val="21"/>
          <w:szCs w:val="21"/>
          <w:lang w:val="en-US" w:eastAsia="zh-CN" w:bidi="ar"/>
        </w:rPr>
        <w:t>2.从业人员、营业收入、资产总额填报上一年度数据，无上一年度数据的新成立企业可不填报。</w:t>
      </w:r>
    </w:p>
    <w:p w14:paraId="1BD3B1B4">
      <w:pPr>
        <w:adjustRightInd w:val="0"/>
        <w:snapToGrid w:val="0"/>
        <w:spacing w:line="360" w:lineRule="auto"/>
        <w:jc w:val="center"/>
        <w:rPr>
          <w:rFonts w:ascii="宋体" w:hAnsi="宋体" w:cs="宋体"/>
          <w:sz w:val="32"/>
          <w:szCs w:val="32"/>
        </w:rPr>
      </w:pPr>
      <w:r>
        <w:rPr>
          <w:rFonts w:ascii="宋体" w:hAnsi="宋体" w:cs="宋体"/>
          <w:sz w:val="32"/>
          <w:szCs w:val="32"/>
        </w:rPr>
        <w:br w:type="page"/>
      </w:r>
    </w:p>
    <w:p w14:paraId="551D4A58">
      <w:pPr>
        <w:pStyle w:val="5"/>
        <w:spacing w:before="156"/>
        <w:rPr>
          <w:rFonts w:hint="eastAsia" w:ascii="黑体" w:hAnsi="仿宋" w:cs="宋体"/>
          <w:b w:val="0"/>
          <w:sz w:val="21"/>
          <w:szCs w:val="21"/>
        </w:rPr>
      </w:pPr>
      <w:bookmarkStart w:id="146" w:name="_Toc24210"/>
      <w:bookmarkStart w:id="147" w:name="_Toc10587"/>
      <w:r>
        <w:rPr>
          <w:rFonts w:hint="eastAsia" w:ascii="黑体" w:hAnsi="仿宋" w:cs="宋体"/>
          <w:b w:val="0"/>
          <w:sz w:val="21"/>
          <w:szCs w:val="21"/>
        </w:rPr>
        <w:t>不良信用记录查询</w:t>
      </w:r>
      <w:bookmarkEnd w:id="146"/>
      <w:bookmarkEnd w:id="147"/>
    </w:p>
    <w:p w14:paraId="61DA58CF">
      <w:pPr>
        <w:pStyle w:val="63"/>
        <w:ind w:firstLine="0" w:firstLineChars="0"/>
      </w:pPr>
    </w:p>
    <w:p w14:paraId="69DCE39F">
      <w:pPr>
        <w:pStyle w:val="63"/>
      </w:pPr>
    </w:p>
    <w:p w14:paraId="5034CA05">
      <w:pPr>
        <w:adjustRightInd w:val="0"/>
        <w:snapToGrid w:val="0"/>
        <w:spacing w:before="156" w:beforeLines="50" w:line="360" w:lineRule="auto"/>
        <w:ind w:firstLine="480" w:firstLineChars="200"/>
        <w:jc w:val="left"/>
        <w:rPr>
          <w:rFonts w:ascii="宋体" w:hAnsi="宋体"/>
          <w:szCs w:val="21"/>
        </w:rPr>
      </w:pPr>
      <w:r>
        <w:rPr>
          <w:rFonts w:hint="eastAsia" w:ascii="宋体" w:hAnsi="宋体"/>
          <w:szCs w:val="21"/>
        </w:rPr>
        <w:t>（1）信用信息查询的查询渠道：</w:t>
      </w:r>
      <w:r>
        <w:rPr>
          <w:rFonts w:hint="eastAsia" w:ascii="宋体" w:hAnsi="宋体"/>
          <w:szCs w:val="21"/>
          <w:lang w:eastAsia="zh-CN"/>
        </w:rPr>
        <w:t>供应商须提供</w:t>
      </w:r>
      <w:r>
        <w:rPr>
          <w:rFonts w:hint="eastAsia" w:ascii="宋体" w:hAnsi="宋体"/>
          <w:szCs w:val="21"/>
        </w:rPr>
        <w:t>信用中国网（www.creditchina.gov.cn）</w:t>
      </w:r>
      <w:r>
        <w:rPr>
          <w:rFonts w:hint="eastAsia" w:ascii="宋体" w:hAnsi="宋体"/>
          <w:szCs w:val="21"/>
          <w:lang w:eastAsia="zh-CN"/>
        </w:rPr>
        <w:t>和</w:t>
      </w:r>
      <w:r>
        <w:rPr>
          <w:rFonts w:hint="eastAsia" w:ascii="宋体" w:hAnsi="宋体"/>
          <w:szCs w:val="21"/>
        </w:rPr>
        <w:t>中国政府采购网（www.ccgp.gov.cn）</w:t>
      </w:r>
      <w:r>
        <w:rPr>
          <w:rFonts w:hint="eastAsia" w:ascii="宋体" w:hAnsi="宋体"/>
          <w:bCs/>
          <w:iCs/>
        </w:rPr>
        <w:t>的查询中无重大失信等被禁止投标记录</w:t>
      </w:r>
      <w:r>
        <w:rPr>
          <w:rFonts w:hint="eastAsia" w:ascii="宋体" w:hAnsi="宋体"/>
          <w:bCs/>
          <w:iCs/>
          <w:lang w:eastAsia="zh-CN"/>
        </w:rPr>
        <w:t>，</w:t>
      </w:r>
      <w:r>
        <w:rPr>
          <w:rFonts w:hint="eastAsia" w:ascii="宋体" w:hAnsi="宋体"/>
          <w:bCs/>
          <w:iCs/>
        </w:rPr>
        <w:t>提供查询结果截图打印件加盖公章</w:t>
      </w:r>
      <w:r>
        <w:rPr>
          <w:rFonts w:hint="eastAsia" w:ascii="宋体" w:hAnsi="宋体"/>
          <w:szCs w:val="21"/>
        </w:rPr>
        <w:t>；</w:t>
      </w:r>
    </w:p>
    <w:p w14:paraId="6F7B59F2">
      <w:pPr>
        <w:pStyle w:val="44"/>
        <w:ind w:left="0" w:leftChars="0" w:firstLine="480" w:firstLineChars="200"/>
      </w:pPr>
      <w:r>
        <w:rPr>
          <w:rFonts w:hint="eastAsia" w:ascii="宋体" w:hAnsi="宋体"/>
          <w:szCs w:val="21"/>
        </w:rPr>
        <w:t>（2）不良信用记录是指：投标人在“信用中国”网站被列入失信被执行人和重大税收违法失信主体名单，或在“中国政府采购网”网站被列入政府采购严重违法失信行为记录名单。投标人有上述不良信用记录的，其投标无效，其中，列入政府采购严重违法失信行为记录名单的，按处罚结果执行。</w:t>
      </w:r>
    </w:p>
    <w:p w14:paraId="67CC7D05">
      <w:pPr>
        <w:adjustRightInd w:val="0"/>
        <w:snapToGrid w:val="0"/>
        <w:spacing w:line="360" w:lineRule="auto"/>
        <w:jc w:val="center"/>
        <w:rPr>
          <w:rFonts w:ascii="黑体" w:eastAsia="黑体"/>
          <w:color w:val="000000"/>
          <w:sz w:val="32"/>
          <w:szCs w:val="32"/>
        </w:rPr>
      </w:pPr>
    </w:p>
    <w:p w14:paraId="2EDDC277">
      <w:pPr>
        <w:pStyle w:val="44"/>
        <w:rPr>
          <w:rFonts w:ascii="黑体" w:eastAsia="黑体"/>
          <w:color w:val="000000"/>
          <w:sz w:val="32"/>
          <w:szCs w:val="32"/>
        </w:rPr>
      </w:pPr>
    </w:p>
    <w:p w14:paraId="77D22775">
      <w:pPr>
        <w:pStyle w:val="12"/>
        <w:rPr>
          <w:rFonts w:ascii="黑体" w:eastAsia="黑体"/>
          <w:color w:val="000000"/>
          <w:sz w:val="32"/>
          <w:szCs w:val="32"/>
        </w:rPr>
      </w:pPr>
    </w:p>
    <w:p w14:paraId="085E3ADB">
      <w:pPr>
        <w:pStyle w:val="13"/>
        <w:rPr>
          <w:rFonts w:ascii="黑体" w:eastAsia="黑体"/>
          <w:color w:val="000000"/>
          <w:sz w:val="32"/>
          <w:szCs w:val="32"/>
        </w:rPr>
      </w:pPr>
    </w:p>
    <w:p w14:paraId="6C52816A">
      <w:pPr>
        <w:pStyle w:val="13"/>
        <w:rPr>
          <w:rFonts w:ascii="黑体" w:eastAsia="黑体"/>
          <w:color w:val="000000"/>
          <w:sz w:val="32"/>
          <w:szCs w:val="32"/>
        </w:rPr>
      </w:pPr>
    </w:p>
    <w:p w14:paraId="01EE694A">
      <w:pPr>
        <w:pStyle w:val="13"/>
        <w:rPr>
          <w:rFonts w:ascii="黑体" w:eastAsia="黑体"/>
          <w:color w:val="000000"/>
          <w:sz w:val="32"/>
          <w:szCs w:val="32"/>
        </w:rPr>
      </w:pPr>
    </w:p>
    <w:p w14:paraId="0A9B6730">
      <w:pPr>
        <w:pStyle w:val="13"/>
        <w:rPr>
          <w:rFonts w:ascii="黑体" w:eastAsia="黑体"/>
          <w:color w:val="000000"/>
          <w:sz w:val="32"/>
          <w:szCs w:val="32"/>
        </w:rPr>
      </w:pPr>
    </w:p>
    <w:p w14:paraId="76DC5674">
      <w:pPr>
        <w:pStyle w:val="13"/>
        <w:rPr>
          <w:rFonts w:ascii="黑体" w:eastAsia="黑体"/>
          <w:color w:val="000000"/>
          <w:sz w:val="32"/>
          <w:szCs w:val="32"/>
        </w:rPr>
      </w:pPr>
    </w:p>
    <w:p w14:paraId="51BEA19F">
      <w:pPr>
        <w:pStyle w:val="13"/>
        <w:rPr>
          <w:rFonts w:ascii="黑体" w:eastAsia="黑体"/>
          <w:color w:val="000000"/>
          <w:sz w:val="32"/>
          <w:szCs w:val="32"/>
        </w:rPr>
      </w:pPr>
    </w:p>
    <w:p w14:paraId="51391A24">
      <w:pPr>
        <w:pStyle w:val="13"/>
        <w:rPr>
          <w:rFonts w:ascii="黑体" w:eastAsia="黑体"/>
          <w:color w:val="000000"/>
          <w:sz w:val="32"/>
          <w:szCs w:val="32"/>
        </w:rPr>
      </w:pPr>
    </w:p>
    <w:p w14:paraId="5DD5AE46">
      <w:pPr>
        <w:pStyle w:val="13"/>
        <w:rPr>
          <w:rFonts w:ascii="黑体" w:eastAsia="黑体"/>
          <w:color w:val="000000"/>
          <w:sz w:val="32"/>
          <w:szCs w:val="32"/>
        </w:rPr>
      </w:pPr>
    </w:p>
    <w:p w14:paraId="7A7BCFAD">
      <w:pPr>
        <w:pStyle w:val="13"/>
        <w:rPr>
          <w:rFonts w:ascii="黑体" w:eastAsia="黑体"/>
          <w:color w:val="000000"/>
          <w:sz w:val="32"/>
          <w:szCs w:val="32"/>
        </w:rPr>
      </w:pPr>
    </w:p>
    <w:p w14:paraId="07F46337">
      <w:pPr>
        <w:pStyle w:val="13"/>
        <w:rPr>
          <w:rFonts w:ascii="黑体" w:eastAsia="黑体"/>
          <w:color w:val="000000"/>
          <w:sz w:val="32"/>
          <w:szCs w:val="32"/>
        </w:rPr>
      </w:pPr>
    </w:p>
    <w:p w14:paraId="10BEEA44">
      <w:pPr>
        <w:pStyle w:val="13"/>
        <w:rPr>
          <w:rFonts w:ascii="黑体" w:eastAsia="黑体"/>
          <w:color w:val="000000"/>
          <w:sz w:val="32"/>
          <w:szCs w:val="32"/>
        </w:rPr>
      </w:pPr>
    </w:p>
    <w:p w14:paraId="41B5F543">
      <w:pPr>
        <w:pStyle w:val="13"/>
        <w:rPr>
          <w:rFonts w:ascii="黑体" w:eastAsia="黑体"/>
          <w:color w:val="000000"/>
          <w:sz w:val="32"/>
          <w:szCs w:val="32"/>
        </w:rPr>
      </w:pPr>
    </w:p>
    <w:p w14:paraId="2FFA178F">
      <w:pPr>
        <w:pStyle w:val="13"/>
        <w:rPr>
          <w:rFonts w:ascii="黑体" w:eastAsia="黑体"/>
          <w:color w:val="000000"/>
          <w:sz w:val="32"/>
          <w:szCs w:val="32"/>
        </w:rPr>
      </w:pPr>
    </w:p>
    <w:p w14:paraId="61604EBD">
      <w:pPr>
        <w:pStyle w:val="25"/>
        <w:adjustRightInd w:val="0"/>
        <w:snapToGrid w:val="0"/>
        <w:spacing w:line="360" w:lineRule="auto"/>
        <w:jc w:val="center"/>
        <w:rPr>
          <w:rFonts w:ascii="华文中宋" w:hAnsi="华文中宋" w:eastAsia="华文中宋"/>
          <w:bCs/>
          <w:color w:val="000000"/>
          <w:sz w:val="72"/>
          <w:szCs w:val="72"/>
        </w:rPr>
      </w:pPr>
      <w:r>
        <w:rPr>
          <w:rFonts w:hint="eastAsia" w:ascii="华文中宋" w:hAnsi="华文中宋" w:eastAsia="华文中宋"/>
          <w:bCs/>
          <w:color w:val="000000"/>
          <w:sz w:val="72"/>
          <w:szCs w:val="72"/>
        </w:rPr>
        <w:t>政府采购</w:t>
      </w:r>
    </w:p>
    <w:p w14:paraId="0664B319">
      <w:pPr>
        <w:adjustRightInd w:val="0"/>
        <w:snapToGrid w:val="0"/>
        <w:spacing w:line="360" w:lineRule="auto"/>
        <w:jc w:val="center"/>
        <w:rPr>
          <w:rFonts w:ascii="宋体" w:hAnsi="宋体"/>
          <w:b/>
          <w:bCs/>
          <w:color w:val="000000"/>
          <w:sz w:val="84"/>
          <w:szCs w:val="84"/>
        </w:rPr>
      </w:pPr>
      <w:r>
        <w:rPr>
          <w:rFonts w:hint="eastAsia" w:ascii="宋体" w:hAnsi="宋体"/>
          <w:b/>
          <w:bCs/>
          <w:color w:val="000000"/>
          <w:sz w:val="84"/>
          <w:szCs w:val="84"/>
        </w:rPr>
        <w:t>投 标 文 件</w:t>
      </w:r>
    </w:p>
    <w:p w14:paraId="3F45445B">
      <w:pPr>
        <w:pStyle w:val="4"/>
        <w:adjustRightInd w:val="0"/>
        <w:snapToGrid w:val="0"/>
        <w:jc w:val="center"/>
        <w:rPr>
          <w:rFonts w:ascii="黑体" w:hAnsi="黑体" w:eastAsia="黑体"/>
          <w:color w:val="000000"/>
          <w:sz w:val="44"/>
          <w:szCs w:val="44"/>
        </w:rPr>
      </w:pPr>
      <w:bookmarkStart w:id="148" w:name="_Toc30235"/>
      <w:r>
        <w:rPr>
          <w:rFonts w:hint="eastAsia" w:ascii="黑体" w:hAnsi="黑体" w:eastAsia="黑体"/>
          <w:color w:val="000000"/>
          <w:sz w:val="44"/>
          <w:szCs w:val="44"/>
        </w:rPr>
        <w:t>第二部分 商务技术文件</w:t>
      </w:r>
      <w:bookmarkEnd w:id="148"/>
    </w:p>
    <w:p w14:paraId="2803B990">
      <w:pPr>
        <w:adjustRightInd w:val="0"/>
        <w:snapToGrid w:val="0"/>
        <w:spacing w:line="360" w:lineRule="auto"/>
        <w:rPr>
          <w:rFonts w:ascii="宋体" w:hAnsi="宋体"/>
          <w:color w:val="000000"/>
          <w:sz w:val="32"/>
          <w:szCs w:val="32"/>
        </w:rPr>
      </w:pPr>
    </w:p>
    <w:p w14:paraId="5FEAB06B">
      <w:pPr>
        <w:pStyle w:val="25"/>
        <w:adjustRightInd w:val="0"/>
        <w:snapToGrid w:val="0"/>
        <w:spacing w:line="360" w:lineRule="auto"/>
        <w:ind w:firstLine="1988" w:firstLineChars="660"/>
        <w:rPr>
          <w:rFonts w:hAnsi="宋体"/>
          <w:b/>
          <w:bCs/>
          <w:color w:val="000000"/>
          <w:sz w:val="30"/>
          <w:szCs w:val="30"/>
        </w:rPr>
      </w:pPr>
    </w:p>
    <w:p w14:paraId="7E739A35">
      <w:pPr>
        <w:pStyle w:val="25"/>
        <w:adjustRightInd w:val="0"/>
        <w:snapToGrid w:val="0"/>
        <w:spacing w:line="360" w:lineRule="auto"/>
        <w:ind w:firstLine="1988" w:firstLineChars="660"/>
        <w:rPr>
          <w:rFonts w:hint="eastAsia" w:hAnsi="宋体"/>
          <w:b/>
          <w:bCs/>
          <w:color w:val="000000"/>
          <w:sz w:val="30"/>
          <w:szCs w:val="30"/>
        </w:rPr>
      </w:pPr>
      <w:r>
        <w:rPr>
          <w:rFonts w:hint="eastAsia" w:hAnsi="宋体"/>
          <w:b/>
          <w:bCs/>
          <w:color w:val="000000"/>
          <w:sz w:val="30"/>
          <w:szCs w:val="30"/>
        </w:rPr>
        <w:t>采购项目名称:</w:t>
      </w:r>
    </w:p>
    <w:p w14:paraId="4CB8258A">
      <w:pPr>
        <w:adjustRightInd w:val="0"/>
        <w:snapToGrid w:val="0"/>
        <w:spacing w:line="360" w:lineRule="auto"/>
        <w:ind w:firstLine="2108" w:firstLineChars="700"/>
        <w:rPr>
          <w:rFonts w:hint="eastAsia" w:hAnsi="宋体"/>
          <w:b/>
          <w:bCs/>
          <w:color w:val="000000"/>
          <w:sz w:val="30"/>
          <w:szCs w:val="30"/>
        </w:rPr>
      </w:pPr>
      <w:r>
        <w:rPr>
          <w:rFonts w:hint="eastAsia" w:ascii="宋体" w:hAnsi="宋体" w:eastAsia="宋体" w:cs="Courier New"/>
          <w:b/>
          <w:bCs/>
          <w:color w:val="000000"/>
          <w:kern w:val="2"/>
          <w:sz w:val="30"/>
          <w:szCs w:val="30"/>
          <w:lang w:val="en-US" w:eastAsia="zh-CN" w:bidi="ar-SA"/>
        </w:rPr>
        <w:t xml:space="preserve">包名称： </w:t>
      </w:r>
    </w:p>
    <w:p w14:paraId="084ECD01">
      <w:pPr>
        <w:pStyle w:val="25"/>
        <w:adjustRightInd w:val="0"/>
        <w:snapToGrid w:val="0"/>
        <w:spacing w:line="360" w:lineRule="auto"/>
        <w:ind w:firstLine="1988" w:firstLineChars="660"/>
        <w:rPr>
          <w:rFonts w:hAnsi="宋体"/>
          <w:b/>
          <w:bCs/>
          <w:color w:val="000000"/>
          <w:sz w:val="30"/>
          <w:szCs w:val="30"/>
        </w:rPr>
      </w:pPr>
      <w:r>
        <w:rPr>
          <w:rFonts w:hint="eastAsia" w:hAnsi="宋体"/>
          <w:b/>
          <w:bCs/>
          <w:color w:val="000000"/>
          <w:sz w:val="30"/>
          <w:szCs w:val="30"/>
        </w:rPr>
        <w:t>采   购   人：</w:t>
      </w:r>
    </w:p>
    <w:p w14:paraId="64BF6091">
      <w:pPr>
        <w:pStyle w:val="25"/>
        <w:adjustRightInd w:val="0"/>
        <w:snapToGrid w:val="0"/>
        <w:spacing w:line="360" w:lineRule="auto"/>
        <w:ind w:firstLine="1988" w:firstLineChars="660"/>
        <w:rPr>
          <w:rFonts w:hAnsi="宋体"/>
          <w:b/>
          <w:bCs/>
          <w:color w:val="000000"/>
          <w:sz w:val="30"/>
          <w:szCs w:val="30"/>
          <w:u w:val="single"/>
        </w:rPr>
      </w:pPr>
      <w:r>
        <w:rPr>
          <w:rFonts w:hint="eastAsia" w:hAnsi="宋体"/>
          <w:b/>
          <w:bCs/>
          <w:color w:val="000000"/>
          <w:sz w:val="30"/>
          <w:szCs w:val="30"/>
        </w:rPr>
        <w:t>政府采购编号:</w:t>
      </w:r>
    </w:p>
    <w:p w14:paraId="5B9A7279">
      <w:pPr>
        <w:pStyle w:val="25"/>
        <w:adjustRightInd w:val="0"/>
        <w:snapToGrid w:val="0"/>
        <w:spacing w:line="360" w:lineRule="auto"/>
        <w:ind w:firstLine="1988" w:firstLineChars="660"/>
        <w:rPr>
          <w:rFonts w:hAnsi="宋体"/>
          <w:b/>
          <w:bCs/>
          <w:color w:val="000000"/>
          <w:sz w:val="30"/>
          <w:szCs w:val="30"/>
          <w:u w:val="single"/>
        </w:rPr>
      </w:pPr>
      <w:r>
        <w:rPr>
          <w:rFonts w:hint="eastAsia" w:hAnsi="宋体"/>
          <w:b/>
          <w:bCs/>
          <w:color w:val="000000"/>
          <w:sz w:val="30"/>
          <w:szCs w:val="30"/>
        </w:rPr>
        <w:t>采购代理编号:</w:t>
      </w:r>
    </w:p>
    <w:p w14:paraId="5AF074A1">
      <w:pPr>
        <w:pStyle w:val="25"/>
        <w:adjustRightInd w:val="0"/>
        <w:snapToGrid w:val="0"/>
        <w:spacing w:line="360" w:lineRule="auto"/>
        <w:ind w:firstLine="1988" w:firstLineChars="660"/>
        <w:rPr>
          <w:rFonts w:hAnsi="宋体"/>
          <w:b/>
          <w:bCs/>
          <w:color w:val="000000"/>
          <w:sz w:val="30"/>
          <w:szCs w:val="30"/>
          <w:u w:val="single"/>
        </w:rPr>
      </w:pPr>
      <w:r>
        <w:rPr>
          <w:rFonts w:hint="eastAsia" w:hAnsi="宋体"/>
          <w:b/>
          <w:bCs/>
          <w:color w:val="000000"/>
          <w:sz w:val="30"/>
          <w:szCs w:val="30"/>
        </w:rPr>
        <w:t>采购代理机构：</w:t>
      </w:r>
    </w:p>
    <w:p w14:paraId="5A8C4147">
      <w:pPr>
        <w:adjustRightInd w:val="0"/>
        <w:snapToGrid w:val="0"/>
        <w:spacing w:line="360" w:lineRule="auto"/>
        <w:rPr>
          <w:rFonts w:ascii="宋体" w:hAnsi="宋体"/>
          <w:color w:val="000000"/>
          <w:sz w:val="30"/>
          <w:szCs w:val="30"/>
        </w:rPr>
      </w:pPr>
    </w:p>
    <w:p w14:paraId="0D6025A9">
      <w:pPr>
        <w:adjustRightInd w:val="0"/>
        <w:snapToGrid w:val="0"/>
        <w:spacing w:line="360" w:lineRule="auto"/>
        <w:rPr>
          <w:rFonts w:ascii="宋体" w:hAnsi="宋体"/>
          <w:color w:val="000000"/>
          <w:sz w:val="30"/>
          <w:szCs w:val="30"/>
        </w:rPr>
      </w:pPr>
    </w:p>
    <w:p w14:paraId="5CF215AF">
      <w:pPr>
        <w:adjustRightInd w:val="0"/>
        <w:snapToGrid w:val="0"/>
        <w:spacing w:line="360" w:lineRule="auto"/>
        <w:rPr>
          <w:rFonts w:ascii="宋体" w:hAnsi="宋体"/>
          <w:color w:val="000000"/>
          <w:sz w:val="30"/>
          <w:szCs w:val="30"/>
        </w:rPr>
      </w:pPr>
    </w:p>
    <w:p w14:paraId="7827C9DF">
      <w:pPr>
        <w:adjustRightInd w:val="0"/>
        <w:snapToGrid w:val="0"/>
        <w:spacing w:line="360" w:lineRule="auto"/>
        <w:rPr>
          <w:rFonts w:ascii="宋体" w:hAnsi="宋体"/>
          <w:color w:val="000000"/>
          <w:sz w:val="30"/>
          <w:szCs w:val="30"/>
        </w:rPr>
      </w:pPr>
    </w:p>
    <w:p w14:paraId="5C21A925">
      <w:pPr>
        <w:adjustRightInd w:val="0"/>
        <w:snapToGrid w:val="0"/>
        <w:spacing w:line="360" w:lineRule="auto"/>
        <w:ind w:left="1454" w:leftChars="606" w:firstLine="2"/>
        <w:rPr>
          <w:rFonts w:ascii="宋体" w:hAnsi="宋体"/>
          <w:color w:val="000000"/>
          <w:sz w:val="32"/>
          <w:szCs w:val="32"/>
          <w:u w:val="single"/>
        </w:rPr>
      </w:pPr>
      <w:r>
        <w:rPr>
          <w:rFonts w:hint="eastAsia" w:ascii="宋体" w:hAnsi="宋体"/>
          <w:color w:val="000000"/>
          <w:sz w:val="32"/>
          <w:szCs w:val="32"/>
        </w:rPr>
        <w:t>投标人</w:t>
      </w:r>
    </w:p>
    <w:p w14:paraId="077058C2">
      <w:pPr>
        <w:adjustRightInd w:val="0"/>
        <w:snapToGrid w:val="0"/>
        <w:spacing w:line="360" w:lineRule="auto"/>
        <w:jc w:val="center"/>
        <w:rPr>
          <w:rFonts w:ascii="宋体" w:hAnsi="宋体"/>
          <w:color w:val="000000"/>
          <w:sz w:val="32"/>
          <w:szCs w:val="32"/>
        </w:rPr>
      </w:pPr>
      <w:r>
        <w:rPr>
          <w:rFonts w:hint="eastAsia" w:ascii="宋体" w:hAnsi="宋体"/>
          <w:color w:val="000000"/>
          <w:sz w:val="32"/>
          <w:szCs w:val="32"/>
        </w:rPr>
        <w:t>年  月  日</w:t>
      </w:r>
    </w:p>
    <w:p w14:paraId="2047005A">
      <w:pPr>
        <w:pStyle w:val="5"/>
        <w:adjustRightInd w:val="0"/>
        <w:spacing w:beforeLines="50" w:after="0" w:line="360" w:lineRule="auto"/>
        <w:jc w:val="left"/>
        <w:rPr>
          <w:rFonts w:ascii="黑体" w:hAnsi="黑体"/>
          <w:b w:val="0"/>
          <w:color w:val="000000"/>
          <w:sz w:val="21"/>
          <w:szCs w:val="21"/>
        </w:rPr>
      </w:pPr>
      <w:r>
        <w:rPr>
          <w:rFonts w:ascii="宋体" w:hAnsi="宋体"/>
          <w:color w:val="000000"/>
          <w:u w:val="single"/>
        </w:rPr>
        <w:br w:type="page"/>
      </w:r>
      <w:bookmarkStart w:id="149" w:name="_Toc1445"/>
      <w:bookmarkStart w:id="150" w:name="_Toc30347"/>
      <w:r>
        <w:rPr>
          <w:rFonts w:hint="eastAsia" w:ascii="黑体" w:hAnsi="黑体"/>
          <w:b w:val="0"/>
          <w:color w:val="000000"/>
          <w:sz w:val="21"/>
          <w:szCs w:val="21"/>
        </w:rPr>
        <w:t>索引表2 符合性审查索引表</w:t>
      </w:r>
      <w:bookmarkEnd w:id="149"/>
      <w:bookmarkEnd w:id="150"/>
    </w:p>
    <w:p w14:paraId="699850A8">
      <w:pPr>
        <w:adjustRightInd w:val="0"/>
        <w:spacing w:beforeLines="50" w:line="360" w:lineRule="auto"/>
        <w:jc w:val="center"/>
        <w:rPr>
          <w:rFonts w:ascii="黑体" w:hAnsi="黑体" w:eastAsia="黑体"/>
          <w:b/>
          <w:color w:val="000000"/>
          <w:sz w:val="28"/>
          <w:szCs w:val="28"/>
        </w:rPr>
      </w:pPr>
      <w:r>
        <w:rPr>
          <w:rFonts w:hint="eastAsia" w:ascii="黑体" w:hAnsi="黑体" w:eastAsia="黑体"/>
          <w:b/>
          <w:color w:val="000000"/>
          <w:sz w:val="28"/>
          <w:szCs w:val="28"/>
        </w:rPr>
        <w:t>符合性审查索引表</w:t>
      </w:r>
    </w:p>
    <w:tbl>
      <w:tblPr>
        <w:tblStyle w:val="45"/>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89"/>
        <w:gridCol w:w="1871"/>
        <w:gridCol w:w="2410"/>
        <w:gridCol w:w="2268"/>
        <w:gridCol w:w="1722"/>
      </w:tblGrid>
      <w:tr w14:paraId="25F41FF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vAlign w:val="center"/>
          </w:tcPr>
          <w:p w14:paraId="3D11C70F">
            <w:pPr>
              <w:adjustRightInd w:val="0"/>
              <w:snapToGrid w:val="0"/>
              <w:spacing w:beforeLines="50" w:line="360" w:lineRule="auto"/>
              <w:jc w:val="center"/>
              <w:rPr>
                <w:rFonts w:ascii="宋体" w:hAnsi="宋体"/>
                <w:b/>
                <w:color w:val="000000"/>
                <w:kern w:val="0"/>
                <w:szCs w:val="21"/>
              </w:rPr>
            </w:pPr>
            <w:r>
              <w:rPr>
                <w:rFonts w:hint="eastAsia" w:ascii="宋体" w:hAnsi="宋体"/>
                <w:b/>
                <w:color w:val="000000"/>
                <w:kern w:val="0"/>
                <w:szCs w:val="21"/>
              </w:rPr>
              <w:t>序号</w:t>
            </w:r>
          </w:p>
        </w:tc>
        <w:tc>
          <w:tcPr>
            <w:tcW w:w="1871" w:type="dxa"/>
            <w:tcBorders>
              <w:right w:val="single" w:color="auto" w:sz="4" w:space="0"/>
            </w:tcBorders>
            <w:vAlign w:val="center"/>
          </w:tcPr>
          <w:p w14:paraId="371ABAFC">
            <w:pPr>
              <w:adjustRightInd w:val="0"/>
              <w:snapToGrid w:val="0"/>
              <w:spacing w:beforeLines="50" w:line="360" w:lineRule="auto"/>
              <w:jc w:val="center"/>
              <w:rPr>
                <w:rFonts w:ascii="宋体" w:hAnsi="宋体"/>
                <w:b/>
                <w:color w:val="000000"/>
                <w:kern w:val="0"/>
                <w:sz w:val="20"/>
                <w:szCs w:val="21"/>
              </w:rPr>
            </w:pPr>
            <w:r>
              <w:rPr>
                <w:rFonts w:hint="eastAsia" w:ascii="宋体" w:hAnsi="宋体"/>
                <w:b/>
                <w:color w:val="000000"/>
                <w:kern w:val="0"/>
                <w:sz w:val="20"/>
                <w:szCs w:val="21"/>
              </w:rPr>
              <w:t>招标文件条款号</w:t>
            </w:r>
          </w:p>
        </w:tc>
        <w:tc>
          <w:tcPr>
            <w:tcW w:w="2410" w:type="dxa"/>
            <w:tcBorders>
              <w:left w:val="single" w:color="auto" w:sz="4" w:space="0"/>
            </w:tcBorders>
            <w:vAlign w:val="center"/>
          </w:tcPr>
          <w:p w14:paraId="1C1E2772">
            <w:pPr>
              <w:adjustRightInd w:val="0"/>
              <w:snapToGrid w:val="0"/>
              <w:spacing w:beforeLines="50" w:line="360" w:lineRule="auto"/>
              <w:jc w:val="center"/>
              <w:rPr>
                <w:rFonts w:ascii="宋体" w:hAnsi="宋体"/>
                <w:b/>
                <w:color w:val="000000"/>
                <w:kern w:val="0"/>
                <w:sz w:val="20"/>
                <w:szCs w:val="21"/>
              </w:rPr>
            </w:pPr>
            <w:r>
              <w:rPr>
                <w:rFonts w:hint="eastAsia" w:ascii="宋体" w:hAnsi="宋体"/>
                <w:b/>
                <w:color w:val="000000"/>
                <w:kern w:val="0"/>
                <w:szCs w:val="21"/>
              </w:rPr>
              <w:t>审查内容及标准</w:t>
            </w:r>
          </w:p>
        </w:tc>
        <w:tc>
          <w:tcPr>
            <w:tcW w:w="2268" w:type="dxa"/>
            <w:vAlign w:val="center"/>
          </w:tcPr>
          <w:p w14:paraId="4C07CC3E">
            <w:pPr>
              <w:adjustRightInd w:val="0"/>
              <w:snapToGrid w:val="0"/>
              <w:spacing w:beforeLines="50" w:line="360" w:lineRule="auto"/>
              <w:jc w:val="center"/>
              <w:rPr>
                <w:rFonts w:ascii="宋体" w:hAnsi="宋体"/>
                <w:b/>
                <w:color w:val="000000"/>
                <w:kern w:val="0"/>
                <w:szCs w:val="21"/>
              </w:rPr>
            </w:pPr>
            <w:r>
              <w:rPr>
                <w:rFonts w:hint="eastAsia" w:ascii="宋体" w:hAnsi="宋体"/>
                <w:b/>
                <w:color w:val="000000"/>
                <w:kern w:val="0"/>
                <w:szCs w:val="21"/>
              </w:rPr>
              <w:t>投标响应及证明材料</w:t>
            </w:r>
          </w:p>
        </w:tc>
        <w:tc>
          <w:tcPr>
            <w:tcW w:w="1722" w:type="dxa"/>
            <w:vAlign w:val="center"/>
          </w:tcPr>
          <w:p w14:paraId="0BCBDCFA">
            <w:pPr>
              <w:adjustRightInd w:val="0"/>
              <w:snapToGrid w:val="0"/>
              <w:spacing w:beforeLines="50" w:line="360" w:lineRule="auto"/>
              <w:jc w:val="center"/>
              <w:rPr>
                <w:rFonts w:ascii="宋体" w:hAnsi="宋体"/>
                <w:b/>
                <w:color w:val="000000"/>
                <w:kern w:val="0"/>
                <w:sz w:val="20"/>
                <w:szCs w:val="21"/>
              </w:rPr>
            </w:pPr>
            <w:r>
              <w:rPr>
                <w:rFonts w:hint="eastAsia" w:ascii="宋体" w:hAnsi="宋体"/>
                <w:b/>
                <w:color w:val="000000"/>
                <w:kern w:val="0"/>
                <w:szCs w:val="21"/>
              </w:rPr>
              <w:t>投标文件对应内容的册及页码</w:t>
            </w:r>
          </w:p>
        </w:tc>
      </w:tr>
      <w:tr w14:paraId="26AB4A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0C084910">
            <w:pPr>
              <w:adjustRightInd w:val="0"/>
              <w:snapToGrid w:val="0"/>
              <w:spacing w:beforeLines="50" w:line="360" w:lineRule="auto"/>
              <w:jc w:val="center"/>
              <w:rPr>
                <w:rFonts w:ascii="宋体" w:hAnsi="宋体"/>
                <w:color w:val="000000"/>
                <w:kern w:val="0"/>
                <w:szCs w:val="21"/>
              </w:rPr>
            </w:pPr>
          </w:p>
        </w:tc>
        <w:tc>
          <w:tcPr>
            <w:tcW w:w="1871" w:type="dxa"/>
            <w:tcBorders>
              <w:right w:val="single" w:color="auto" w:sz="4" w:space="0"/>
            </w:tcBorders>
          </w:tcPr>
          <w:p w14:paraId="52BBABB2">
            <w:pPr>
              <w:adjustRightInd w:val="0"/>
              <w:snapToGrid w:val="0"/>
              <w:spacing w:beforeLines="50" w:line="360" w:lineRule="auto"/>
              <w:jc w:val="center"/>
              <w:rPr>
                <w:rFonts w:ascii="宋体" w:hAnsi="宋体"/>
                <w:color w:val="000000"/>
                <w:kern w:val="0"/>
                <w:sz w:val="20"/>
                <w:szCs w:val="21"/>
              </w:rPr>
            </w:pPr>
          </w:p>
        </w:tc>
        <w:tc>
          <w:tcPr>
            <w:tcW w:w="2410" w:type="dxa"/>
            <w:tcBorders>
              <w:left w:val="single" w:color="auto" w:sz="4" w:space="0"/>
            </w:tcBorders>
          </w:tcPr>
          <w:p w14:paraId="3748DE75">
            <w:pPr>
              <w:adjustRightInd w:val="0"/>
              <w:snapToGrid w:val="0"/>
              <w:spacing w:beforeLines="50" w:line="360" w:lineRule="auto"/>
              <w:jc w:val="center"/>
              <w:rPr>
                <w:rFonts w:ascii="宋体" w:hAnsi="宋体"/>
                <w:color w:val="000000"/>
                <w:kern w:val="0"/>
                <w:sz w:val="20"/>
                <w:szCs w:val="21"/>
              </w:rPr>
            </w:pPr>
          </w:p>
        </w:tc>
        <w:tc>
          <w:tcPr>
            <w:tcW w:w="2268" w:type="dxa"/>
          </w:tcPr>
          <w:p w14:paraId="0E471DCE">
            <w:pPr>
              <w:adjustRightInd w:val="0"/>
              <w:snapToGrid w:val="0"/>
              <w:spacing w:beforeLines="50" w:line="360" w:lineRule="auto"/>
              <w:jc w:val="center"/>
              <w:rPr>
                <w:rFonts w:ascii="宋体" w:hAnsi="宋体"/>
                <w:color w:val="000000"/>
                <w:kern w:val="0"/>
                <w:szCs w:val="21"/>
              </w:rPr>
            </w:pPr>
          </w:p>
        </w:tc>
        <w:tc>
          <w:tcPr>
            <w:tcW w:w="1722" w:type="dxa"/>
          </w:tcPr>
          <w:p w14:paraId="4B04A3A0">
            <w:pPr>
              <w:adjustRightInd w:val="0"/>
              <w:snapToGrid w:val="0"/>
              <w:spacing w:beforeLines="50" w:line="360" w:lineRule="auto"/>
              <w:jc w:val="center"/>
              <w:rPr>
                <w:rFonts w:ascii="宋体" w:hAnsi="宋体"/>
                <w:color w:val="000000"/>
                <w:kern w:val="0"/>
                <w:sz w:val="20"/>
                <w:szCs w:val="21"/>
              </w:rPr>
            </w:pPr>
          </w:p>
        </w:tc>
      </w:tr>
      <w:tr w14:paraId="38687F9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5A138E68">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7A97DBF4">
            <w:pPr>
              <w:adjustRightInd w:val="0"/>
              <w:snapToGrid w:val="0"/>
              <w:spacing w:beforeLines="50" w:line="360" w:lineRule="auto"/>
              <w:jc w:val="center"/>
              <w:rPr>
                <w:rFonts w:ascii="宋体" w:hAnsi="宋体"/>
                <w:color w:val="000000"/>
                <w:kern w:val="0"/>
                <w:sz w:val="20"/>
                <w:szCs w:val="21"/>
              </w:rPr>
            </w:pPr>
          </w:p>
        </w:tc>
        <w:tc>
          <w:tcPr>
            <w:tcW w:w="2410" w:type="dxa"/>
            <w:tcBorders>
              <w:left w:val="single" w:color="auto" w:sz="4" w:space="0"/>
            </w:tcBorders>
          </w:tcPr>
          <w:p w14:paraId="401FAAC4">
            <w:pPr>
              <w:adjustRightInd w:val="0"/>
              <w:snapToGrid w:val="0"/>
              <w:spacing w:beforeLines="50" w:line="360" w:lineRule="auto"/>
              <w:jc w:val="center"/>
              <w:rPr>
                <w:rFonts w:ascii="宋体" w:hAnsi="宋体"/>
                <w:color w:val="000000"/>
                <w:kern w:val="0"/>
                <w:sz w:val="20"/>
                <w:szCs w:val="21"/>
              </w:rPr>
            </w:pPr>
          </w:p>
        </w:tc>
        <w:tc>
          <w:tcPr>
            <w:tcW w:w="2268" w:type="dxa"/>
          </w:tcPr>
          <w:p w14:paraId="6565047C">
            <w:pPr>
              <w:adjustRightInd w:val="0"/>
              <w:snapToGrid w:val="0"/>
              <w:spacing w:beforeLines="50" w:line="360" w:lineRule="auto"/>
              <w:jc w:val="center"/>
              <w:rPr>
                <w:rFonts w:ascii="宋体" w:hAnsi="宋体"/>
                <w:color w:val="000000"/>
                <w:kern w:val="0"/>
                <w:sz w:val="20"/>
                <w:szCs w:val="21"/>
              </w:rPr>
            </w:pPr>
          </w:p>
        </w:tc>
        <w:tc>
          <w:tcPr>
            <w:tcW w:w="1722" w:type="dxa"/>
          </w:tcPr>
          <w:p w14:paraId="2195D59B">
            <w:pPr>
              <w:adjustRightInd w:val="0"/>
              <w:snapToGrid w:val="0"/>
              <w:spacing w:beforeLines="50" w:line="360" w:lineRule="auto"/>
              <w:jc w:val="center"/>
              <w:rPr>
                <w:rFonts w:ascii="宋体" w:hAnsi="宋体"/>
                <w:color w:val="000000"/>
                <w:kern w:val="0"/>
                <w:sz w:val="20"/>
                <w:szCs w:val="21"/>
              </w:rPr>
            </w:pPr>
          </w:p>
        </w:tc>
      </w:tr>
      <w:tr w14:paraId="606FD21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5A9E90D7">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478D8BAC">
            <w:pPr>
              <w:adjustRightInd w:val="0"/>
              <w:snapToGrid w:val="0"/>
              <w:spacing w:beforeLines="50" w:line="360" w:lineRule="auto"/>
              <w:jc w:val="center"/>
              <w:rPr>
                <w:rFonts w:ascii="宋体" w:hAnsi="宋体"/>
                <w:color w:val="000000"/>
                <w:kern w:val="0"/>
                <w:sz w:val="20"/>
                <w:szCs w:val="21"/>
              </w:rPr>
            </w:pPr>
          </w:p>
        </w:tc>
        <w:tc>
          <w:tcPr>
            <w:tcW w:w="2410" w:type="dxa"/>
            <w:tcBorders>
              <w:left w:val="single" w:color="auto" w:sz="4" w:space="0"/>
            </w:tcBorders>
          </w:tcPr>
          <w:p w14:paraId="1CC98A9E">
            <w:pPr>
              <w:adjustRightInd w:val="0"/>
              <w:snapToGrid w:val="0"/>
              <w:spacing w:beforeLines="50" w:line="360" w:lineRule="auto"/>
              <w:jc w:val="center"/>
              <w:rPr>
                <w:rFonts w:ascii="宋体" w:hAnsi="宋体"/>
                <w:color w:val="000000"/>
                <w:kern w:val="0"/>
                <w:sz w:val="20"/>
                <w:szCs w:val="21"/>
              </w:rPr>
            </w:pPr>
          </w:p>
        </w:tc>
        <w:tc>
          <w:tcPr>
            <w:tcW w:w="2268" w:type="dxa"/>
          </w:tcPr>
          <w:p w14:paraId="29D0106A">
            <w:pPr>
              <w:adjustRightInd w:val="0"/>
              <w:snapToGrid w:val="0"/>
              <w:spacing w:beforeLines="50" w:line="360" w:lineRule="auto"/>
              <w:jc w:val="center"/>
              <w:rPr>
                <w:rFonts w:ascii="宋体" w:hAnsi="宋体"/>
                <w:color w:val="000000"/>
                <w:kern w:val="0"/>
                <w:sz w:val="20"/>
                <w:szCs w:val="21"/>
              </w:rPr>
            </w:pPr>
          </w:p>
        </w:tc>
        <w:tc>
          <w:tcPr>
            <w:tcW w:w="1722" w:type="dxa"/>
          </w:tcPr>
          <w:p w14:paraId="362B3A2D">
            <w:pPr>
              <w:adjustRightInd w:val="0"/>
              <w:snapToGrid w:val="0"/>
              <w:spacing w:beforeLines="50" w:line="360" w:lineRule="auto"/>
              <w:jc w:val="center"/>
              <w:rPr>
                <w:rFonts w:ascii="宋体" w:hAnsi="宋体"/>
                <w:color w:val="000000"/>
                <w:kern w:val="0"/>
                <w:sz w:val="20"/>
                <w:szCs w:val="21"/>
              </w:rPr>
            </w:pPr>
          </w:p>
        </w:tc>
      </w:tr>
      <w:tr w14:paraId="64730D4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31EF7E64">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2FF797AC">
            <w:pPr>
              <w:adjustRightInd w:val="0"/>
              <w:snapToGrid w:val="0"/>
              <w:spacing w:beforeLines="50" w:line="360" w:lineRule="auto"/>
              <w:jc w:val="center"/>
              <w:rPr>
                <w:rFonts w:ascii="宋体" w:hAnsi="宋体"/>
                <w:color w:val="000000"/>
                <w:kern w:val="0"/>
                <w:sz w:val="20"/>
                <w:szCs w:val="21"/>
              </w:rPr>
            </w:pPr>
          </w:p>
        </w:tc>
        <w:tc>
          <w:tcPr>
            <w:tcW w:w="2410" w:type="dxa"/>
            <w:tcBorders>
              <w:left w:val="single" w:color="auto" w:sz="4" w:space="0"/>
            </w:tcBorders>
          </w:tcPr>
          <w:p w14:paraId="3F485C49">
            <w:pPr>
              <w:adjustRightInd w:val="0"/>
              <w:snapToGrid w:val="0"/>
              <w:spacing w:beforeLines="50" w:line="360" w:lineRule="auto"/>
              <w:jc w:val="center"/>
              <w:rPr>
                <w:rFonts w:ascii="宋体" w:hAnsi="宋体"/>
                <w:color w:val="000000"/>
                <w:kern w:val="0"/>
                <w:sz w:val="20"/>
                <w:szCs w:val="21"/>
              </w:rPr>
            </w:pPr>
          </w:p>
        </w:tc>
        <w:tc>
          <w:tcPr>
            <w:tcW w:w="2268" w:type="dxa"/>
          </w:tcPr>
          <w:p w14:paraId="1180FA9E">
            <w:pPr>
              <w:adjustRightInd w:val="0"/>
              <w:snapToGrid w:val="0"/>
              <w:spacing w:beforeLines="50" w:line="360" w:lineRule="auto"/>
              <w:jc w:val="center"/>
              <w:rPr>
                <w:rFonts w:ascii="宋体" w:hAnsi="宋体"/>
                <w:color w:val="000000"/>
                <w:kern w:val="0"/>
                <w:sz w:val="20"/>
                <w:szCs w:val="21"/>
              </w:rPr>
            </w:pPr>
          </w:p>
        </w:tc>
        <w:tc>
          <w:tcPr>
            <w:tcW w:w="1722" w:type="dxa"/>
          </w:tcPr>
          <w:p w14:paraId="577C625D">
            <w:pPr>
              <w:adjustRightInd w:val="0"/>
              <w:snapToGrid w:val="0"/>
              <w:spacing w:beforeLines="50" w:line="360" w:lineRule="auto"/>
              <w:jc w:val="center"/>
              <w:rPr>
                <w:rFonts w:ascii="宋体" w:hAnsi="宋体"/>
                <w:color w:val="000000"/>
                <w:kern w:val="0"/>
                <w:sz w:val="20"/>
                <w:szCs w:val="21"/>
              </w:rPr>
            </w:pPr>
          </w:p>
        </w:tc>
      </w:tr>
      <w:tr w14:paraId="33FD4C5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19AC29D4">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25ACB4A1">
            <w:pPr>
              <w:adjustRightInd w:val="0"/>
              <w:snapToGrid w:val="0"/>
              <w:spacing w:beforeLines="50" w:line="360" w:lineRule="auto"/>
              <w:jc w:val="center"/>
              <w:rPr>
                <w:rFonts w:ascii="宋体" w:hAnsi="宋体"/>
                <w:color w:val="000000"/>
                <w:kern w:val="0"/>
                <w:sz w:val="20"/>
                <w:szCs w:val="21"/>
              </w:rPr>
            </w:pPr>
          </w:p>
        </w:tc>
        <w:tc>
          <w:tcPr>
            <w:tcW w:w="2410" w:type="dxa"/>
            <w:tcBorders>
              <w:left w:val="single" w:color="auto" w:sz="4" w:space="0"/>
            </w:tcBorders>
          </w:tcPr>
          <w:p w14:paraId="465AD0CC">
            <w:pPr>
              <w:adjustRightInd w:val="0"/>
              <w:snapToGrid w:val="0"/>
              <w:spacing w:beforeLines="50" w:line="360" w:lineRule="auto"/>
              <w:jc w:val="center"/>
              <w:rPr>
                <w:rFonts w:ascii="宋体" w:hAnsi="宋体"/>
                <w:color w:val="000000"/>
                <w:kern w:val="0"/>
                <w:sz w:val="20"/>
                <w:szCs w:val="21"/>
              </w:rPr>
            </w:pPr>
          </w:p>
        </w:tc>
        <w:tc>
          <w:tcPr>
            <w:tcW w:w="2268" w:type="dxa"/>
          </w:tcPr>
          <w:p w14:paraId="31D19563">
            <w:pPr>
              <w:adjustRightInd w:val="0"/>
              <w:snapToGrid w:val="0"/>
              <w:spacing w:beforeLines="50" w:line="360" w:lineRule="auto"/>
              <w:jc w:val="center"/>
              <w:rPr>
                <w:rFonts w:ascii="宋体" w:hAnsi="宋体"/>
                <w:color w:val="000000"/>
                <w:kern w:val="0"/>
                <w:sz w:val="20"/>
                <w:szCs w:val="21"/>
              </w:rPr>
            </w:pPr>
          </w:p>
        </w:tc>
        <w:tc>
          <w:tcPr>
            <w:tcW w:w="1722" w:type="dxa"/>
          </w:tcPr>
          <w:p w14:paraId="51154187">
            <w:pPr>
              <w:adjustRightInd w:val="0"/>
              <w:snapToGrid w:val="0"/>
              <w:spacing w:beforeLines="50" w:line="360" w:lineRule="auto"/>
              <w:jc w:val="center"/>
              <w:rPr>
                <w:rFonts w:ascii="宋体" w:hAnsi="宋体"/>
                <w:color w:val="000000"/>
                <w:kern w:val="0"/>
                <w:sz w:val="20"/>
                <w:szCs w:val="21"/>
              </w:rPr>
            </w:pPr>
          </w:p>
        </w:tc>
      </w:tr>
      <w:tr w14:paraId="733D333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6DEEA10E">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0E2839E9">
            <w:pPr>
              <w:adjustRightInd w:val="0"/>
              <w:snapToGrid w:val="0"/>
              <w:spacing w:beforeLines="50" w:line="360" w:lineRule="auto"/>
              <w:jc w:val="center"/>
              <w:rPr>
                <w:rFonts w:ascii="宋体" w:hAnsi="宋体"/>
                <w:color w:val="000000"/>
                <w:kern w:val="0"/>
                <w:sz w:val="20"/>
                <w:szCs w:val="21"/>
              </w:rPr>
            </w:pPr>
          </w:p>
        </w:tc>
        <w:tc>
          <w:tcPr>
            <w:tcW w:w="2410" w:type="dxa"/>
            <w:tcBorders>
              <w:left w:val="single" w:color="auto" w:sz="4" w:space="0"/>
            </w:tcBorders>
          </w:tcPr>
          <w:p w14:paraId="522745F6">
            <w:pPr>
              <w:adjustRightInd w:val="0"/>
              <w:snapToGrid w:val="0"/>
              <w:spacing w:beforeLines="50" w:line="360" w:lineRule="auto"/>
              <w:jc w:val="center"/>
              <w:rPr>
                <w:rFonts w:ascii="宋体" w:hAnsi="宋体"/>
                <w:color w:val="000000"/>
                <w:kern w:val="0"/>
                <w:sz w:val="20"/>
                <w:szCs w:val="21"/>
              </w:rPr>
            </w:pPr>
          </w:p>
        </w:tc>
        <w:tc>
          <w:tcPr>
            <w:tcW w:w="2268" w:type="dxa"/>
          </w:tcPr>
          <w:p w14:paraId="12F768A8">
            <w:pPr>
              <w:adjustRightInd w:val="0"/>
              <w:snapToGrid w:val="0"/>
              <w:spacing w:beforeLines="50" w:line="360" w:lineRule="auto"/>
              <w:jc w:val="center"/>
              <w:rPr>
                <w:rFonts w:ascii="宋体" w:hAnsi="宋体"/>
                <w:color w:val="000000"/>
                <w:kern w:val="0"/>
                <w:sz w:val="20"/>
                <w:szCs w:val="21"/>
              </w:rPr>
            </w:pPr>
          </w:p>
        </w:tc>
        <w:tc>
          <w:tcPr>
            <w:tcW w:w="1722" w:type="dxa"/>
          </w:tcPr>
          <w:p w14:paraId="34E37060">
            <w:pPr>
              <w:adjustRightInd w:val="0"/>
              <w:snapToGrid w:val="0"/>
              <w:spacing w:beforeLines="50" w:line="360" w:lineRule="auto"/>
              <w:jc w:val="center"/>
              <w:rPr>
                <w:rFonts w:ascii="宋体" w:hAnsi="宋体"/>
                <w:color w:val="000000"/>
                <w:kern w:val="0"/>
                <w:sz w:val="20"/>
                <w:szCs w:val="21"/>
              </w:rPr>
            </w:pPr>
          </w:p>
        </w:tc>
      </w:tr>
      <w:tr w14:paraId="2FEED2F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16E71E27">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6372364E">
            <w:pPr>
              <w:adjustRightInd w:val="0"/>
              <w:snapToGrid w:val="0"/>
              <w:spacing w:beforeLines="50" w:line="360" w:lineRule="auto"/>
              <w:jc w:val="center"/>
              <w:rPr>
                <w:rFonts w:ascii="宋体" w:hAnsi="宋体"/>
                <w:color w:val="000000"/>
                <w:kern w:val="0"/>
                <w:sz w:val="20"/>
                <w:szCs w:val="21"/>
              </w:rPr>
            </w:pPr>
          </w:p>
        </w:tc>
        <w:tc>
          <w:tcPr>
            <w:tcW w:w="2410" w:type="dxa"/>
            <w:tcBorders>
              <w:left w:val="single" w:color="auto" w:sz="4" w:space="0"/>
            </w:tcBorders>
          </w:tcPr>
          <w:p w14:paraId="174DDD92">
            <w:pPr>
              <w:adjustRightInd w:val="0"/>
              <w:snapToGrid w:val="0"/>
              <w:spacing w:beforeLines="50" w:line="360" w:lineRule="auto"/>
              <w:jc w:val="center"/>
              <w:rPr>
                <w:rFonts w:ascii="宋体" w:hAnsi="宋体"/>
                <w:color w:val="000000"/>
                <w:kern w:val="0"/>
                <w:sz w:val="20"/>
                <w:szCs w:val="21"/>
              </w:rPr>
            </w:pPr>
          </w:p>
        </w:tc>
        <w:tc>
          <w:tcPr>
            <w:tcW w:w="2268" w:type="dxa"/>
          </w:tcPr>
          <w:p w14:paraId="581375FC">
            <w:pPr>
              <w:adjustRightInd w:val="0"/>
              <w:snapToGrid w:val="0"/>
              <w:spacing w:beforeLines="50" w:line="360" w:lineRule="auto"/>
              <w:jc w:val="center"/>
              <w:rPr>
                <w:rFonts w:ascii="宋体" w:hAnsi="宋体"/>
                <w:color w:val="000000"/>
                <w:kern w:val="0"/>
                <w:sz w:val="20"/>
                <w:szCs w:val="21"/>
              </w:rPr>
            </w:pPr>
          </w:p>
        </w:tc>
        <w:tc>
          <w:tcPr>
            <w:tcW w:w="1722" w:type="dxa"/>
          </w:tcPr>
          <w:p w14:paraId="7BC9818F">
            <w:pPr>
              <w:adjustRightInd w:val="0"/>
              <w:snapToGrid w:val="0"/>
              <w:spacing w:beforeLines="50" w:line="360" w:lineRule="auto"/>
              <w:jc w:val="center"/>
              <w:rPr>
                <w:rFonts w:ascii="宋体" w:hAnsi="宋体"/>
                <w:color w:val="000000"/>
                <w:kern w:val="0"/>
                <w:sz w:val="20"/>
                <w:szCs w:val="21"/>
              </w:rPr>
            </w:pPr>
          </w:p>
        </w:tc>
      </w:tr>
      <w:tr w14:paraId="0E66B3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7A9B8F2D">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1105FF24">
            <w:pPr>
              <w:adjustRightInd w:val="0"/>
              <w:snapToGrid w:val="0"/>
              <w:spacing w:beforeLines="50" w:line="360" w:lineRule="auto"/>
              <w:jc w:val="center"/>
              <w:rPr>
                <w:rFonts w:ascii="宋体" w:hAnsi="宋体"/>
                <w:color w:val="000000"/>
                <w:kern w:val="0"/>
                <w:sz w:val="20"/>
                <w:szCs w:val="21"/>
              </w:rPr>
            </w:pPr>
          </w:p>
        </w:tc>
        <w:tc>
          <w:tcPr>
            <w:tcW w:w="2410" w:type="dxa"/>
            <w:tcBorders>
              <w:left w:val="single" w:color="auto" w:sz="4" w:space="0"/>
            </w:tcBorders>
          </w:tcPr>
          <w:p w14:paraId="409BB6EF">
            <w:pPr>
              <w:adjustRightInd w:val="0"/>
              <w:snapToGrid w:val="0"/>
              <w:spacing w:beforeLines="50" w:line="360" w:lineRule="auto"/>
              <w:jc w:val="center"/>
              <w:rPr>
                <w:rFonts w:ascii="宋体" w:hAnsi="宋体"/>
                <w:color w:val="000000"/>
                <w:kern w:val="0"/>
                <w:sz w:val="20"/>
                <w:szCs w:val="21"/>
              </w:rPr>
            </w:pPr>
          </w:p>
        </w:tc>
        <w:tc>
          <w:tcPr>
            <w:tcW w:w="2268" w:type="dxa"/>
          </w:tcPr>
          <w:p w14:paraId="16DFA2DF">
            <w:pPr>
              <w:adjustRightInd w:val="0"/>
              <w:snapToGrid w:val="0"/>
              <w:spacing w:beforeLines="50" w:line="360" w:lineRule="auto"/>
              <w:jc w:val="center"/>
              <w:rPr>
                <w:rFonts w:ascii="宋体" w:hAnsi="宋体"/>
                <w:color w:val="000000"/>
                <w:kern w:val="0"/>
                <w:sz w:val="20"/>
                <w:szCs w:val="21"/>
              </w:rPr>
            </w:pPr>
          </w:p>
        </w:tc>
        <w:tc>
          <w:tcPr>
            <w:tcW w:w="1722" w:type="dxa"/>
          </w:tcPr>
          <w:p w14:paraId="6C00096B">
            <w:pPr>
              <w:adjustRightInd w:val="0"/>
              <w:snapToGrid w:val="0"/>
              <w:spacing w:beforeLines="50" w:line="360" w:lineRule="auto"/>
              <w:jc w:val="center"/>
              <w:rPr>
                <w:rFonts w:ascii="宋体" w:hAnsi="宋体"/>
                <w:color w:val="000000"/>
                <w:kern w:val="0"/>
                <w:sz w:val="20"/>
                <w:szCs w:val="21"/>
              </w:rPr>
            </w:pPr>
          </w:p>
        </w:tc>
      </w:tr>
      <w:tr w14:paraId="5C397A6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02CDDCDF">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2B5010E2">
            <w:pPr>
              <w:adjustRightInd w:val="0"/>
              <w:snapToGrid w:val="0"/>
              <w:spacing w:beforeLines="50" w:line="360" w:lineRule="auto"/>
              <w:jc w:val="center"/>
              <w:rPr>
                <w:rFonts w:ascii="宋体" w:hAnsi="宋体"/>
                <w:color w:val="000000"/>
                <w:kern w:val="0"/>
                <w:sz w:val="20"/>
                <w:szCs w:val="21"/>
              </w:rPr>
            </w:pPr>
          </w:p>
        </w:tc>
        <w:tc>
          <w:tcPr>
            <w:tcW w:w="2410" w:type="dxa"/>
            <w:tcBorders>
              <w:left w:val="single" w:color="auto" w:sz="4" w:space="0"/>
            </w:tcBorders>
          </w:tcPr>
          <w:p w14:paraId="6F91FBD4">
            <w:pPr>
              <w:adjustRightInd w:val="0"/>
              <w:snapToGrid w:val="0"/>
              <w:spacing w:beforeLines="50" w:line="360" w:lineRule="auto"/>
              <w:jc w:val="center"/>
              <w:rPr>
                <w:rFonts w:ascii="宋体" w:hAnsi="宋体"/>
                <w:color w:val="000000"/>
                <w:kern w:val="0"/>
                <w:sz w:val="20"/>
                <w:szCs w:val="21"/>
              </w:rPr>
            </w:pPr>
          </w:p>
        </w:tc>
        <w:tc>
          <w:tcPr>
            <w:tcW w:w="2268" w:type="dxa"/>
          </w:tcPr>
          <w:p w14:paraId="3A701415">
            <w:pPr>
              <w:adjustRightInd w:val="0"/>
              <w:snapToGrid w:val="0"/>
              <w:spacing w:beforeLines="50" w:line="360" w:lineRule="auto"/>
              <w:jc w:val="center"/>
              <w:rPr>
                <w:rFonts w:ascii="宋体" w:hAnsi="宋体"/>
                <w:color w:val="000000"/>
                <w:kern w:val="0"/>
                <w:sz w:val="20"/>
                <w:szCs w:val="21"/>
              </w:rPr>
            </w:pPr>
          </w:p>
        </w:tc>
        <w:tc>
          <w:tcPr>
            <w:tcW w:w="1722" w:type="dxa"/>
          </w:tcPr>
          <w:p w14:paraId="3DE68408">
            <w:pPr>
              <w:adjustRightInd w:val="0"/>
              <w:snapToGrid w:val="0"/>
              <w:spacing w:beforeLines="50" w:line="360" w:lineRule="auto"/>
              <w:jc w:val="center"/>
              <w:rPr>
                <w:rFonts w:ascii="宋体" w:hAnsi="宋体"/>
                <w:color w:val="000000"/>
                <w:kern w:val="0"/>
                <w:sz w:val="20"/>
                <w:szCs w:val="21"/>
              </w:rPr>
            </w:pPr>
          </w:p>
        </w:tc>
      </w:tr>
      <w:tr w14:paraId="086F5EC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789" w:type="dxa"/>
          </w:tcPr>
          <w:p w14:paraId="2A7B9ABD">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10C0E162">
            <w:pPr>
              <w:adjustRightInd w:val="0"/>
              <w:snapToGrid w:val="0"/>
              <w:spacing w:beforeLines="50" w:line="360" w:lineRule="auto"/>
              <w:jc w:val="center"/>
              <w:rPr>
                <w:rFonts w:ascii="宋体" w:hAnsi="宋体"/>
                <w:color w:val="000000"/>
                <w:kern w:val="0"/>
                <w:sz w:val="20"/>
                <w:szCs w:val="21"/>
              </w:rPr>
            </w:pPr>
          </w:p>
        </w:tc>
        <w:tc>
          <w:tcPr>
            <w:tcW w:w="2410" w:type="dxa"/>
            <w:tcBorders>
              <w:left w:val="single" w:color="auto" w:sz="4" w:space="0"/>
            </w:tcBorders>
          </w:tcPr>
          <w:p w14:paraId="5D127523">
            <w:pPr>
              <w:adjustRightInd w:val="0"/>
              <w:snapToGrid w:val="0"/>
              <w:spacing w:beforeLines="50" w:line="360" w:lineRule="auto"/>
              <w:jc w:val="center"/>
              <w:rPr>
                <w:rFonts w:ascii="宋体" w:hAnsi="宋体"/>
                <w:color w:val="000000"/>
                <w:kern w:val="0"/>
                <w:sz w:val="20"/>
                <w:szCs w:val="21"/>
              </w:rPr>
            </w:pPr>
          </w:p>
        </w:tc>
        <w:tc>
          <w:tcPr>
            <w:tcW w:w="2268" w:type="dxa"/>
          </w:tcPr>
          <w:p w14:paraId="5FE92D9E">
            <w:pPr>
              <w:adjustRightInd w:val="0"/>
              <w:snapToGrid w:val="0"/>
              <w:spacing w:beforeLines="50" w:line="360" w:lineRule="auto"/>
              <w:jc w:val="center"/>
              <w:rPr>
                <w:rFonts w:ascii="宋体" w:hAnsi="宋体"/>
                <w:color w:val="000000"/>
                <w:kern w:val="0"/>
                <w:sz w:val="20"/>
                <w:szCs w:val="21"/>
              </w:rPr>
            </w:pPr>
          </w:p>
        </w:tc>
        <w:tc>
          <w:tcPr>
            <w:tcW w:w="1722" w:type="dxa"/>
          </w:tcPr>
          <w:p w14:paraId="0D4662B3">
            <w:pPr>
              <w:adjustRightInd w:val="0"/>
              <w:snapToGrid w:val="0"/>
              <w:spacing w:beforeLines="50" w:line="360" w:lineRule="auto"/>
              <w:jc w:val="center"/>
              <w:rPr>
                <w:rFonts w:ascii="宋体" w:hAnsi="宋体"/>
                <w:color w:val="000000"/>
                <w:kern w:val="0"/>
                <w:sz w:val="20"/>
                <w:szCs w:val="21"/>
              </w:rPr>
            </w:pPr>
          </w:p>
        </w:tc>
      </w:tr>
      <w:tr w14:paraId="011E7E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789" w:type="dxa"/>
          </w:tcPr>
          <w:p w14:paraId="5F715F48">
            <w:pPr>
              <w:adjustRightInd w:val="0"/>
              <w:snapToGrid w:val="0"/>
              <w:spacing w:beforeLines="50" w:line="360" w:lineRule="auto"/>
              <w:jc w:val="center"/>
              <w:rPr>
                <w:rFonts w:ascii="宋体" w:hAnsi="宋体"/>
                <w:color w:val="000000"/>
                <w:kern w:val="0"/>
                <w:sz w:val="20"/>
                <w:szCs w:val="21"/>
              </w:rPr>
            </w:pPr>
          </w:p>
        </w:tc>
        <w:tc>
          <w:tcPr>
            <w:tcW w:w="1871" w:type="dxa"/>
            <w:tcBorders>
              <w:right w:val="single" w:color="auto" w:sz="4" w:space="0"/>
            </w:tcBorders>
          </w:tcPr>
          <w:p w14:paraId="59E1735B">
            <w:pPr>
              <w:adjustRightInd w:val="0"/>
              <w:snapToGrid w:val="0"/>
              <w:spacing w:beforeLines="50" w:line="360" w:lineRule="auto"/>
              <w:jc w:val="center"/>
              <w:rPr>
                <w:rFonts w:ascii="宋体" w:hAnsi="宋体"/>
                <w:color w:val="000000"/>
                <w:kern w:val="0"/>
                <w:sz w:val="20"/>
                <w:szCs w:val="21"/>
              </w:rPr>
            </w:pPr>
          </w:p>
        </w:tc>
        <w:tc>
          <w:tcPr>
            <w:tcW w:w="2410" w:type="dxa"/>
            <w:tcBorders>
              <w:left w:val="single" w:color="auto" w:sz="4" w:space="0"/>
            </w:tcBorders>
          </w:tcPr>
          <w:p w14:paraId="09F79888">
            <w:pPr>
              <w:adjustRightInd w:val="0"/>
              <w:snapToGrid w:val="0"/>
              <w:spacing w:beforeLines="50" w:line="360" w:lineRule="auto"/>
              <w:jc w:val="center"/>
              <w:rPr>
                <w:rFonts w:ascii="宋体" w:hAnsi="宋体"/>
                <w:color w:val="000000"/>
                <w:kern w:val="0"/>
                <w:sz w:val="20"/>
                <w:szCs w:val="21"/>
              </w:rPr>
            </w:pPr>
          </w:p>
        </w:tc>
        <w:tc>
          <w:tcPr>
            <w:tcW w:w="2268" w:type="dxa"/>
          </w:tcPr>
          <w:p w14:paraId="553E2025">
            <w:pPr>
              <w:adjustRightInd w:val="0"/>
              <w:snapToGrid w:val="0"/>
              <w:spacing w:beforeLines="50" w:line="360" w:lineRule="auto"/>
              <w:jc w:val="center"/>
              <w:rPr>
                <w:rFonts w:ascii="宋体" w:hAnsi="宋体"/>
                <w:color w:val="000000"/>
                <w:kern w:val="0"/>
                <w:sz w:val="20"/>
                <w:szCs w:val="21"/>
              </w:rPr>
            </w:pPr>
          </w:p>
        </w:tc>
        <w:tc>
          <w:tcPr>
            <w:tcW w:w="1722" w:type="dxa"/>
          </w:tcPr>
          <w:p w14:paraId="6404D89A">
            <w:pPr>
              <w:adjustRightInd w:val="0"/>
              <w:snapToGrid w:val="0"/>
              <w:spacing w:beforeLines="50" w:line="360" w:lineRule="auto"/>
              <w:jc w:val="center"/>
              <w:rPr>
                <w:rFonts w:ascii="宋体" w:hAnsi="宋体"/>
                <w:color w:val="000000"/>
                <w:kern w:val="0"/>
                <w:sz w:val="20"/>
                <w:szCs w:val="21"/>
              </w:rPr>
            </w:pPr>
          </w:p>
        </w:tc>
      </w:tr>
    </w:tbl>
    <w:p w14:paraId="25BE1246">
      <w:pPr>
        <w:rPr>
          <w:color w:val="000000"/>
        </w:rPr>
      </w:pPr>
    </w:p>
    <w:p w14:paraId="57D65FD8">
      <w:pPr>
        <w:widowControl/>
        <w:jc w:val="left"/>
        <w:rPr>
          <w:rFonts w:ascii="Arial" w:hAnsi="Arial" w:eastAsia="黑体"/>
          <w:b/>
          <w:bCs/>
          <w:color w:val="000000"/>
          <w:sz w:val="28"/>
          <w:szCs w:val="28"/>
        </w:rPr>
      </w:pPr>
      <w:r>
        <w:rPr>
          <w:color w:val="000000"/>
        </w:rPr>
        <w:br w:type="page"/>
      </w:r>
    </w:p>
    <w:p w14:paraId="21B6C03F">
      <w:pPr>
        <w:pStyle w:val="5"/>
        <w:adjustRightInd w:val="0"/>
        <w:snapToGrid w:val="0"/>
        <w:spacing w:beforeLines="50" w:after="0" w:line="360" w:lineRule="auto"/>
        <w:jc w:val="left"/>
        <w:rPr>
          <w:rFonts w:ascii="黑体" w:hAnsi="黑体"/>
          <w:b w:val="0"/>
          <w:color w:val="000000"/>
          <w:sz w:val="21"/>
          <w:szCs w:val="21"/>
        </w:rPr>
      </w:pPr>
      <w:bookmarkStart w:id="151" w:name="_Toc17736"/>
      <w:bookmarkStart w:id="152" w:name="_Toc20351"/>
      <w:r>
        <w:rPr>
          <w:rFonts w:hint="eastAsia" w:ascii="黑体" w:hAnsi="黑体"/>
          <w:b w:val="0"/>
          <w:color w:val="000000"/>
          <w:sz w:val="21"/>
          <w:szCs w:val="21"/>
        </w:rPr>
        <w:t>索引表3 评标索引表</w:t>
      </w:r>
      <w:bookmarkEnd w:id="151"/>
      <w:bookmarkEnd w:id="152"/>
    </w:p>
    <w:p w14:paraId="695F39A0">
      <w:pPr>
        <w:adjustRightInd w:val="0"/>
        <w:snapToGrid w:val="0"/>
        <w:spacing w:beforeLines="50" w:line="360" w:lineRule="auto"/>
        <w:jc w:val="center"/>
        <w:rPr>
          <w:rFonts w:ascii="黑体" w:hAnsi="黑体" w:eastAsia="黑体"/>
          <w:b/>
          <w:color w:val="000000"/>
          <w:sz w:val="28"/>
          <w:szCs w:val="28"/>
        </w:rPr>
      </w:pPr>
      <w:r>
        <w:rPr>
          <w:rFonts w:hint="eastAsia" w:ascii="黑体" w:hAnsi="黑体" w:eastAsia="黑体"/>
          <w:b/>
          <w:color w:val="000000"/>
          <w:sz w:val="28"/>
          <w:szCs w:val="28"/>
        </w:rPr>
        <w:t>评标索引表</w:t>
      </w:r>
    </w:p>
    <w:tbl>
      <w:tblPr>
        <w:tblStyle w:val="45"/>
        <w:tblW w:w="906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75"/>
        <w:gridCol w:w="1701"/>
        <w:gridCol w:w="1134"/>
        <w:gridCol w:w="1418"/>
        <w:gridCol w:w="2410"/>
        <w:gridCol w:w="1722"/>
      </w:tblGrid>
      <w:tr w14:paraId="751BBA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vAlign w:val="center"/>
          </w:tcPr>
          <w:p w14:paraId="36BB7BB3">
            <w:pPr>
              <w:adjustRightInd w:val="0"/>
              <w:snapToGrid w:val="0"/>
              <w:spacing w:beforeLines="50" w:line="360" w:lineRule="auto"/>
              <w:jc w:val="center"/>
              <w:rPr>
                <w:rFonts w:ascii="宋体" w:hAnsi="宋体"/>
                <w:b/>
                <w:color w:val="000000"/>
                <w:kern w:val="0"/>
                <w:szCs w:val="21"/>
              </w:rPr>
            </w:pPr>
            <w:r>
              <w:rPr>
                <w:rFonts w:hint="eastAsia" w:ascii="宋体" w:hAnsi="宋体"/>
                <w:b/>
                <w:color w:val="000000"/>
                <w:kern w:val="0"/>
                <w:szCs w:val="21"/>
              </w:rPr>
              <w:t>序号</w:t>
            </w:r>
          </w:p>
        </w:tc>
        <w:tc>
          <w:tcPr>
            <w:tcW w:w="1701" w:type="dxa"/>
            <w:tcBorders>
              <w:right w:val="single" w:color="auto" w:sz="4" w:space="0"/>
            </w:tcBorders>
            <w:vAlign w:val="center"/>
          </w:tcPr>
          <w:p w14:paraId="4EC925CA">
            <w:pPr>
              <w:adjustRightInd w:val="0"/>
              <w:snapToGrid w:val="0"/>
              <w:spacing w:beforeLines="50" w:line="360" w:lineRule="auto"/>
              <w:jc w:val="center"/>
              <w:rPr>
                <w:rFonts w:ascii="宋体" w:hAnsi="宋体"/>
                <w:b/>
                <w:color w:val="000000"/>
                <w:kern w:val="0"/>
                <w:szCs w:val="21"/>
              </w:rPr>
            </w:pPr>
            <w:r>
              <w:rPr>
                <w:rFonts w:hint="eastAsia" w:ascii="宋体" w:hAnsi="宋体"/>
                <w:b/>
                <w:color w:val="000000"/>
                <w:kern w:val="0"/>
                <w:sz w:val="20"/>
                <w:szCs w:val="21"/>
              </w:rPr>
              <w:t>招标文件</w:t>
            </w:r>
            <w:r>
              <w:rPr>
                <w:rFonts w:hint="eastAsia" w:ascii="宋体" w:hAnsi="宋体"/>
                <w:b/>
                <w:color w:val="000000"/>
                <w:kern w:val="0"/>
                <w:szCs w:val="21"/>
              </w:rPr>
              <w:t>条款号</w:t>
            </w:r>
          </w:p>
        </w:tc>
        <w:tc>
          <w:tcPr>
            <w:tcW w:w="1134" w:type="dxa"/>
            <w:tcBorders>
              <w:left w:val="single" w:color="auto" w:sz="4" w:space="0"/>
              <w:right w:val="single" w:color="auto" w:sz="4" w:space="0"/>
            </w:tcBorders>
            <w:vAlign w:val="center"/>
          </w:tcPr>
          <w:p w14:paraId="0089B474">
            <w:pPr>
              <w:adjustRightInd w:val="0"/>
              <w:snapToGrid w:val="0"/>
              <w:spacing w:beforeLines="50" w:line="360" w:lineRule="auto"/>
              <w:jc w:val="center"/>
              <w:rPr>
                <w:rFonts w:ascii="宋体" w:hAnsi="宋体"/>
                <w:b/>
                <w:color w:val="000000"/>
                <w:kern w:val="0"/>
                <w:szCs w:val="21"/>
              </w:rPr>
            </w:pPr>
            <w:r>
              <w:rPr>
                <w:rFonts w:hint="eastAsia" w:ascii="宋体" w:hAnsi="宋体"/>
                <w:b/>
                <w:color w:val="000000"/>
                <w:kern w:val="0"/>
                <w:szCs w:val="21"/>
              </w:rPr>
              <w:t>评审因素</w:t>
            </w:r>
          </w:p>
        </w:tc>
        <w:tc>
          <w:tcPr>
            <w:tcW w:w="1418" w:type="dxa"/>
            <w:tcBorders>
              <w:left w:val="single" w:color="auto" w:sz="4" w:space="0"/>
            </w:tcBorders>
            <w:vAlign w:val="center"/>
          </w:tcPr>
          <w:p w14:paraId="77DD7DC0">
            <w:pPr>
              <w:adjustRightInd w:val="0"/>
              <w:snapToGrid w:val="0"/>
              <w:spacing w:beforeLines="50" w:line="360" w:lineRule="auto"/>
              <w:jc w:val="center"/>
              <w:rPr>
                <w:rFonts w:ascii="宋体" w:hAnsi="宋体"/>
                <w:b/>
                <w:color w:val="000000"/>
                <w:kern w:val="0"/>
                <w:szCs w:val="21"/>
              </w:rPr>
            </w:pPr>
            <w:r>
              <w:rPr>
                <w:rFonts w:hint="eastAsia" w:ascii="宋体" w:hAnsi="宋体"/>
                <w:b/>
                <w:color w:val="000000"/>
                <w:kern w:val="0"/>
                <w:szCs w:val="21"/>
              </w:rPr>
              <w:t>评标标准</w:t>
            </w:r>
          </w:p>
        </w:tc>
        <w:tc>
          <w:tcPr>
            <w:tcW w:w="2410" w:type="dxa"/>
            <w:vAlign w:val="center"/>
          </w:tcPr>
          <w:p w14:paraId="49EEC9FC">
            <w:pPr>
              <w:adjustRightInd w:val="0"/>
              <w:snapToGrid w:val="0"/>
              <w:spacing w:beforeLines="50" w:line="360" w:lineRule="auto"/>
              <w:jc w:val="center"/>
              <w:rPr>
                <w:rFonts w:ascii="宋体" w:hAnsi="宋体"/>
                <w:b/>
                <w:color w:val="000000"/>
                <w:kern w:val="0"/>
                <w:szCs w:val="21"/>
              </w:rPr>
            </w:pPr>
            <w:r>
              <w:rPr>
                <w:rFonts w:hint="eastAsia" w:ascii="宋体" w:hAnsi="宋体"/>
                <w:b/>
                <w:color w:val="000000"/>
                <w:kern w:val="0"/>
                <w:szCs w:val="21"/>
              </w:rPr>
              <w:t>投标响应及证明材料</w:t>
            </w:r>
          </w:p>
        </w:tc>
        <w:tc>
          <w:tcPr>
            <w:tcW w:w="1722" w:type="dxa"/>
            <w:vAlign w:val="center"/>
          </w:tcPr>
          <w:p w14:paraId="009E9569">
            <w:pPr>
              <w:adjustRightInd w:val="0"/>
              <w:snapToGrid w:val="0"/>
              <w:spacing w:beforeLines="50" w:line="360" w:lineRule="auto"/>
              <w:jc w:val="center"/>
              <w:rPr>
                <w:rFonts w:ascii="宋体" w:hAnsi="宋体"/>
                <w:b/>
                <w:color w:val="000000"/>
                <w:kern w:val="0"/>
                <w:szCs w:val="21"/>
              </w:rPr>
            </w:pPr>
            <w:r>
              <w:rPr>
                <w:rFonts w:hint="eastAsia" w:ascii="宋体" w:hAnsi="宋体"/>
                <w:b/>
                <w:color w:val="000000"/>
                <w:kern w:val="0"/>
                <w:szCs w:val="21"/>
              </w:rPr>
              <w:t>投标文件对应内容的册及页码</w:t>
            </w:r>
          </w:p>
        </w:tc>
      </w:tr>
      <w:tr w14:paraId="31227A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49720768">
            <w:pPr>
              <w:adjustRightInd w:val="0"/>
              <w:snapToGrid w:val="0"/>
              <w:spacing w:beforeLines="50" w:line="360" w:lineRule="auto"/>
              <w:jc w:val="center"/>
              <w:rPr>
                <w:rFonts w:ascii="宋体" w:hAnsi="宋体"/>
                <w:color w:val="000000"/>
                <w:kern w:val="0"/>
                <w:szCs w:val="21"/>
              </w:rPr>
            </w:pPr>
          </w:p>
        </w:tc>
        <w:tc>
          <w:tcPr>
            <w:tcW w:w="1701" w:type="dxa"/>
            <w:tcBorders>
              <w:right w:val="single" w:color="auto" w:sz="4" w:space="0"/>
            </w:tcBorders>
          </w:tcPr>
          <w:p w14:paraId="486321E1">
            <w:pPr>
              <w:adjustRightInd w:val="0"/>
              <w:snapToGrid w:val="0"/>
              <w:spacing w:beforeLines="50" w:line="360" w:lineRule="auto"/>
              <w:jc w:val="center"/>
              <w:rPr>
                <w:rFonts w:ascii="宋体" w:hAnsi="宋体"/>
                <w:color w:val="000000"/>
                <w:kern w:val="0"/>
                <w:szCs w:val="21"/>
              </w:rPr>
            </w:pPr>
          </w:p>
        </w:tc>
        <w:tc>
          <w:tcPr>
            <w:tcW w:w="1134" w:type="dxa"/>
            <w:tcBorders>
              <w:left w:val="single" w:color="auto" w:sz="4" w:space="0"/>
              <w:right w:val="single" w:color="auto" w:sz="4" w:space="0"/>
            </w:tcBorders>
          </w:tcPr>
          <w:p w14:paraId="4C10F98D">
            <w:pPr>
              <w:adjustRightInd w:val="0"/>
              <w:snapToGrid w:val="0"/>
              <w:spacing w:beforeLines="50" w:line="360" w:lineRule="auto"/>
              <w:jc w:val="center"/>
              <w:rPr>
                <w:rFonts w:ascii="宋体" w:hAnsi="宋体"/>
                <w:color w:val="000000"/>
                <w:kern w:val="0"/>
                <w:szCs w:val="21"/>
              </w:rPr>
            </w:pPr>
          </w:p>
        </w:tc>
        <w:tc>
          <w:tcPr>
            <w:tcW w:w="1418" w:type="dxa"/>
            <w:tcBorders>
              <w:left w:val="single" w:color="auto" w:sz="4" w:space="0"/>
            </w:tcBorders>
          </w:tcPr>
          <w:p w14:paraId="2A6B2EB0">
            <w:pPr>
              <w:adjustRightInd w:val="0"/>
              <w:snapToGrid w:val="0"/>
              <w:spacing w:beforeLines="50" w:line="360" w:lineRule="auto"/>
              <w:jc w:val="center"/>
              <w:rPr>
                <w:rFonts w:ascii="宋体" w:hAnsi="宋体"/>
                <w:color w:val="000000"/>
                <w:kern w:val="0"/>
                <w:szCs w:val="21"/>
              </w:rPr>
            </w:pPr>
          </w:p>
        </w:tc>
        <w:tc>
          <w:tcPr>
            <w:tcW w:w="2410" w:type="dxa"/>
          </w:tcPr>
          <w:p w14:paraId="2154533F">
            <w:pPr>
              <w:adjustRightInd w:val="0"/>
              <w:snapToGrid w:val="0"/>
              <w:spacing w:beforeLines="50" w:line="360" w:lineRule="auto"/>
              <w:jc w:val="center"/>
              <w:rPr>
                <w:rFonts w:ascii="宋体" w:hAnsi="宋体"/>
                <w:color w:val="000000"/>
                <w:kern w:val="0"/>
                <w:szCs w:val="21"/>
              </w:rPr>
            </w:pPr>
          </w:p>
        </w:tc>
        <w:tc>
          <w:tcPr>
            <w:tcW w:w="1722" w:type="dxa"/>
          </w:tcPr>
          <w:p w14:paraId="4DCD9E26">
            <w:pPr>
              <w:adjustRightInd w:val="0"/>
              <w:snapToGrid w:val="0"/>
              <w:spacing w:beforeLines="50" w:line="360" w:lineRule="auto"/>
              <w:jc w:val="center"/>
              <w:rPr>
                <w:rFonts w:ascii="宋体" w:hAnsi="宋体"/>
                <w:color w:val="000000"/>
                <w:kern w:val="0"/>
                <w:szCs w:val="21"/>
              </w:rPr>
            </w:pPr>
          </w:p>
        </w:tc>
      </w:tr>
      <w:tr w14:paraId="7AA9250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6CC6ECEC">
            <w:pPr>
              <w:adjustRightInd w:val="0"/>
              <w:snapToGrid w:val="0"/>
              <w:spacing w:beforeLines="50" w:line="360" w:lineRule="auto"/>
              <w:jc w:val="center"/>
              <w:rPr>
                <w:rFonts w:ascii="宋体" w:hAnsi="宋体"/>
                <w:color w:val="000000"/>
                <w:kern w:val="0"/>
                <w:szCs w:val="21"/>
              </w:rPr>
            </w:pPr>
          </w:p>
        </w:tc>
        <w:tc>
          <w:tcPr>
            <w:tcW w:w="1701" w:type="dxa"/>
            <w:tcBorders>
              <w:right w:val="single" w:color="auto" w:sz="4" w:space="0"/>
            </w:tcBorders>
          </w:tcPr>
          <w:p w14:paraId="03F0D581">
            <w:pPr>
              <w:adjustRightInd w:val="0"/>
              <w:snapToGrid w:val="0"/>
              <w:spacing w:beforeLines="50" w:line="360" w:lineRule="auto"/>
              <w:jc w:val="center"/>
              <w:rPr>
                <w:rFonts w:ascii="宋体" w:hAnsi="宋体"/>
                <w:color w:val="000000"/>
                <w:kern w:val="0"/>
                <w:szCs w:val="21"/>
              </w:rPr>
            </w:pPr>
          </w:p>
        </w:tc>
        <w:tc>
          <w:tcPr>
            <w:tcW w:w="1134" w:type="dxa"/>
            <w:tcBorders>
              <w:left w:val="single" w:color="auto" w:sz="4" w:space="0"/>
              <w:right w:val="single" w:color="auto" w:sz="4" w:space="0"/>
            </w:tcBorders>
          </w:tcPr>
          <w:p w14:paraId="25014515">
            <w:pPr>
              <w:adjustRightInd w:val="0"/>
              <w:snapToGrid w:val="0"/>
              <w:spacing w:beforeLines="50" w:line="360" w:lineRule="auto"/>
              <w:jc w:val="center"/>
              <w:rPr>
                <w:rFonts w:ascii="宋体" w:hAnsi="宋体"/>
                <w:color w:val="000000"/>
                <w:kern w:val="0"/>
                <w:szCs w:val="21"/>
              </w:rPr>
            </w:pPr>
          </w:p>
        </w:tc>
        <w:tc>
          <w:tcPr>
            <w:tcW w:w="1418" w:type="dxa"/>
            <w:tcBorders>
              <w:left w:val="single" w:color="auto" w:sz="4" w:space="0"/>
            </w:tcBorders>
          </w:tcPr>
          <w:p w14:paraId="13D1813B">
            <w:pPr>
              <w:adjustRightInd w:val="0"/>
              <w:snapToGrid w:val="0"/>
              <w:spacing w:beforeLines="50" w:line="360" w:lineRule="auto"/>
              <w:jc w:val="center"/>
              <w:rPr>
                <w:rFonts w:ascii="宋体" w:hAnsi="宋体"/>
                <w:color w:val="000000"/>
                <w:kern w:val="0"/>
                <w:szCs w:val="21"/>
              </w:rPr>
            </w:pPr>
          </w:p>
        </w:tc>
        <w:tc>
          <w:tcPr>
            <w:tcW w:w="2410" w:type="dxa"/>
          </w:tcPr>
          <w:p w14:paraId="677BC525">
            <w:pPr>
              <w:adjustRightInd w:val="0"/>
              <w:snapToGrid w:val="0"/>
              <w:spacing w:beforeLines="50" w:line="360" w:lineRule="auto"/>
              <w:jc w:val="center"/>
              <w:rPr>
                <w:rFonts w:ascii="宋体" w:hAnsi="宋体"/>
                <w:color w:val="000000"/>
                <w:kern w:val="0"/>
                <w:szCs w:val="21"/>
              </w:rPr>
            </w:pPr>
          </w:p>
        </w:tc>
        <w:tc>
          <w:tcPr>
            <w:tcW w:w="1722" w:type="dxa"/>
          </w:tcPr>
          <w:p w14:paraId="1C9C4545">
            <w:pPr>
              <w:adjustRightInd w:val="0"/>
              <w:snapToGrid w:val="0"/>
              <w:spacing w:beforeLines="50" w:line="360" w:lineRule="auto"/>
              <w:jc w:val="center"/>
              <w:rPr>
                <w:rFonts w:ascii="宋体" w:hAnsi="宋体"/>
                <w:color w:val="000000"/>
                <w:kern w:val="0"/>
                <w:szCs w:val="21"/>
              </w:rPr>
            </w:pPr>
          </w:p>
        </w:tc>
      </w:tr>
      <w:tr w14:paraId="6E6A52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0C66EBA0">
            <w:pPr>
              <w:adjustRightInd w:val="0"/>
              <w:snapToGrid w:val="0"/>
              <w:spacing w:beforeLines="50" w:line="360" w:lineRule="auto"/>
              <w:jc w:val="center"/>
              <w:rPr>
                <w:rFonts w:ascii="宋体" w:hAnsi="宋体"/>
                <w:color w:val="000000"/>
                <w:kern w:val="0"/>
                <w:szCs w:val="21"/>
              </w:rPr>
            </w:pPr>
          </w:p>
        </w:tc>
        <w:tc>
          <w:tcPr>
            <w:tcW w:w="1701" w:type="dxa"/>
            <w:tcBorders>
              <w:right w:val="single" w:color="auto" w:sz="4" w:space="0"/>
            </w:tcBorders>
          </w:tcPr>
          <w:p w14:paraId="4D2855B8">
            <w:pPr>
              <w:adjustRightInd w:val="0"/>
              <w:snapToGrid w:val="0"/>
              <w:spacing w:beforeLines="50" w:line="360" w:lineRule="auto"/>
              <w:jc w:val="center"/>
              <w:rPr>
                <w:rFonts w:ascii="宋体" w:hAnsi="宋体"/>
                <w:color w:val="000000"/>
                <w:kern w:val="0"/>
                <w:szCs w:val="21"/>
              </w:rPr>
            </w:pPr>
          </w:p>
        </w:tc>
        <w:tc>
          <w:tcPr>
            <w:tcW w:w="1134" w:type="dxa"/>
            <w:tcBorders>
              <w:left w:val="single" w:color="auto" w:sz="4" w:space="0"/>
              <w:right w:val="single" w:color="auto" w:sz="4" w:space="0"/>
            </w:tcBorders>
          </w:tcPr>
          <w:p w14:paraId="3DAA6075">
            <w:pPr>
              <w:adjustRightInd w:val="0"/>
              <w:snapToGrid w:val="0"/>
              <w:spacing w:beforeLines="50" w:line="360" w:lineRule="auto"/>
              <w:jc w:val="center"/>
              <w:rPr>
                <w:rFonts w:ascii="宋体" w:hAnsi="宋体"/>
                <w:color w:val="000000"/>
                <w:kern w:val="0"/>
                <w:szCs w:val="21"/>
              </w:rPr>
            </w:pPr>
          </w:p>
        </w:tc>
        <w:tc>
          <w:tcPr>
            <w:tcW w:w="1418" w:type="dxa"/>
            <w:tcBorders>
              <w:left w:val="single" w:color="auto" w:sz="4" w:space="0"/>
            </w:tcBorders>
          </w:tcPr>
          <w:p w14:paraId="0AC666EB">
            <w:pPr>
              <w:adjustRightInd w:val="0"/>
              <w:snapToGrid w:val="0"/>
              <w:spacing w:beforeLines="50" w:line="360" w:lineRule="auto"/>
              <w:jc w:val="center"/>
              <w:rPr>
                <w:rFonts w:ascii="宋体" w:hAnsi="宋体"/>
                <w:color w:val="000000"/>
                <w:kern w:val="0"/>
                <w:szCs w:val="21"/>
              </w:rPr>
            </w:pPr>
          </w:p>
        </w:tc>
        <w:tc>
          <w:tcPr>
            <w:tcW w:w="2410" w:type="dxa"/>
          </w:tcPr>
          <w:p w14:paraId="49A7B99A">
            <w:pPr>
              <w:adjustRightInd w:val="0"/>
              <w:snapToGrid w:val="0"/>
              <w:spacing w:beforeLines="50" w:line="360" w:lineRule="auto"/>
              <w:jc w:val="center"/>
              <w:rPr>
                <w:rFonts w:ascii="宋体" w:hAnsi="宋体"/>
                <w:color w:val="000000"/>
                <w:kern w:val="0"/>
                <w:szCs w:val="21"/>
              </w:rPr>
            </w:pPr>
          </w:p>
        </w:tc>
        <w:tc>
          <w:tcPr>
            <w:tcW w:w="1722" w:type="dxa"/>
          </w:tcPr>
          <w:p w14:paraId="181E9553">
            <w:pPr>
              <w:adjustRightInd w:val="0"/>
              <w:snapToGrid w:val="0"/>
              <w:spacing w:beforeLines="50" w:line="360" w:lineRule="auto"/>
              <w:jc w:val="center"/>
              <w:rPr>
                <w:rFonts w:ascii="宋体" w:hAnsi="宋体"/>
                <w:color w:val="000000"/>
                <w:kern w:val="0"/>
                <w:szCs w:val="21"/>
              </w:rPr>
            </w:pPr>
          </w:p>
        </w:tc>
      </w:tr>
      <w:tr w14:paraId="2D9C8B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595EB494">
            <w:pPr>
              <w:adjustRightInd w:val="0"/>
              <w:snapToGrid w:val="0"/>
              <w:spacing w:beforeLines="50" w:line="360" w:lineRule="auto"/>
              <w:jc w:val="center"/>
              <w:rPr>
                <w:rFonts w:ascii="宋体" w:hAnsi="宋体"/>
                <w:color w:val="000000"/>
                <w:kern w:val="0"/>
                <w:szCs w:val="21"/>
              </w:rPr>
            </w:pPr>
          </w:p>
        </w:tc>
        <w:tc>
          <w:tcPr>
            <w:tcW w:w="1701" w:type="dxa"/>
            <w:tcBorders>
              <w:right w:val="single" w:color="auto" w:sz="4" w:space="0"/>
            </w:tcBorders>
          </w:tcPr>
          <w:p w14:paraId="3FAA7DC5">
            <w:pPr>
              <w:adjustRightInd w:val="0"/>
              <w:snapToGrid w:val="0"/>
              <w:spacing w:beforeLines="50" w:line="360" w:lineRule="auto"/>
              <w:jc w:val="center"/>
              <w:rPr>
                <w:rFonts w:ascii="宋体" w:hAnsi="宋体"/>
                <w:color w:val="000000"/>
                <w:kern w:val="0"/>
                <w:szCs w:val="21"/>
              </w:rPr>
            </w:pPr>
          </w:p>
        </w:tc>
        <w:tc>
          <w:tcPr>
            <w:tcW w:w="1134" w:type="dxa"/>
            <w:tcBorders>
              <w:left w:val="single" w:color="auto" w:sz="4" w:space="0"/>
              <w:right w:val="single" w:color="auto" w:sz="4" w:space="0"/>
            </w:tcBorders>
          </w:tcPr>
          <w:p w14:paraId="3F0868D2">
            <w:pPr>
              <w:adjustRightInd w:val="0"/>
              <w:snapToGrid w:val="0"/>
              <w:spacing w:beforeLines="50" w:line="360" w:lineRule="auto"/>
              <w:jc w:val="center"/>
              <w:rPr>
                <w:rFonts w:ascii="宋体" w:hAnsi="宋体"/>
                <w:color w:val="000000"/>
                <w:kern w:val="0"/>
                <w:szCs w:val="21"/>
              </w:rPr>
            </w:pPr>
          </w:p>
        </w:tc>
        <w:tc>
          <w:tcPr>
            <w:tcW w:w="1418" w:type="dxa"/>
            <w:tcBorders>
              <w:left w:val="single" w:color="auto" w:sz="4" w:space="0"/>
            </w:tcBorders>
          </w:tcPr>
          <w:p w14:paraId="1B7D9BC1">
            <w:pPr>
              <w:adjustRightInd w:val="0"/>
              <w:snapToGrid w:val="0"/>
              <w:spacing w:beforeLines="50" w:line="360" w:lineRule="auto"/>
              <w:jc w:val="center"/>
              <w:rPr>
                <w:rFonts w:ascii="宋体" w:hAnsi="宋体"/>
                <w:color w:val="000000"/>
                <w:kern w:val="0"/>
                <w:szCs w:val="21"/>
              </w:rPr>
            </w:pPr>
          </w:p>
        </w:tc>
        <w:tc>
          <w:tcPr>
            <w:tcW w:w="2410" w:type="dxa"/>
          </w:tcPr>
          <w:p w14:paraId="6C0F019B">
            <w:pPr>
              <w:adjustRightInd w:val="0"/>
              <w:snapToGrid w:val="0"/>
              <w:spacing w:beforeLines="50" w:line="360" w:lineRule="auto"/>
              <w:jc w:val="center"/>
              <w:rPr>
                <w:rFonts w:ascii="宋体" w:hAnsi="宋体"/>
                <w:color w:val="000000"/>
                <w:kern w:val="0"/>
                <w:szCs w:val="21"/>
              </w:rPr>
            </w:pPr>
          </w:p>
        </w:tc>
        <w:tc>
          <w:tcPr>
            <w:tcW w:w="1722" w:type="dxa"/>
          </w:tcPr>
          <w:p w14:paraId="56FB3EFF">
            <w:pPr>
              <w:adjustRightInd w:val="0"/>
              <w:snapToGrid w:val="0"/>
              <w:spacing w:beforeLines="50" w:line="360" w:lineRule="auto"/>
              <w:jc w:val="center"/>
              <w:rPr>
                <w:rFonts w:ascii="宋体" w:hAnsi="宋体"/>
                <w:color w:val="000000"/>
                <w:kern w:val="0"/>
                <w:szCs w:val="21"/>
              </w:rPr>
            </w:pPr>
          </w:p>
        </w:tc>
      </w:tr>
      <w:tr w14:paraId="634ED26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47EBF2F1">
            <w:pPr>
              <w:adjustRightInd w:val="0"/>
              <w:snapToGrid w:val="0"/>
              <w:spacing w:beforeLines="50" w:line="360" w:lineRule="auto"/>
              <w:jc w:val="center"/>
              <w:rPr>
                <w:rFonts w:ascii="宋体" w:hAnsi="宋体"/>
                <w:color w:val="000000"/>
                <w:kern w:val="0"/>
                <w:szCs w:val="21"/>
              </w:rPr>
            </w:pPr>
          </w:p>
        </w:tc>
        <w:tc>
          <w:tcPr>
            <w:tcW w:w="1701" w:type="dxa"/>
            <w:tcBorders>
              <w:right w:val="single" w:color="auto" w:sz="4" w:space="0"/>
            </w:tcBorders>
          </w:tcPr>
          <w:p w14:paraId="0BDF9976">
            <w:pPr>
              <w:adjustRightInd w:val="0"/>
              <w:snapToGrid w:val="0"/>
              <w:spacing w:beforeLines="50" w:line="360" w:lineRule="auto"/>
              <w:jc w:val="center"/>
              <w:rPr>
                <w:rFonts w:ascii="宋体" w:hAnsi="宋体"/>
                <w:color w:val="000000"/>
                <w:kern w:val="0"/>
                <w:szCs w:val="21"/>
              </w:rPr>
            </w:pPr>
          </w:p>
        </w:tc>
        <w:tc>
          <w:tcPr>
            <w:tcW w:w="1134" w:type="dxa"/>
            <w:tcBorders>
              <w:left w:val="single" w:color="auto" w:sz="4" w:space="0"/>
              <w:right w:val="single" w:color="auto" w:sz="4" w:space="0"/>
            </w:tcBorders>
          </w:tcPr>
          <w:p w14:paraId="1678D2EA">
            <w:pPr>
              <w:adjustRightInd w:val="0"/>
              <w:snapToGrid w:val="0"/>
              <w:spacing w:beforeLines="50" w:line="360" w:lineRule="auto"/>
              <w:jc w:val="center"/>
              <w:rPr>
                <w:rFonts w:ascii="宋体" w:hAnsi="宋体"/>
                <w:color w:val="000000"/>
                <w:kern w:val="0"/>
                <w:szCs w:val="21"/>
              </w:rPr>
            </w:pPr>
          </w:p>
        </w:tc>
        <w:tc>
          <w:tcPr>
            <w:tcW w:w="1418" w:type="dxa"/>
            <w:tcBorders>
              <w:left w:val="single" w:color="auto" w:sz="4" w:space="0"/>
            </w:tcBorders>
          </w:tcPr>
          <w:p w14:paraId="6E066F14">
            <w:pPr>
              <w:adjustRightInd w:val="0"/>
              <w:snapToGrid w:val="0"/>
              <w:spacing w:beforeLines="50" w:line="360" w:lineRule="auto"/>
              <w:jc w:val="center"/>
              <w:rPr>
                <w:rFonts w:ascii="宋体" w:hAnsi="宋体"/>
                <w:color w:val="000000"/>
                <w:kern w:val="0"/>
                <w:szCs w:val="21"/>
              </w:rPr>
            </w:pPr>
          </w:p>
        </w:tc>
        <w:tc>
          <w:tcPr>
            <w:tcW w:w="2410" w:type="dxa"/>
          </w:tcPr>
          <w:p w14:paraId="3934D8A5">
            <w:pPr>
              <w:adjustRightInd w:val="0"/>
              <w:snapToGrid w:val="0"/>
              <w:spacing w:beforeLines="50" w:line="360" w:lineRule="auto"/>
              <w:jc w:val="center"/>
              <w:rPr>
                <w:rFonts w:ascii="宋体" w:hAnsi="宋体"/>
                <w:color w:val="000000"/>
                <w:kern w:val="0"/>
                <w:szCs w:val="21"/>
              </w:rPr>
            </w:pPr>
          </w:p>
        </w:tc>
        <w:tc>
          <w:tcPr>
            <w:tcW w:w="1722" w:type="dxa"/>
          </w:tcPr>
          <w:p w14:paraId="4C2B6C00">
            <w:pPr>
              <w:adjustRightInd w:val="0"/>
              <w:snapToGrid w:val="0"/>
              <w:spacing w:beforeLines="50" w:line="360" w:lineRule="auto"/>
              <w:jc w:val="center"/>
              <w:rPr>
                <w:rFonts w:ascii="宋体" w:hAnsi="宋体"/>
                <w:color w:val="000000"/>
                <w:kern w:val="0"/>
                <w:szCs w:val="21"/>
              </w:rPr>
            </w:pPr>
          </w:p>
        </w:tc>
      </w:tr>
      <w:tr w14:paraId="197BD20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174CAB50">
            <w:pPr>
              <w:adjustRightInd w:val="0"/>
              <w:snapToGrid w:val="0"/>
              <w:spacing w:beforeLines="50" w:line="360" w:lineRule="auto"/>
              <w:jc w:val="center"/>
              <w:rPr>
                <w:rFonts w:ascii="宋体" w:hAnsi="宋体"/>
                <w:color w:val="000000"/>
                <w:kern w:val="0"/>
                <w:szCs w:val="21"/>
              </w:rPr>
            </w:pPr>
          </w:p>
        </w:tc>
        <w:tc>
          <w:tcPr>
            <w:tcW w:w="1701" w:type="dxa"/>
            <w:tcBorders>
              <w:right w:val="single" w:color="auto" w:sz="4" w:space="0"/>
            </w:tcBorders>
          </w:tcPr>
          <w:p w14:paraId="5E3F66A1">
            <w:pPr>
              <w:adjustRightInd w:val="0"/>
              <w:snapToGrid w:val="0"/>
              <w:spacing w:beforeLines="50" w:line="360" w:lineRule="auto"/>
              <w:jc w:val="center"/>
              <w:rPr>
                <w:rFonts w:ascii="宋体" w:hAnsi="宋体"/>
                <w:color w:val="000000"/>
                <w:kern w:val="0"/>
                <w:szCs w:val="21"/>
              </w:rPr>
            </w:pPr>
          </w:p>
        </w:tc>
        <w:tc>
          <w:tcPr>
            <w:tcW w:w="1134" w:type="dxa"/>
            <w:tcBorders>
              <w:left w:val="single" w:color="auto" w:sz="4" w:space="0"/>
              <w:right w:val="single" w:color="auto" w:sz="4" w:space="0"/>
            </w:tcBorders>
          </w:tcPr>
          <w:p w14:paraId="036E4110">
            <w:pPr>
              <w:adjustRightInd w:val="0"/>
              <w:snapToGrid w:val="0"/>
              <w:spacing w:beforeLines="50" w:line="360" w:lineRule="auto"/>
              <w:jc w:val="center"/>
              <w:rPr>
                <w:rFonts w:ascii="宋体" w:hAnsi="宋体"/>
                <w:color w:val="000000"/>
                <w:kern w:val="0"/>
                <w:szCs w:val="21"/>
              </w:rPr>
            </w:pPr>
          </w:p>
        </w:tc>
        <w:tc>
          <w:tcPr>
            <w:tcW w:w="1418" w:type="dxa"/>
            <w:tcBorders>
              <w:left w:val="single" w:color="auto" w:sz="4" w:space="0"/>
            </w:tcBorders>
          </w:tcPr>
          <w:p w14:paraId="3ADFE51F">
            <w:pPr>
              <w:adjustRightInd w:val="0"/>
              <w:snapToGrid w:val="0"/>
              <w:spacing w:beforeLines="50" w:line="360" w:lineRule="auto"/>
              <w:jc w:val="center"/>
              <w:rPr>
                <w:rFonts w:ascii="宋体" w:hAnsi="宋体"/>
                <w:color w:val="000000"/>
                <w:kern w:val="0"/>
                <w:szCs w:val="21"/>
              </w:rPr>
            </w:pPr>
          </w:p>
        </w:tc>
        <w:tc>
          <w:tcPr>
            <w:tcW w:w="2410" w:type="dxa"/>
          </w:tcPr>
          <w:p w14:paraId="434F8508">
            <w:pPr>
              <w:adjustRightInd w:val="0"/>
              <w:snapToGrid w:val="0"/>
              <w:spacing w:beforeLines="50" w:line="360" w:lineRule="auto"/>
              <w:jc w:val="center"/>
              <w:rPr>
                <w:rFonts w:ascii="宋体" w:hAnsi="宋体"/>
                <w:color w:val="000000"/>
                <w:kern w:val="0"/>
                <w:szCs w:val="21"/>
              </w:rPr>
            </w:pPr>
          </w:p>
        </w:tc>
        <w:tc>
          <w:tcPr>
            <w:tcW w:w="1722" w:type="dxa"/>
          </w:tcPr>
          <w:p w14:paraId="4D02FC24">
            <w:pPr>
              <w:adjustRightInd w:val="0"/>
              <w:snapToGrid w:val="0"/>
              <w:spacing w:beforeLines="50" w:line="360" w:lineRule="auto"/>
              <w:jc w:val="center"/>
              <w:rPr>
                <w:rFonts w:ascii="宋体" w:hAnsi="宋体"/>
                <w:color w:val="000000"/>
                <w:kern w:val="0"/>
                <w:szCs w:val="21"/>
              </w:rPr>
            </w:pPr>
          </w:p>
        </w:tc>
      </w:tr>
      <w:tr w14:paraId="1F96C93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117BFC33">
            <w:pPr>
              <w:adjustRightInd w:val="0"/>
              <w:snapToGrid w:val="0"/>
              <w:spacing w:beforeLines="50" w:line="360" w:lineRule="auto"/>
              <w:jc w:val="center"/>
              <w:rPr>
                <w:rFonts w:ascii="宋体" w:hAnsi="宋体"/>
                <w:color w:val="000000"/>
                <w:kern w:val="0"/>
                <w:szCs w:val="21"/>
              </w:rPr>
            </w:pPr>
          </w:p>
        </w:tc>
        <w:tc>
          <w:tcPr>
            <w:tcW w:w="1701" w:type="dxa"/>
            <w:tcBorders>
              <w:right w:val="single" w:color="auto" w:sz="4" w:space="0"/>
            </w:tcBorders>
          </w:tcPr>
          <w:p w14:paraId="0691082C">
            <w:pPr>
              <w:adjustRightInd w:val="0"/>
              <w:snapToGrid w:val="0"/>
              <w:spacing w:beforeLines="50" w:line="360" w:lineRule="auto"/>
              <w:jc w:val="center"/>
              <w:rPr>
                <w:rFonts w:ascii="宋体" w:hAnsi="宋体"/>
                <w:color w:val="000000"/>
                <w:kern w:val="0"/>
                <w:szCs w:val="21"/>
              </w:rPr>
            </w:pPr>
          </w:p>
        </w:tc>
        <w:tc>
          <w:tcPr>
            <w:tcW w:w="1134" w:type="dxa"/>
            <w:tcBorders>
              <w:left w:val="single" w:color="auto" w:sz="4" w:space="0"/>
              <w:right w:val="single" w:color="auto" w:sz="4" w:space="0"/>
            </w:tcBorders>
          </w:tcPr>
          <w:p w14:paraId="4A2868C4">
            <w:pPr>
              <w:adjustRightInd w:val="0"/>
              <w:snapToGrid w:val="0"/>
              <w:spacing w:beforeLines="50" w:line="360" w:lineRule="auto"/>
              <w:jc w:val="center"/>
              <w:rPr>
                <w:rFonts w:ascii="宋体" w:hAnsi="宋体"/>
                <w:color w:val="000000"/>
                <w:kern w:val="0"/>
                <w:szCs w:val="21"/>
              </w:rPr>
            </w:pPr>
          </w:p>
        </w:tc>
        <w:tc>
          <w:tcPr>
            <w:tcW w:w="1418" w:type="dxa"/>
            <w:tcBorders>
              <w:left w:val="single" w:color="auto" w:sz="4" w:space="0"/>
            </w:tcBorders>
          </w:tcPr>
          <w:p w14:paraId="517D1730">
            <w:pPr>
              <w:adjustRightInd w:val="0"/>
              <w:snapToGrid w:val="0"/>
              <w:spacing w:beforeLines="50" w:line="360" w:lineRule="auto"/>
              <w:jc w:val="center"/>
              <w:rPr>
                <w:rFonts w:ascii="宋体" w:hAnsi="宋体"/>
                <w:color w:val="000000"/>
                <w:kern w:val="0"/>
                <w:szCs w:val="21"/>
              </w:rPr>
            </w:pPr>
          </w:p>
        </w:tc>
        <w:tc>
          <w:tcPr>
            <w:tcW w:w="2410" w:type="dxa"/>
          </w:tcPr>
          <w:p w14:paraId="0BEEDC8C">
            <w:pPr>
              <w:adjustRightInd w:val="0"/>
              <w:snapToGrid w:val="0"/>
              <w:spacing w:beforeLines="50" w:line="360" w:lineRule="auto"/>
              <w:jc w:val="center"/>
              <w:rPr>
                <w:rFonts w:ascii="宋体" w:hAnsi="宋体"/>
                <w:color w:val="000000"/>
                <w:kern w:val="0"/>
                <w:szCs w:val="21"/>
              </w:rPr>
            </w:pPr>
          </w:p>
        </w:tc>
        <w:tc>
          <w:tcPr>
            <w:tcW w:w="1722" w:type="dxa"/>
          </w:tcPr>
          <w:p w14:paraId="5159C8F6">
            <w:pPr>
              <w:adjustRightInd w:val="0"/>
              <w:snapToGrid w:val="0"/>
              <w:spacing w:beforeLines="50" w:line="360" w:lineRule="auto"/>
              <w:jc w:val="center"/>
              <w:rPr>
                <w:rFonts w:ascii="宋体" w:hAnsi="宋体"/>
                <w:color w:val="000000"/>
                <w:kern w:val="0"/>
                <w:szCs w:val="21"/>
              </w:rPr>
            </w:pPr>
          </w:p>
        </w:tc>
      </w:tr>
      <w:tr w14:paraId="460DEC5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0CA72A79">
            <w:pPr>
              <w:adjustRightInd w:val="0"/>
              <w:snapToGrid w:val="0"/>
              <w:spacing w:beforeLines="50" w:line="360" w:lineRule="auto"/>
              <w:jc w:val="center"/>
              <w:rPr>
                <w:rFonts w:ascii="宋体" w:hAnsi="宋体"/>
                <w:color w:val="000000"/>
                <w:kern w:val="0"/>
                <w:szCs w:val="21"/>
              </w:rPr>
            </w:pPr>
          </w:p>
        </w:tc>
        <w:tc>
          <w:tcPr>
            <w:tcW w:w="1701" w:type="dxa"/>
            <w:tcBorders>
              <w:right w:val="single" w:color="auto" w:sz="4" w:space="0"/>
            </w:tcBorders>
          </w:tcPr>
          <w:p w14:paraId="0DEF7ACF">
            <w:pPr>
              <w:adjustRightInd w:val="0"/>
              <w:snapToGrid w:val="0"/>
              <w:spacing w:beforeLines="50" w:line="360" w:lineRule="auto"/>
              <w:jc w:val="center"/>
              <w:rPr>
                <w:rFonts w:ascii="宋体" w:hAnsi="宋体"/>
                <w:color w:val="000000"/>
                <w:kern w:val="0"/>
                <w:szCs w:val="21"/>
              </w:rPr>
            </w:pPr>
          </w:p>
        </w:tc>
        <w:tc>
          <w:tcPr>
            <w:tcW w:w="1134" w:type="dxa"/>
            <w:tcBorders>
              <w:left w:val="single" w:color="auto" w:sz="4" w:space="0"/>
              <w:right w:val="single" w:color="auto" w:sz="4" w:space="0"/>
            </w:tcBorders>
          </w:tcPr>
          <w:p w14:paraId="28174431">
            <w:pPr>
              <w:adjustRightInd w:val="0"/>
              <w:snapToGrid w:val="0"/>
              <w:spacing w:beforeLines="50" w:line="360" w:lineRule="auto"/>
              <w:jc w:val="center"/>
              <w:rPr>
                <w:rFonts w:ascii="宋体" w:hAnsi="宋体"/>
                <w:color w:val="000000"/>
                <w:kern w:val="0"/>
                <w:szCs w:val="21"/>
              </w:rPr>
            </w:pPr>
          </w:p>
        </w:tc>
        <w:tc>
          <w:tcPr>
            <w:tcW w:w="1418" w:type="dxa"/>
            <w:tcBorders>
              <w:left w:val="single" w:color="auto" w:sz="4" w:space="0"/>
            </w:tcBorders>
          </w:tcPr>
          <w:p w14:paraId="72D59FFB">
            <w:pPr>
              <w:adjustRightInd w:val="0"/>
              <w:snapToGrid w:val="0"/>
              <w:spacing w:beforeLines="50" w:line="360" w:lineRule="auto"/>
              <w:jc w:val="center"/>
              <w:rPr>
                <w:rFonts w:ascii="宋体" w:hAnsi="宋体"/>
                <w:color w:val="000000"/>
                <w:kern w:val="0"/>
                <w:szCs w:val="21"/>
              </w:rPr>
            </w:pPr>
          </w:p>
        </w:tc>
        <w:tc>
          <w:tcPr>
            <w:tcW w:w="2410" w:type="dxa"/>
          </w:tcPr>
          <w:p w14:paraId="67C6766D">
            <w:pPr>
              <w:adjustRightInd w:val="0"/>
              <w:snapToGrid w:val="0"/>
              <w:spacing w:beforeLines="50" w:line="360" w:lineRule="auto"/>
              <w:jc w:val="center"/>
              <w:rPr>
                <w:rFonts w:ascii="宋体" w:hAnsi="宋体"/>
                <w:color w:val="000000"/>
                <w:kern w:val="0"/>
                <w:szCs w:val="21"/>
              </w:rPr>
            </w:pPr>
          </w:p>
        </w:tc>
        <w:tc>
          <w:tcPr>
            <w:tcW w:w="1722" w:type="dxa"/>
          </w:tcPr>
          <w:p w14:paraId="4709A905">
            <w:pPr>
              <w:adjustRightInd w:val="0"/>
              <w:snapToGrid w:val="0"/>
              <w:spacing w:beforeLines="50" w:line="360" w:lineRule="auto"/>
              <w:jc w:val="center"/>
              <w:rPr>
                <w:rFonts w:ascii="宋体" w:hAnsi="宋体"/>
                <w:color w:val="000000"/>
                <w:kern w:val="0"/>
                <w:szCs w:val="21"/>
              </w:rPr>
            </w:pPr>
          </w:p>
        </w:tc>
      </w:tr>
      <w:tr w14:paraId="7ED5C66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49DD294A">
            <w:pPr>
              <w:adjustRightInd w:val="0"/>
              <w:snapToGrid w:val="0"/>
              <w:spacing w:beforeLines="50" w:line="360" w:lineRule="auto"/>
              <w:jc w:val="center"/>
              <w:rPr>
                <w:rFonts w:ascii="宋体" w:hAnsi="宋体"/>
                <w:color w:val="000000"/>
                <w:kern w:val="0"/>
                <w:szCs w:val="21"/>
              </w:rPr>
            </w:pPr>
          </w:p>
        </w:tc>
        <w:tc>
          <w:tcPr>
            <w:tcW w:w="1701" w:type="dxa"/>
            <w:tcBorders>
              <w:right w:val="single" w:color="auto" w:sz="4" w:space="0"/>
            </w:tcBorders>
          </w:tcPr>
          <w:p w14:paraId="5B2FC3C8">
            <w:pPr>
              <w:adjustRightInd w:val="0"/>
              <w:snapToGrid w:val="0"/>
              <w:spacing w:beforeLines="50" w:line="360" w:lineRule="auto"/>
              <w:jc w:val="center"/>
              <w:rPr>
                <w:rFonts w:ascii="宋体" w:hAnsi="宋体"/>
                <w:color w:val="000000"/>
                <w:kern w:val="0"/>
                <w:szCs w:val="21"/>
              </w:rPr>
            </w:pPr>
          </w:p>
        </w:tc>
        <w:tc>
          <w:tcPr>
            <w:tcW w:w="1134" w:type="dxa"/>
            <w:tcBorders>
              <w:left w:val="single" w:color="auto" w:sz="4" w:space="0"/>
              <w:right w:val="single" w:color="auto" w:sz="4" w:space="0"/>
            </w:tcBorders>
          </w:tcPr>
          <w:p w14:paraId="592C5E98">
            <w:pPr>
              <w:adjustRightInd w:val="0"/>
              <w:snapToGrid w:val="0"/>
              <w:spacing w:beforeLines="50" w:line="360" w:lineRule="auto"/>
              <w:jc w:val="center"/>
              <w:rPr>
                <w:rFonts w:ascii="宋体" w:hAnsi="宋体"/>
                <w:color w:val="000000"/>
                <w:kern w:val="0"/>
                <w:szCs w:val="21"/>
              </w:rPr>
            </w:pPr>
          </w:p>
        </w:tc>
        <w:tc>
          <w:tcPr>
            <w:tcW w:w="1418" w:type="dxa"/>
            <w:tcBorders>
              <w:left w:val="single" w:color="auto" w:sz="4" w:space="0"/>
            </w:tcBorders>
          </w:tcPr>
          <w:p w14:paraId="422749F9">
            <w:pPr>
              <w:adjustRightInd w:val="0"/>
              <w:snapToGrid w:val="0"/>
              <w:spacing w:beforeLines="50" w:line="360" w:lineRule="auto"/>
              <w:jc w:val="center"/>
              <w:rPr>
                <w:rFonts w:ascii="宋体" w:hAnsi="宋体"/>
                <w:color w:val="000000"/>
                <w:kern w:val="0"/>
                <w:szCs w:val="21"/>
              </w:rPr>
            </w:pPr>
          </w:p>
        </w:tc>
        <w:tc>
          <w:tcPr>
            <w:tcW w:w="2410" w:type="dxa"/>
          </w:tcPr>
          <w:p w14:paraId="51E33850">
            <w:pPr>
              <w:adjustRightInd w:val="0"/>
              <w:snapToGrid w:val="0"/>
              <w:spacing w:beforeLines="50" w:line="360" w:lineRule="auto"/>
              <w:jc w:val="center"/>
              <w:rPr>
                <w:rFonts w:ascii="宋体" w:hAnsi="宋体"/>
                <w:color w:val="000000"/>
                <w:kern w:val="0"/>
                <w:szCs w:val="21"/>
              </w:rPr>
            </w:pPr>
          </w:p>
        </w:tc>
        <w:tc>
          <w:tcPr>
            <w:tcW w:w="1722" w:type="dxa"/>
          </w:tcPr>
          <w:p w14:paraId="21C7E751">
            <w:pPr>
              <w:adjustRightInd w:val="0"/>
              <w:snapToGrid w:val="0"/>
              <w:spacing w:beforeLines="50" w:line="360" w:lineRule="auto"/>
              <w:jc w:val="center"/>
              <w:rPr>
                <w:rFonts w:ascii="宋体" w:hAnsi="宋体"/>
                <w:color w:val="000000"/>
                <w:kern w:val="0"/>
                <w:szCs w:val="21"/>
              </w:rPr>
            </w:pPr>
          </w:p>
        </w:tc>
      </w:tr>
      <w:tr w14:paraId="5873D21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c>
          <w:tcPr>
            <w:tcW w:w="675" w:type="dxa"/>
          </w:tcPr>
          <w:p w14:paraId="6CE23773">
            <w:pPr>
              <w:adjustRightInd w:val="0"/>
              <w:snapToGrid w:val="0"/>
              <w:spacing w:beforeLines="50" w:line="360" w:lineRule="auto"/>
              <w:jc w:val="center"/>
              <w:rPr>
                <w:rFonts w:ascii="宋体" w:hAnsi="宋体"/>
                <w:color w:val="000000"/>
                <w:kern w:val="0"/>
                <w:szCs w:val="21"/>
              </w:rPr>
            </w:pPr>
          </w:p>
        </w:tc>
        <w:tc>
          <w:tcPr>
            <w:tcW w:w="1701" w:type="dxa"/>
            <w:tcBorders>
              <w:right w:val="single" w:color="auto" w:sz="4" w:space="0"/>
            </w:tcBorders>
          </w:tcPr>
          <w:p w14:paraId="6EB3D40B">
            <w:pPr>
              <w:adjustRightInd w:val="0"/>
              <w:snapToGrid w:val="0"/>
              <w:spacing w:beforeLines="50" w:line="360" w:lineRule="auto"/>
              <w:jc w:val="center"/>
              <w:rPr>
                <w:rFonts w:ascii="宋体" w:hAnsi="宋体"/>
                <w:color w:val="000000"/>
                <w:kern w:val="0"/>
                <w:szCs w:val="21"/>
              </w:rPr>
            </w:pPr>
          </w:p>
        </w:tc>
        <w:tc>
          <w:tcPr>
            <w:tcW w:w="1134" w:type="dxa"/>
            <w:tcBorders>
              <w:left w:val="single" w:color="auto" w:sz="4" w:space="0"/>
              <w:right w:val="single" w:color="auto" w:sz="4" w:space="0"/>
            </w:tcBorders>
          </w:tcPr>
          <w:p w14:paraId="2A408CEF">
            <w:pPr>
              <w:adjustRightInd w:val="0"/>
              <w:snapToGrid w:val="0"/>
              <w:spacing w:beforeLines="50" w:line="360" w:lineRule="auto"/>
              <w:jc w:val="center"/>
              <w:rPr>
                <w:rFonts w:ascii="宋体" w:hAnsi="宋体"/>
                <w:color w:val="000000"/>
                <w:kern w:val="0"/>
                <w:szCs w:val="21"/>
              </w:rPr>
            </w:pPr>
          </w:p>
        </w:tc>
        <w:tc>
          <w:tcPr>
            <w:tcW w:w="1418" w:type="dxa"/>
            <w:tcBorders>
              <w:left w:val="single" w:color="auto" w:sz="4" w:space="0"/>
            </w:tcBorders>
          </w:tcPr>
          <w:p w14:paraId="0926319A">
            <w:pPr>
              <w:adjustRightInd w:val="0"/>
              <w:snapToGrid w:val="0"/>
              <w:spacing w:beforeLines="50" w:line="360" w:lineRule="auto"/>
              <w:jc w:val="center"/>
              <w:rPr>
                <w:rFonts w:ascii="宋体" w:hAnsi="宋体"/>
                <w:color w:val="000000"/>
                <w:kern w:val="0"/>
                <w:szCs w:val="21"/>
              </w:rPr>
            </w:pPr>
          </w:p>
        </w:tc>
        <w:tc>
          <w:tcPr>
            <w:tcW w:w="2410" w:type="dxa"/>
          </w:tcPr>
          <w:p w14:paraId="7F102C59">
            <w:pPr>
              <w:adjustRightInd w:val="0"/>
              <w:snapToGrid w:val="0"/>
              <w:spacing w:beforeLines="50" w:line="360" w:lineRule="auto"/>
              <w:jc w:val="center"/>
              <w:rPr>
                <w:rFonts w:ascii="宋体" w:hAnsi="宋体"/>
                <w:color w:val="000000"/>
                <w:kern w:val="0"/>
                <w:szCs w:val="21"/>
              </w:rPr>
            </w:pPr>
          </w:p>
        </w:tc>
        <w:tc>
          <w:tcPr>
            <w:tcW w:w="1722" w:type="dxa"/>
          </w:tcPr>
          <w:p w14:paraId="753FD3B9">
            <w:pPr>
              <w:adjustRightInd w:val="0"/>
              <w:snapToGrid w:val="0"/>
              <w:spacing w:beforeLines="50" w:line="360" w:lineRule="auto"/>
              <w:jc w:val="center"/>
              <w:rPr>
                <w:rFonts w:ascii="宋体" w:hAnsi="宋体"/>
                <w:color w:val="000000"/>
                <w:kern w:val="0"/>
                <w:szCs w:val="21"/>
              </w:rPr>
            </w:pPr>
          </w:p>
        </w:tc>
      </w:tr>
      <w:tr w14:paraId="1C1321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462" w:hRule="atLeast"/>
        </w:trPr>
        <w:tc>
          <w:tcPr>
            <w:tcW w:w="675" w:type="dxa"/>
          </w:tcPr>
          <w:p w14:paraId="13A4425E">
            <w:pPr>
              <w:adjustRightInd w:val="0"/>
              <w:snapToGrid w:val="0"/>
              <w:spacing w:beforeLines="50" w:line="360" w:lineRule="auto"/>
              <w:jc w:val="center"/>
              <w:rPr>
                <w:rFonts w:ascii="宋体" w:hAnsi="宋体"/>
                <w:color w:val="000000"/>
                <w:kern w:val="0"/>
                <w:szCs w:val="21"/>
              </w:rPr>
            </w:pPr>
          </w:p>
        </w:tc>
        <w:tc>
          <w:tcPr>
            <w:tcW w:w="1701" w:type="dxa"/>
            <w:tcBorders>
              <w:right w:val="single" w:color="auto" w:sz="4" w:space="0"/>
            </w:tcBorders>
          </w:tcPr>
          <w:p w14:paraId="6F0B50AF">
            <w:pPr>
              <w:adjustRightInd w:val="0"/>
              <w:snapToGrid w:val="0"/>
              <w:spacing w:beforeLines="50" w:line="360" w:lineRule="auto"/>
              <w:jc w:val="center"/>
              <w:rPr>
                <w:rFonts w:ascii="宋体" w:hAnsi="宋体"/>
                <w:color w:val="000000"/>
                <w:kern w:val="0"/>
                <w:szCs w:val="21"/>
              </w:rPr>
            </w:pPr>
          </w:p>
        </w:tc>
        <w:tc>
          <w:tcPr>
            <w:tcW w:w="1134" w:type="dxa"/>
            <w:tcBorders>
              <w:left w:val="single" w:color="auto" w:sz="4" w:space="0"/>
              <w:right w:val="single" w:color="auto" w:sz="4" w:space="0"/>
            </w:tcBorders>
          </w:tcPr>
          <w:p w14:paraId="2078F730">
            <w:pPr>
              <w:adjustRightInd w:val="0"/>
              <w:snapToGrid w:val="0"/>
              <w:spacing w:beforeLines="50" w:line="360" w:lineRule="auto"/>
              <w:jc w:val="center"/>
              <w:rPr>
                <w:rFonts w:ascii="宋体" w:hAnsi="宋体"/>
                <w:color w:val="000000"/>
                <w:kern w:val="0"/>
                <w:szCs w:val="21"/>
              </w:rPr>
            </w:pPr>
          </w:p>
        </w:tc>
        <w:tc>
          <w:tcPr>
            <w:tcW w:w="1418" w:type="dxa"/>
            <w:tcBorders>
              <w:left w:val="single" w:color="auto" w:sz="4" w:space="0"/>
            </w:tcBorders>
          </w:tcPr>
          <w:p w14:paraId="1F914BED">
            <w:pPr>
              <w:adjustRightInd w:val="0"/>
              <w:snapToGrid w:val="0"/>
              <w:spacing w:beforeLines="50" w:line="360" w:lineRule="auto"/>
              <w:jc w:val="center"/>
              <w:rPr>
                <w:rFonts w:ascii="宋体" w:hAnsi="宋体"/>
                <w:color w:val="000000"/>
                <w:kern w:val="0"/>
                <w:szCs w:val="21"/>
              </w:rPr>
            </w:pPr>
          </w:p>
        </w:tc>
        <w:tc>
          <w:tcPr>
            <w:tcW w:w="2410" w:type="dxa"/>
          </w:tcPr>
          <w:p w14:paraId="67D2FEDE">
            <w:pPr>
              <w:adjustRightInd w:val="0"/>
              <w:snapToGrid w:val="0"/>
              <w:spacing w:beforeLines="50" w:line="360" w:lineRule="auto"/>
              <w:jc w:val="center"/>
              <w:rPr>
                <w:rFonts w:ascii="宋体" w:hAnsi="宋体"/>
                <w:color w:val="000000"/>
                <w:kern w:val="0"/>
                <w:szCs w:val="21"/>
              </w:rPr>
            </w:pPr>
          </w:p>
        </w:tc>
        <w:tc>
          <w:tcPr>
            <w:tcW w:w="1722" w:type="dxa"/>
          </w:tcPr>
          <w:p w14:paraId="5DCC5801">
            <w:pPr>
              <w:adjustRightInd w:val="0"/>
              <w:snapToGrid w:val="0"/>
              <w:spacing w:beforeLines="50" w:line="360" w:lineRule="auto"/>
              <w:jc w:val="center"/>
              <w:rPr>
                <w:rFonts w:ascii="宋体" w:hAnsi="宋体"/>
                <w:color w:val="000000"/>
                <w:kern w:val="0"/>
                <w:szCs w:val="21"/>
              </w:rPr>
            </w:pPr>
          </w:p>
        </w:tc>
      </w:tr>
    </w:tbl>
    <w:p w14:paraId="3F495BC7">
      <w:pPr>
        <w:rPr>
          <w:color w:val="000000"/>
        </w:rPr>
      </w:pPr>
    </w:p>
    <w:p w14:paraId="45230D76">
      <w:pPr>
        <w:widowControl/>
        <w:jc w:val="left"/>
        <w:rPr>
          <w:rFonts w:ascii="黑体" w:hAnsi="宋体" w:eastAsia="黑体"/>
          <w:b/>
          <w:bCs/>
          <w:color w:val="000000"/>
          <w:sz w:val="28"/>
          <w:szCs w:val="28"/>
        </w:rPr>
      </w:pPr>
      <w:r>
        <w:rPr>
          <w:rFonts w:ascii="黑体" w:hAnsi="宋体" w:eastAsia="黑体"/>
          <w:color w:val="000000"/>
          <w:sz w:val="28"/>
          <w:szCs w:val="28"/>
        </w:rPr>
        <w:br w:type="page"/>
      </w:r>
    </w:p>
    <w:p w14:paraId="209A4B95">
      <w:pPr>
        <w:pStyle w:val="2"/>
        <w:numPr>
          <w:ilvl w:val="0"/>
          <w:numId w:val="0"/>
        </w:numPr>
        <w:adjustRightInd w:val="0"/>
        <w:snapToGrid w:val="0"/>
        <w:spacing w:before="0" w:after="0" w:line="360" w:lineRule="auto"/>
        <w:jc w:val="center"/>
        <w:rPr>
          <w:rFonts w:hint="eastAsia" w:ascii="黑体" w:hAnsi="宋体" w:eastAsia="黑体"/>
          <w:color w:val="000000"/>
          <w:sz w:val="28"/>
          <w:szCs w:val="28"/>
          <w:lang w:val="en-US" w:eastAsia="zh-CN"/>
        </w:rPr>
      </w:pPr>
      <w:bookmarkStart w:id="153" w:name="_Toc20651256"/>
      <w:bookmarkStart w:id="154" w:name="_Toc10633"/>
      <w:r>
        <w:rPr>
          <w:rFonts w:hint="eastAsia" w:ascii="黑体" w:hAnsi="宋体" w:eastAsia="黑体"/>
          <w:color w:val="000000"/>
          <w:sz w:val="28"/>
          <w:szCs w:val="28"/>
          <w:lang w:val="en-US" w:eastAsia="zh-CN"/>
        </w:rPr>
        <w:t>五、投标函</w:t>
      </w:r>
      <w:bookmarkEnd w:id="153"/>
      <w:bookmarkEnd w:id="154"/>
    </w:p>
    <w:p w14:paraId="74D261E8">
      <w:pPr>
        <w:adjustRightInd w:val="0"/>
        <w:snapToGrid w:val="0"/>
        <w:spacing w:beforeLines="50" w:line="360" w:lineRule="auto"/>
        <w:rPr>
          <w:rFonts w:ascii="宋体" w:hAnsi="宋体"/>
          <w:szCs w:val="21"/>
        </w:rPr>
      </w:pPr>
      <w:r>
        <w:rPr>
          <w:rFonts w:hint="eastAsia" w:ascii="宋体" w:hAnsi="宋体"/>
          <w:szCs w:val="21"/>
        </w:rPr>
        <w:t>致：（采购人、采购代理机构）：</w:t>
      </w:r>
    </w:p>
    <w:p w14:paraId="57CCEBB5">
      <w:pPr>
        <w:adjustRightInd w:val="0"/>
        <w:snapToGrid w:val="0"/>
        <w:spacing w:beforeLines="50" w:line="360" w:lineRule="auto"/>
        <w:ind w:firstLine="435"/>
        <w:rPr>
          <w:rFonts w:ascii="宋体" w:hAnsi="宋体"/>
          <w:szCs w:val="21"/>
        </w:rPr>
      </w:pPr>
      <w:r>
        <w:rPr>
          <w:rFonts w:hint="eastAsia" w:ascii="宋体" w:hAnsi="宋体"/>
          <w:szCs w:val="21"/>
        </w:rPr>
        <w:t>根据贵方为</w:t>
      </w:r>
      <w:r>
        <w:rPr>
          <w:rFonts w:hint="eastAsia" w:ascii="宋体" w:hAnsi="宋体"/>
          <w:szCs w:val="21"/>
          <w:u w:val="single"/>
        </w:rPr>
        <w:t xml:space="preserve">           </w:t>
      </w:r>
      <w:r>
        <w:rPr>
          <w:rFonts w:hint="eastAsia" w:ascii="宋体" w:hAnsi="宋体"/>
          <w:szCs w:val="21"/>
        </w:rPr>
        <w:t>（项目名称）的投标邀请（</w:t>
      </w:r>
      <w:r>
        <w:rPr>
          <w:rFonts w:hint="eastAsia" w:ascii="宋体" w:hAnsi="宋体"/>
        </w:rPr>
        <w:t>政府采购计划编号</w:t>
      </w:r>
      <w:r>
        <w:rPr>
          <w:rFonts w:hint="eastAsia" w:ascii="宋体" w:hAnsi="宋体"/>
          <w:iCs/>
        </w:rPr>
        <w:t>：</w:t>
      </w:r>
      <w:r>
        <w:rPr>
          <w:rFonts w:hint="eastAsia" w:ascii="宋体" w:hAnsi="宋体"/>
          <w:iCs/>
          <w:u w:val="single"/>
        </w:rPr>
        <w:t xml:space="preserve">      </w:t>
      </w:r>
      <w:r>
        <w:rPr>
          <w:rFonts w:hint="eastAsia" w:ascii="宋体" w:hAnsi="宋体"/>
          <w:iCs/>
        </w:rPr>
        <w:t xml:space="preserve"> ，</w:t>
      </w:r>
      <w:r>
        <w:rPr>
          <w:rFonts w:hint="eastAsia" w:ascii="宋体" w:hAnsi="宋体"/>
          <w:szCs w:val="21"/>
        </w:rPr>
        <w:t>委托代理编号：</w:t>
      </w:r>
      <w:r>
        <w:rPr>
          <w:rFonts w:hint="eastAsia" w:ascii="宋体" w:hAnsi="宋体"/>
          <w:szCs w:val="21"/>
          <w:u w:val="single"/>
        </w:rPr>
        <w:t xml:space="preserve">         </w:t>
      </w:r>
      <w:r>
        <w:rPr>
          <w:rFonts w:hint="eastAsia" w:ascii="宋体" w:hAnsi="宋体"/>
          <w:szCs w:val="21"/>
        </w:rPr>
        <w:t xml:space="preserve">），签字代表 </w:t>
      </w:r>
      <w:r>
        <w:rPr>
          <w:rFonts w:hint="eastAsia" w:ascii="宋体" w:hAnsi="宋体"/>
          <w:szCs w:val="21"/>
          <w:u w:val="single"/>
        </w:rPr>
        <w:t xml:space="preserve">      </w:t>
      </w:r>
      <w:r>
        <w:rPr>
          <w:rFonts w:hint="eastAsia" w:ascii="宋体" w:hAnsi="宋体"/>
          <w:szCs w:val="21"/>
        </w:rPr>
        <w:t>（姓名、职务）经正式授权并代表投标人</w:t>
      </w:r>
      <w:r>
        <w:rPr>
          <w:rFonts w:hint="eastAsia" w:ascii="宋体" w:hAnsi="宋体"/>
          <w:szCs w:val="21"/>
          <w:u w:val="single"/>
        </w:rPr>
        <w:t xml:space="preserve">       </w:t>
      </w:r>
      <w:r>
        <w:rPr>
          <w:rFonts w:hint="eastAsia" w:ascii="宋体" w:hAnsi="宋体"/>
          <w:szCs w:val="21"/>
        </w:rPr>
        <w:t xml:space="preserve"> （投标人名称）提交下述投标文件</w:t>
      </w:r>
      <w:r>
        <w:rPr>
          <w:rFonts w:hint="eastAsia" w:ascii="宋体" w:hAnsi="宋体" w:cs="宋体"/>
          <w:szCs w:val="21"/>
        </w:rPr>
        <w:t>电子文档：一份，</w:t>
      </w:r>
      <w:r>
        <w:rPr>
          <w:rFonts w:hint="eastAsia" w:ascii="宋体" w:hAnsi="宋体"/>
          <w:szCs w:val="21"/>
        </w:rPr>
        <w:t>参加采购项目第</w:t>
      </w:r>
      <w:r>
        <w:rPr>
          <w:rFonts w:hint="eastAsia" w:ascii="宋体" w:hAnsi="宋体"/>
          <w:szCs w:val="21"/>
          <w:u w:val="single"/>
          <w:lang w:val="en-US" w:eastAsia="zh-CN"/>
        </w:rPr>
        <w:t xml:space="preserve">  / </w:t>
      </w:r>
      <w:r>
        <w:rPr>
          <w:rFonts w:hint="eastAsia" w:ascii="宋体" w:hAnsi="宋体"/>
          <w:szCs w:val="21"/>
        </w:rPr>
        <w:t>包投标，并在此声明，所递交的投标文件内容完整、真实。</w:t>
      </w:r>
    </w:p>
    <w:p w14:paraId="5DE110E9">
      <w:pPr>
        <w:adjustRightInd w:val="0"/>
        <w:snapToGrid w:val="0"/>
        <w:spacing w:beforeLines="50" w:line="360" w:lineRule="auto"/>
        <w:ind w:firstLine="482" w:firstLineChars="200"/>
        <w:rPr>
          <w:rFonts w:ascii="宋体" w:hAnsi="宋体"/>
          <w:b/>
          <w:szCs w:val="21"/>
        </w:rPr>
      </w:pPr>
      <w:r>
        <w:rPr>
          <w:rFonts w:hint="eastAsia" w:ascii="宋体" w:hAnsi="宋体"/>
          <w:b/>
          <w:szCs w:val="21"/>
        </w:rPr>
        <w:t>第一部分 资格证明文件</w:t>
      </w:r>
    </w:p>
    <w:p w14:paraId="64764CDC">
      <w:pPr>
        <w:adjustRightInd w:val="0"/>
        <w:snapToGrid w:val="0"/>
        <w:spacing w:beforeLines="50" w:line="360" w:lineRule="auto"/>
        <w:ind w:firstLine="720" w:firstLineChars="300"/>
        <w:rPr>
          <w:rFonts w:hint="eastAsia" w:ascii="宋体" w:hAnsi="宋体"/>
          <w:szCs w:val="21"/>
        </w:rPr>
      </w:pPr>
      <w:r>
        <w:rPr>
          <w:rFonts w:hint="eastAsia" w:ascii="宋体" w:hAnsi="宋体"/>
          <w:szCs w:val="21"/>
        </w:rPr>
        <w:t>一、开标一览表</w:t>
      </w:r>
    </w:p>
    <w:p w14:paraId="0BC53BFD">
      <w:pPr>
        <w:adjustRightInd w:val="0"/>
        <w:snapToGrid w:val="0"/>
        <w:spacing w:beforeLines="50" w:line="360" w:lineRule="auto"/>
        <w:ind w:firstLine="720" w:firstLineChars="300"/>
        <w:rPr>
          <w:rFonts w:hint="eastAsia" w:ascii="宋体" w:hAnsi="宋体"/>
          <w:szCs w:val="21"/>
        </w:rPr>
      </w:pPr>
      <w:r>
        <w:rPr>
          <w:rFonts w:hint="eastAsia" w:ascii="宋体" w:hAnsi="宋体"/>
          <w:szCs w:val="21"/>
          <w:lang w:val="en-US" w:eastAsia="zh-CN"/>
        </w:rPr>
        <w:t>二</w:t>
      </w:r>
      <w:r>
        <w:rPr>
          <w:rFonts w:hint="eastAsia" w:ascii="宋体" w:hAnsi="宋体"/>
          <w:szCs w:val="21"/>
        </w:rPr>
        <w:t>、法定代表人（单位负责人）身份证明</w:t>
      </w:r>
    </w:p>
    <w:p w14:paraId="3BC02C60">
      <w:pPr>
        <w:adjustRightInd w:val="0"/>
        <w:snapToGrid w:val="0"/>
        <w:spacing w:beforeLines="50" w:line="360" w:lineRule="auto"/>
        <w:ind w:firstLine="720" w:firstLineChars="300"/>
        <w:rPr>
          <w:rFonts w:hint="eastAsia" w:ascii="宋体" w:hAnsi="宋体"/>
          <w:szCs w:val="21"/>
        </w:rPr>
      </w:pPr>
      <w:r>
        <w:rPr>
          <w:rFonts w:hint="eastAsia" w:ascii="宋体" w:hAnsi="宋体"/>
          <w:szCs w:val="21"/>
        </w:rPr>
        <w:t>三、法定代表人授权委托书</w:t>
      </w:r>
    </w:p>
    <w:p w14:paraId="3FE759AE">
      <w:pPr>
        <w:adjustRightInd w:val="0"/>
        <w:snapToGrid w:val="0"/>
        <w:spacing w:beforeLines="50" w:line="360" w:lineRule="auto"/>
        <w:ind w:firstLine="720" w:firstLineChars="300"/>
        <w:rPr>
          <w:rFonts w:hint="eastAsia" w:ascii="宋体" w:hAnsi="宋体"/>
          <w:szCs w:val="21"/>
        </w:rPr>
      </w:pPr>
      <w:r>
        <w:rPr>
          <w:rFonts w:hint="eastAsia" w:ascii="宋体" w:hAnsi="宋体"/>
          <w:szCs w:val="21"/>
          <w:lang w:val="en-US" w:eastAsia="zh-CN"/>
        </w:rPr>
        <w:t>四</w:t>
      </w:r>
      <w:r>
        <w:rPr>
          <w:rFonts w:hint="eastAsia" w:ascii="宋体" w:hAnsi="宋体"/>
          <w:szCs w:val="21"/>
        </w:rPr>
        <w:t>、投标人提供的资格证明文件</w:t>
      </w:r>
    </w:p>
    <w:p w14:paraId="1750778D">
      <w:pPr>
        <w:adjustRightInd w:val="0"/>
        <w:snapToGrid w:val="0"/>
        <w:spacing w:beforeLines="50" w:line="360" w:lineRule="auto"/>
        <w:ind w:firstLine="482" w:firstLineChars="200"/>
        <w:rPr>
          <w:rFonts w:ascii="宋体" w:hAnsi="宋体"/>
          <w:b/>
          <w:szCs w:val="21"/>
        </w:rPr>
      </w:pPr>
      <w:r>
        <w:rPr>
          <w:rFonts w:hint="eastAsia" w:ascii="宋体" w:hAnsi="宋体"/>
          <w:b/>
          <w:szCs w:val="21"/>
        </w:rPr>
        <w:t>第二部分 商务技术文件</w:t>
      </w:r>
    </w:p>
    <w:p w14:paraId="7EA8CD82">
      <w:pPr>
        <w:adjustRightInd w:val="0"/>
        <w:snapToGrid w:val="0"/>
        <w:spacing w:beforeLines="50" w:line="360" w:lineRule="auto"/>
        <w:ind w:firstLine="720" w:firstLineChars="300"/>
        <w:rPr>
          <w:rFonts w:ascii="宋体" w:hAnsi="宋体"/>
          <w:szCs w:val="21"/>
        </w:rPr>
      </w:pPr>
      <w:r>
        <w:rPr>
          <w:rFonts w:hint="eastAsia" w:ascii="宋体" w:hAnsi="宋体"/>
          <w:szCs w:val="21"/>
        </w:rPr>
        <w:t>五、投标函</w:t>
      </w:r>
    </w:p>
    <w:p w14:paraId="27F0AB1A">
      <w:pPr>
        <w:adjustRightInd w:val="0"/>
        <w:snapToGrid w:val="0"/>
        <w:spacing w:beforeLines="50" w:line="360" w:lineRule="auto"/>
        <w:ind w:firstLine="720" w:firstLineChars="300"/>
        <w:rPr>
          <w:rFonts w:ascii="宋体" w:hAnsi="宋体"/>
          <w:szCs w:val="21"/>
        </w:rPr>
      </w:pPr>
      <w:r>
        <w:rPr>
          <w:rFonts w:hint="eastAsia" w:ascii="宋体" w:hAnsi="宋体"/>
          <w:szCs w:val="21"/>
        </w:rPr>
        <w:t>六、分项报价</w:t>
      </w:r>
    </w:p>
    <w:p w14:paraId="3A735D01">
      <w:pPr>
        <w:adjustRightInd w:val="0"/>
        <w:snapToGrid w:val="0"/>
        <w:spacing w:beforeLines="50" w:line="360" w:lineRule="auto"/>
        <w:ind w:firstLine="720" w:firstLineChars="300"/>
        <w:rPr>
          <w:rFonts w:ascii="宋体" w:hAnsi="宋体"/>
          <w:szCs w:val="21"/>
        </w:rPr>
      </w:pPr>
      <w:r>
        <w:rPr>
          <w:rFonts w:hint="eastAsia" w:ascii="宋体" w:hAnsi="宋体"/>
          <w:szCs w:val="21"/>
        </w:rPr>
        <w:t>七、采购需求响应</w:t>
      </w:r>
    </w:p>
    <w:p w14:paraId="5F70F3B5">
      <w:pPr>
        <w:adjustRightInd w:val="0"/>
        <w:snapToGrid w:val="0"/>
        <w:spacing w:beforeLines="50" w:line="360" w:lineRule="auto"/>
        <w:ind w:firstLine="720" w:firstLineChars="300"/>
        <w:rPr>
          <w:rFonts w:ascii="宋体" w:hAnsi="宋体"/>
          <w:szCs w:val="21"/>
        </w:rPr>
      </w:pPr>
      <w:r>
        <w:rPr>
          <w:rFonts w:hint="eastAsia" w:ascii="宋体" w:hAnsi="宋体"/>
          <w:szCs w:val="21"/>
        </w:rPr>
        <w:t>八、合同条款偏离表</w:t>
      </w:r>
    </w:p>
    <w:p w14:paraId="12E0E09A">
      <w:pPr>
        <w:adjustRightInd w:val="0"/>
        <w:snapToGrid w:val="0"/>
        <w:spacing w:beforeLines="50" w:line="360" w:lineRule="auto"/>
        <w:ind w:firstLine="720" w:firstLineChars="300"/>
        <w:rPr>
          <w:rFonts w:ascii="宋体" w:hAnsi="宋体"/>
          <w:szCs w:val="21"/>
        </w:rPr>
      </w:pPr>
      <w:r>
        <w:rPr>
          <w:rFonts w:hint="eastAsia" w:ascii="宋体" w:hAnsi="宋体"/>
          <w:szCs w:val="21"/>
        </w:rPr>
        <w:t>九、采购需求偏离表</w:t>
      </w:r>
    </w:p>
    <w:p w14:paraId="0AE90B0C">
      <w:pPr>
        <w:adjustRightInd w:val="0"/>
        <w:snapToGrid w:val="0"/>
        <w:spacing w:beforeLines="50" w:line="360" w:lineRule="auto"/>
        <w:ind w:firstLine="720" w:firstLineChars="300"/>
        <w:rPr>
          <w:rFonts w:ascii="宋体" w:hAnsi="宋体"/>
          <w:szCs w:val="21"/>
        </w:rPr>
      </w:pPr>
      <w:r>
        <w:rPr>
          <w:rFonts w:hint="eastAsia" w:ascii="宋体" w:hAnsi="宋体"/>
          <w:szCs w:val="21"/>
        </w:rPr>
        <w:t>十、享受政府采购政策优惠的证明资料</w:t>
      </w:r>
    </w:p>
    <w:p w14:paraId="3862910F">
      <w:pPr>
        <w:adjustRightInd w:val="0"/>
        <w:snapToGrid w:val="0"/>
        <w:spacing w:beforeLines="50" w:line="360" w:lineRule="auto"/>
        <w:ind w:firstLine="720" w:firstLineChars="300"/>
        <w:rPr>
          <w:rFonts w:ascii="宋体" w:hAnsi="宋体"/>
          <w:szCs w:val="21"/>
        </w:rPr>
      </w:pPr>
      <w:r>
        <w:rPr>
          <w:rFonts w:hint="eastAsia" w:ascii="宋体" w:hAnsi="宋体"/>
          <w:szCs w:val="21"/>
        </w:rPr>
        <w:t>十一、投标货物符合招标文件规定的证明文件</w:t>
      </w:r>
    </w:p>
    <w:p w14:paraId="72B13B01">
      <w:pPr>
        <w:adjustRightInd w:val="0"/>
        <w:snapToGrid w:val="0"/>
        <w:spacing w:beforeLines="50" w:line="360" w:lineRule="auto"/>
        <w:ind w:firstLine="720" w:firstLineChars="300"/>
        <w:rPr>
          <w:rFonts w:ascii="宋体" w:hAnsi="宋体"/>
          <w:szCs w:val="21"/>
        </w:rPr>
      </w:pPr>
      <w:r>
        <w:rPr>
          <w:rFonts w:hint="eastAsia" w:ascii="宋体" w:hAnsi="宋体"/>
          <w:szCs w:val="21"/>
        </w:rPr>
        <w:t>十二、投标人认为需提供的其他资料</w:t>
      </w:r>
    </w:p>
    <w:p w14:paraId="12B9E42B">
      <w:pPr>
        <w:adjustRightInd w:val="0"/>
        <w:snapToGrid w:val="0"/>
        <w:spacing w:beforeLines="50" w:line="360" w:lineRule="auto"/>
        <w:ind w:firstLine="480" w:firstLineChars="200"/>
        <w:rPr>
          <w:rFonts w:ascii="宋体" w:hAnsi="宋体"/>
          <w:szCs w:val="21"/>
        </w:rPr>
      </w:pPr>
      <w:r>
        <w:rPr>
          <w:rFonts w:hint="eastAsia" w:ascii="宋体" w:hAnsi="宋体"/>
          <w:szCs w:val="21"/>
        </w:rPr>
        <w:t>在此，签字代表宣布同意如下：</w:t>
      </w:r>
    </w:p>
    <w:p w14:paraId="008B2C91">
      <w:pPr>
        <w:adjustRightInd w:val="0"/>
        <w:snapToGrid w:val="0"/>
        <w:spacing w:beforeLines="50" w:line="360" w:lineRule="auto"/>
        <w:ind w:firstLine="480" w:firstLineChars="200"/>
        <w:rPr>
          <w:rFonts w:ascii="宋体" w:hAnsi="宋体"/>
          <w:szCs w:val="21"/>
        </w:rPr>
      </w:pPr>
      <w:r>
        <w:rPr>
          <w:rFonts w:hint="eastAsia" w:ascii="宋体" w:hAnsi="宋体"/>
          <w:szCs w:val="21"/>
        </w:rPr>
        <w:t>1、投标人严格按照招标文件的规定报价，见《开标一览表》。</w:t>
      </w:r>
    </w:p>
    <w:p w14:paraId="5651656A">
      <w:pPr>
        <w:adjustRightInd w:val="0"/>
        <w:snapToGrid w:val="0"/>
        <w:spacing w:beforeLines="50" w:line="360" w:lineRule="auto"/>
        <w:ind w:firstLine="480" w:firstLineChars="200"/>
        <w:rPr>
          <w:rFonts w:ascii="宋体" w:hAnsi="宋体"/>
          <w:szCs w:val="21"/>
        </w:rPr>
      </w:pPr>
      <w:r>
        <w:rPr>
          <w:rFonts w:hint="eastAsia" w:ascii="宋体" w:hAnsi="宋体"/>
          <w:szCs w:val="21"/>
        </w:rPr>
        <w:t>2、投标人将按招标文件的规定履行合同责任和义务。</w:t>
      </w:r>
    </w:p>
    <w:p w14:paraId="19E7A303">
      <w:pPr>
        <w:adjustRightInd w:val="0"/>
        <w:snapToGrid w:val="0"/>
        <w:spacing w:beforeLines="50" w:line="360" w:lineRule="auto"/>
        <w:ind w:firstLine="480" w:firstLineChars="200"/>
        <w:rPr>
          <w:rFonts w:ascii="宋体" w:hAnsi="宋体"/>
          <w:szCs w:val="21"/>
        </w:rPr>
      </w:pPr>
      <w:r>
        <w:rPr>
          <w:rFonts w:hint="eastAsia" w:ascii="宋体" w:hAnsi="宋体"/>
          <w:szCs w:val="21"/>
        </w:rPr>
        <w:t>3、投标人已详细审查招标文件。我们完全理解并同意放弃对这方面有不明及误解的权力。</w:t>
      </w:r>
    </w:p>
    <w:p w14:paraId="1707BF69">
      <w:pPr>
        <w:adjustRightInd w:val="0"/>
        <w:snapToGrid w:val="0"/>
        <w:spacing w:beforeLines="50" w:line="360" w:lineRule="auto"/>
        <w:ind w:firstLine="480" w:firstLineChars="200"/>
        <w:rPr>
          <w:rFonts w:ascii="宋体" w:hAnsi="宋体"/>
        </w:rPr>
      </w:pPr>
      <w:r>
        <w:rPr>
          <w:rFonts w:hint="eastAsia" w:ascii="宋体" w:hAnsi="宋体"/>
          <w:szCs w:val="21"/>
        </w:rPr>
        <w:t>4、本投标有效期为自招标文件规定的提交投标文件截止之日起</w:t>
      </w:r>
      <w:r>
        <w:rPr>
          <w:rFonts w:hint="eastAsia" w:ascii="宋体" w:hAnsi="宋体"/>
          <w:szCs w:val="21"/>
          <w:u w:val="single"/>
        </w:rPr>
        <w:t xml:space="preserve">    </w:t>
      </w:r>
      <w:r>
        <w:rPr>
          <w:rFonts w:hint="eastAsia" w:ascii="宋体" w:hAnsi="宋体"/>
          <w:szCs w:val="21"/>
        </w:rPr>
        <w:t>个日历日。在投标有效期内，</w:t>
      </w:r>
      <w:r>
        <w:rPr>
          <w:rFonts w:hint="eastAsia" w:ascii="宋体" w:hAnsi="宋体"/>
        </w:rPr>
        <w:t>投标人同意遵守本</w:t>
      </w:r>
      <w:r>
        <w:rPr>
          <w:rFonts w:hint="eastAsia" w:ascii="宋体" w:hAnsi="宋体"/>
          <w:szCs w:val="21"/>
        </w:rPr>
        <w:t>投标</w:t>
      </w:r>
      <w:r>
        <w:rPr>
          <w:rFonts w:hint="eastAsia" w:ascii="宋体" w:hAnsi="宋体"/>
        </w:rPr>
        <w:t>文件中的承诺且在此期限期满之前</w:t>
      </w:r>
      <w:r>
        <w:rPr>
          <w:rFonts w:hint="eastAsia" w:ascii="宋体" w:hAnsi="宋体"/>
          <w:szCs w:val="21"/>
        </w:rPr>
        <w:t>投标</w:t>
      </w:r>
      <w:r>
        <w:rPr>
          <w:rFonts w:hint="eastAsia" w:ascii="宋体" w:hAnsi="宋体"/>
        </w:rPr>
        <w:t>文件</w:t>
      </w:r>
      <w:r>
        <w:rPr>
          <w:rFonts w:hint="eastAsia" w:ascii="宋体" w:hAnsi="宋体"/>
          <w:szCs w:val="21"/>
        </w:rPr>
        <w:t>对我方具有法律约束力</w:t>
      </w:r>
      <w:r>
        <w:rPr>
          <w:rFonts w:hint="eastAsia" w:ascii="宋体" w:hAnsi="宋体"/>
        </w:rPr>
        <w:t>。</w:t>
      </w:r>
    </w:p>
    <w:p w14:paraId="155C051D">
      <w:pPr>
        <w:adjustRightInd w:val="0"/>
        <w:snapToGrid w:val="0"/>
        <w:spacing w:beforeLines="50" w:line="360" w:lineRule="auto"/>
        <w:ind w:firstLine="480" w:firstLineChars="200"/>
        <w:rPr>
          <w:rFonts w:ascii="宋体" w:hAnsi="宋体"/>
        </w:rPr>
      </w:pPr>
      <w:r>
        <w:rPr>
          <w:rFonts w:hint="eastAsia" w:ascii="宋体" w:hAnsi="宋体"/>
        </w:rPr>
        <w:t>5、</w:t>
      </w:r>
      <w:r>
        <w:rPr>
          <w:rFonts w:hint="eastAsia" w:ascii="宋体" w:hAnsi="宋体"/>
          <w:szCs w:val="21"/>
        </w:rPr>
        <w:t>同意提供贵方可能要求的与其投标有关的一切数据或资料。</w:t>
      </w:r>
    </w:p>
    <w:p w14:paraId="01A45819">
      <w:pPr>
        <w:adjustRightInd w:val="0"/>
        <w:snapToGrid w:val="0"/>
        <w:spacing w:beforeLines="50" w:line="360" w:lineRule="auto"/>
        <w:ind w:firstLine="480" w:firstLineChars="200"/>
        <w:rPr>
          <w:rFonts w:ascii="宋体" w:hAnsi="宋体"/>
          <w:szCs w:val="21"/>
        </w:rPr>
      </w:pPr>
      <w:r>
        <w:rPr>
          <w:rFonts w:hint="eastAsia" w:ascii="宋体" w:hAnsi="宋体"/>
          <w:szCs w:val="21"/>
        </w:rPr>
        <w:t>6、与本投标有关的一切正式往来信函请寄：</w:t>
      </w:r>
    </w:p>
    <w:p w14:paraId="41956450">
      <w:pPr>
        <w:adjustRightInd w:val="0"/>
        <w:snapToGrid w:val="0"/>
        <w:spacing w:beforeLines="50" w:line="360" w:lineRule="auto"/>
        <w:ind w:firstLine="480" w:firstLineChars="200"/>
        <w:rPr>
          <w:rFonts w:ascii="宋体" w:hAnsi="宋体"/>
          <w:szCs w:val="21"/>
        </w:rPr>
      </w:pPr>
      <w:r>
        <w:rPr>
          <w:rFonts w:hint="eastAsia" w:ascii="宋体" w:hAnsi="宋体"/>
          <w:szCs w:val="21"/>
        </w:rPr>
        <w:t>地址：；邮编： ；电话：；电子邮箱： 。</w:t>
      </w:r>
    </w:p>
    <w:p w14:paraId="193788BF">
      <w:pPr>
        <w:adjustRightInd w:val="0"/>
        <w:snapToGrid w:val="0"/>
        <w:spacing w:beforeLines="50" w:line="360" w:lineRule="auto"/>
        <w:ind w:firstLine="480" w:firstLineChars="200"/>
        <w:rPr>
          <w:rFonts w:ascii="宋体" w:hAnsi="宋体"/>
          <w:szCs w:val="21"/>
        </w:rPr>
      </w:pPr>
    </w:p>
    <w:p w14:paraId="1E3414B2">
      <w:pPr>
        <w:adjustRightInd w:val="0"/>
        <w:snapToGrid w:val="0"/>
        <w:spacing w:beforeLines="50" w:line="360" w:lineRule="auto"/>
        <w:rPr>
          <w:rFonts w:ascii="宋体" w:hAnsi="宋体" w:cs="Courier New"/>
          <w:szCs w:val="21"/>
        </w:rPr>
      </w:pPr>
    </w:p>
    <w:p w14:paraId="4DA4426E">
      <w:pPr>
        <w:adjustRightInd w:val="0"/>
        <w:snapToGrid w:val="0"/>
        <w:spacing w:beforeLines="50" w:line="360" w:lineRule="auto"/>
        <w:rPr>
          <w:rFonts w:ascii="宋体" w:hAnsi="宋体" w:cs="Courier New"/>
          <w:szCs w:val="21"/>
        </w:rPr>
      </w:pPr>
      <w:r>
        <w:rPr>
          <w:rFonts w:hint="eastAsia" w:ascii="宋体" w:hAnsi="宋体" w:cs="Courier New"/>
          <w:szCs w:val="21"/>
        </w:rPr>
        <w:t xml:space="preserve">投标人名称（盖单位章）：                       </w:t>
      </w:r>
    </w:p>
    <w:p w14:paraId="3C9DEE9E">
      <w:pPr>
        <w:adjustRightInd w:val="0"/>
        <w:snapToGrid w:val="0"/>
        <w:spacing w:beforeLines="50" w:line="360" w:lineRule="auto"/>
        <w:rPr>
          <w:rFonts w:ascii="宋体" w:hAnsi="宋体"/>
          <w:szCs w:val="21"/>
          <w:u w:val="single"/>
        </w:rPr>
      </w:pPr>
      <w:r>
        <w:rPr>
          <w:rFonts w:hint="eastAsia" w:ascii="宋体" w:hAnsi="宋体" w:cs="微软雅黑"/>
          <w:spacing w:val="-2"/>
          <w:kern w:val="0"/>
          <w:szCs w:val="21"/>
        </w:rPr>
        <w:t>法</w:t>
      </w:r>
      <w:r>
        <w:rPr>
          <w:rFonts w:hint="eastAsia" w:ascii="宋体" w:hAnsi="宋体" w:cs="微软雅黑"/>
          <w:kern w:val="0"/>
          <w:szCs w:val="21"/>
        </w:rPr>
        <w:t>定</w:t>
      </w:r>
      <w:r>
        <w:rPr>
          <w:rFonts w:hint="eastAsia" w:ascii="宋体" w:hAnsi="宋体" w:cs="微软雅黑"/>
          <w:spacing w:val="-2"/>
          <w:kern w:val="0"/>
          <w:szCs w:val="21"/>
        </w:rPr>
        <w:t>代</w:t>
      </w:r>
      <w:r>
        <w:rPr>
          <w:rFonts w:hint="eastAsia" w:ascii="宋体" w:hAnsi="宋体" w:cs="微软雅黑"/>
          <w:kern w:val="0"/>
          <w:szCs w:val="21"/>
        </w:rPr>
        <w:t>表</w:t>
      </w:r>
      <w:r>
        <w:rPr>
          <w:rFonts w:hint="eastAsia" w:ascii="宋体" w:hAnsi="宋体" w:cs="微软雅黑"/>
          <w:spacing w:val="-2"/>
          <w:kern w:val="0"/>
          <w:szCs w:val="21"/>
        </w:rPr>
        <w:t>人</w:t>
      </w:r>
      <w:r>
        <w:rPr>
          <w:rFonts w:hint="eastAsia" w:ascii="宋体" w:hAnsi="宋体" w:cs="微软雅黑"/>
          <w:kern w:val="0"/>
          <w:szCs w:val="21"/>
        </w:rPr>
        <w:t>（</w:t>
      </w:r>
      <w:r>
        <w:rPr>
          <w:rFonts w:hint="eastAsia" w:ascii="宋体" w:hAnsi="宋体" w:cs="微软雅黑"/>
          <w:spacing w:val="-2"/>
          <w:kern w:val="0"/>
          <w:szCs w:val="21"/>
        </w:rPr>
        <w:t>单</w:t>
      </w:r>
      <w:r>
        <w:rPr>
          <w:rFonts w:hint="eastAsia" w:ascii="宋体" w:hAnsi="宋体" w:cs="微软雅黑"/>
          <w:kern w:val="0"/>
          <w:szCs w:val="21"/>
        </w:rPr>
        <w:t>位</w:t>
      </w:r>
      <w:r>
        <w:rPr>
          <w:rFonts w:hint="eastAsia" w:ascii="宋体" w:hAnsi="宋体" w:cs="微软雅黑"/>
          <w:spacing w:val="-2"/>
          <w:kern w:val="0"/>
          <w:szCs w:val="21"/>
        </w:rPr>
        <w:t>负</w:t>
      </w:r>
      <w:r>
        <w:rPr>
          <w:rFonts w:hint="eastAsia" w:ascii="宋体" w:hAnsi="宋体" w:cs="微软雅黑"/>
          <w:kern w:val="0"/>
          <w:szCs w:val="21"/>
        </w:rPr>
        <w:t>责人</w:t>
      </w:r>
      <w:r>
        <w:rPr>
          <w:rFonts w:hint="eastAsia" w:ascii="宋体" w:hAnsi="宋体" w:cs="微软雅黑"/>
          <w:spacing w:val="-2"/>
          <w:kern w:val="0"/>
          <w:szCs w:val="21"/>
        </w:rPr>
        <w:t>）</w:t>
      </w:r>
      <w:r>
        <w:rPr>
          <w:rFonts w:hint="eastAsia" w:ascii="宋体" w:hAnsi="宋体"/>
          <w:szCs w:val="21"/>
        </w:rPr>
        <w:t>或其授权的代理人（签字或印章）：</w:t>
      </w:r>
    </w:p>
    <w:p w14:paraId="169EBE3B">
      <w:pPr>
        <w:pStyle w:val="44"/>
      </w:pPr>
    </w:p>
    <w:p w14:paraId="6D666C56">
      <w:pPr>
        <w:jc w:val="both"/>
        <w:rPr>
          <w:rFonts w:ascii="宋体" w:hAnsi="宋体"/>
          <w:szCs w:val="21"/>
        </w:rPr>
      </w:pPr>
      <w:bookmarkStart w:id="155" w:name="_Toc4842"/>
      <w:bookmarkStart w:id="156" w:name="_Toc50031825"/>
      <w:r>
        <w:rPr>
          <w:rFonts w:hint="eastAsia" w:ascii="宋体" w:hAnsi="宋体"/>
          <w:szCs w:val="21"/>
        </w:rPr>
        <w:t>日期：年月日</w:t>
      </w:r>
      <w:bookmarkEnd w:id="155"/>
      <w:bookmarkEnd w:id="156"/>
    </w:p>
    <w:p w14:paraId="3C1C078E">
      <w:pPr>
        <w:widowControl/>
        <w:jc w:val="left"/>
        <w:rPr>
          <w:rFonts w:ascii="宋体" w:hAnsi="宋体"/>
          <w:szCs w:val="21"/>
        </w:rPr>
      </w:pPr>
      <w:r>
        <w:rPr>
          <w:rFonts w:ascii="宋体" w:hAnsi="宋体"/>
          <w:b/>
          <w:bCs/>
          <w:szCs w:val="21"/>
        </w:rPr>
        <w:br w:type="page"/>
      </w:r>
    </w:p>
    <w:p w14:paraId="350848F0">
      <w:pPr>
        <w:pStyle w:val="2"/>
        <w:numPr>
          <w:ilvl w:val="0"/>
          <w:numId w:val="0"/>
        </w:numPr>
        <w:adjustRightInd w:val="0"/>
        <w:snapToGrid w:val="0"/>
        <w:spacing w:before="0" w:after="0" w:line="360" w:lineRule="auto"/>
        <w:jc w:val="center"/>
        <w:rPr>
          <w:rFonts w:hint="eastAsia" w:ascii="黑体" w:hAnsi="宋体" w:eastAsia="黑体"/>
          <w:color w:val="000000"/>
          <w:sz w:val="28"/>
          <w:szCs w:val="28"/>
          <w:lang w:val="en-US" w:eastAsia="zh-CN"/>
        </w:rPr>
      </w:pPr>
      <w:bookmarkStart w:id="157" w:name="_Toc8421"/>
      <w:r>
        <w:rPr>
          <w:rFonts w:hint="eastAsia" w:ascii="黑体" w:hAnsi="宋体" w:eastAsia="黑体"/>
          <w:color w:val="000000"/>
          <w:sz w:val="28"/>
          <w:szCs w:val="28"/>
          <w:lang w:val="en-US" w:eastAsia="zh-CN"/>
        </w:rPr>
        <w:t>六、分项报价明细表</w:t>
      </w:r>
      <w:bookmarkEnd w:id="157"/>
    </w:p>
    <w:p w14:paraId="034CE951">
      <w:pPr>
        <w:pStyle w:val="5"/>
        <w:jc w:val="left"/>
        <w:rPr>
          <w:rFonts w:ascii="黑体" w:cs="微软雅黑" w:hAnsiTheme="minorEastAsia"/>
          <w:b w:val="0"/>
          <w:kern w:val="0"/>
          <w:sz w:val="21"/>
          <w:szCs w:val="21"/>
        </w:rPr>
      </w:pPr>
      <w:bookmarkStart w:id="158" w:name="_Toc23692"/>
      <w:bookmarkStart w:id="159" w:name="_Toc11923"/>
      <w:bookmarkStart w:id="160" w:name="_Toc24807"/>
      <w:r>
        <w:rPr>
          <w:rFonts w:hint="eastAsia" w:ascii="黑体" w:hAnsi="华文中宋" w:cs="宋体"/>
          <w:b w:val="0"/>
          <w:bCs w:val="0"/>
          <w:color w:val="000000"/>
          <w:spacing w:val="6"/>
          <w:kern w:val="0"/>
          <w:sz w:val="21"/>
          <w:szCs w:val="21"/>
        </w:rPr>
        <w:t>附件</w:t>
      </w:r>
      <w:r>
        <w:rPr>
          <w:rFonts w:hint="eastAsia" w:ascii="黑体" w:hAnsi="华文中宋" w:cs="宋体"/>
          <w:b w:val="0"/>
          <w:bCs w:val="0"/>
          <w:color w:val="000000"/>
          <w:spacing w:val="6"/>
          <w:kern w:val="0"/>
          <w:sz w:val="21"/>
          <w:szCs w:val="21"/>
          <w:lang w:val="en-US" w:eastAsia="zh-CN"/>
        </w:rPr>
        <w:t>6</w:t>
      </w:r>
      <w:r>
        <w:rPr>
          <w:rFonts w:hint="eastAsia" w:ascii="黑体" w:hAnsi="华文中宋" w:cs="宋体"/>
          <w:b w:val="0"/>
          <w:bCs w:val="0"/>
          <w:color w:val="000000"/>
          <w:spacing w:val="6"/>
          <w:kern w:val="0"/>
          <w:sz w:val="21"/>
          <w:szCs w:val="21"/>
        </w:rPr>
        <w:t xml:space="preserve">-1 </w:t>
      </w:r>
      <w:r>
        <w:rPr>
          <w:rFonts w:hint="eastAsia" w:ascii="黑体" w:cs="微软雅黑" w:hAnsiTheme="minorEastAsia"/>
          <w:b w:val="0"/>
          <w:spacing w:val="-2"/>
          <w:kern w:val="0"/>
          <w:sz w:val="21"/>
          <w:szCs w:val="21"/>
        </w:rPr>
        <w:t>分</w:t>
      </w:r>
      <w:r>
        <w:rPr>
          <w:rFonts w:hint="eastAsia" w:ascii="黑体" w:cs="微软雅黑" w:hAnsiTheme="minorEastAsia"/>
          <w:b w:val="0"/>
          <w:kern w:val="0"/>
          <w:sz w:val="21"/>
          <w:szCs w:val="21"/>
        </w:rPr>
        <w:t>项</w:t>
      </w:r>
      <w:r>
        <w:rPr>
          <w:rFonts w:hint="eastAsia" w:ascii="黑体" w:cs="微软雅黑" w:hAnsiTheme="minorEastAsia"/>
          <w:b w:val="0"/>
          <w:spacing w:val="-2"/>
          <w:kern w:val="0"/>
          <w:sz w:val="21"/>
          <w:szCs w:val="21"/>
        </w:rPr>
        <w:t>报</w:t>
      </w:r>
      <w:r>
        <w:rPr>
          <w:rFonts w:hint="eastAsia" w:ascii="黑体" w:cs="微软雅黑" w:hAnsiTheme="minorEastAsia"/>
          <w:b w:val="0"/>
          <w:kern w:val="0"/>
          <w:sz w:val="21"/>
          <w:szCs w:val="21"/>
        </w:rPr>
        <w:t>价说明</w:t>
      </w:r>
      <w:bookmarkEnd w:id="158"/>
      <w:bookmarkEnd w:id="159"/>
      <w:bookmarkEnd w:id="160"/>
    </w:p>
    <w:p w14:paraId="3D813C76">
      <w:pPr>
        <w:autoSpaceDE w:val="0"/>
        <w:autoSpaceDN w:val="0"/>
        <w:adjustRightInd w:val="0"/>
        <w:snapToGrid w:val="0"/>
        <w:spacing w:line="360" w:lineRule="auto"/>
        <w:jc w:val="center"/>
        <w:rPr>
          <w:rFonts w:ascii="黑体" w:eastAsia="黑体" w:cs="微软雅黑" w:hAnsiTheme="minorEastAsia"/>
          <w:b/>
          <w:kern w:val="0"/>
          <w:sz w:val="28"/>
          <w:szCs w:val="28"/>
        </w:rPr>
      </w:pPr>
      <w:r>
        <w:rPr>
          <w:rFonts w:hint="eastAsia" w:ascii="黑体" w:eastAsia="黑体" w:cs="微软雅黑" w:hAnsiTheme="minorEastAsia"/>
          <w:b/>
          <w:spacing w:val="-2"/>
          <w:kern w:val="0"/>
          <w:sz w:val="28"/>
          <w:szCs w:val="28"/>
        </w:rPr>
        <w:t>分</w:t>
      </w:r>
      <w:r>
        <w:rPr>
          <w:rFonts w:hint="eastAsia" w:ascii="黑体" w:eastAsia="黑体" w:cs="微软雅黑" w:hAnsiTheme="minorEastAsia"/>
          <w:b/>
          <w:kern w:val="0"/>
          <w:sz w:val="28"/>
          <w:szCs w:val="28"/>
        </w:rPr>
        <w:t>项</w:t>
      </w:r>
      <w:r>
        <w:rPr>
          <w:rFonts w:hint="eastAsia" w:ascii="黑体" w:eastAsia="黑体" w:cs="微软雅黑" w:hAnsiTheme="minorEastAsia"/>
          <w:b/>
          <w:spacing w:val="-2"/>
          <w:kern w:val="0"/>
          <w:sz w:val="28"/>
          <w:szCs w:val="28"/>
        </w:rPr>
        <w:t>报</w:t>
      </w:r>
      <w:r>
        <w:rPr>
          <w:rFonts w:hint="eastAsia" w:ascii="黑体" w:eastAsia="黑体" w:cs="微软雅黑" w:hAnsiTheme="minorEastAsia"/>
          <w:b/>
          <w:kern w:val="0"/>
          <w:sz w:val="28"/>
          <w:szCs w:val="28"/>
        </w:rPr>
        <w:t>价说明</w:t>
      </w:r>
    </w:p>
    <w:p w14:paraId="2C97674D">
      <w:pPr>
        <w:autoSpaceDE w:val="0"/>
        <w:autoSpaceDN w:val="0"/>
        <w:adjustRightInd w:val="0"/>
        <w:snapToGrid w:val="0"/>
        <w:spacing w:line="360" w:lineRule="auto"/>
        <w:jc w:val="left"/>
        <w:rPr>
          <w:rFonts w:ascii="黑体" w:hAnsi="华文中宋" w:cs="宋体"/>
          <w:color w:val="000000"/>
          <w:spacing w:val="6"/>
          <w:kern w:val="0"/>
          <w:szCs w:val="21"/>
        </w:rPr>
      </w:pPr>
      <w:r>
        <w:rPr>
          <w:rFonts w:hint="eastAsia" w:cs="微软雅黑" w:asciiTheme="minorEastAsia" w:hAnsiTheme="minorEastAsia" w:eastAsiaTheme="minorEastAsia"/>
          <w:kern w:val="0"/>
          <w:szCs w:val="21"/>
        </w:rPr>
        <w:t>备注：投标人应按招标文件第二章相关要求，对本节</w:t>
      </w:r>
      <w:r>
        <w:rPr>
          <w:rFonts w:hint="eastAsia" w:asciiTheme="minorEastAsia" w:hAnsiTheme="minorEastAsia" w:eastAsiaTheme="minorEastAsia"/>
          <w:bCs/>
          <w:szCs w:val="21"/>
        </w:rPr>
        <w:t>“</w:t>
      </w:r>
      <w:r>
        <w:rPr>
          <w:rFonts w:hint="eastAsia" w:cs="微软雅黑" w:asciiTheme="minorEastAsia" w:hAnsiTheme="minorEastAsia" w:eastAsiaTheme="minorEastAsia"/>
          <w:kern w:val="0"/>
          <w:szCs w:val="21"/>
        </w:rPr>
        <w:t>分项报价明细表</w:t>
      </w:r>
      <w:r>
        <w:rPr>
          <w:rFonts w:hint="eastAsia" w:asciiTheme="minorEastAsia" w:hAnsiTheme="minorEastAsia" w:eastAsiaTheme="minorEastAsia"/>
          <w:bCs/>
          <w:szCs w:val="21"/>
        </w:rPr>
        <w:t>”进行</w:t>
      </w:r>
      <w:r>
        <w:rPr>
          <w:rFonts w:hint="eastAsia" w:cs="微软雅黑" w:asciiTheme="minorEastAsia" w:hAnsiTheme="minorEastAsia" w:eastAsiaTheme="minorEastAsia"/>
          <w:kern w:val="0"/>
          <w:szCs w:val="21"/>
        </w:rPr>
        <w:t>编制，并说明。</w:t>
      </w:r>
    </w:p>
    <w:p w14:paraId="38A5725A">
      <w:pPr>
        <w:pStyle w:val="5"/>
        <w:jc w:val="left"/>
        <w:rPr>
          <w:rFonts w:ascii="宋体" w:hAnsi="宋体" w:eastAsia="宋体"/>
          <w:b w:val="0"/>
          <w:sz w:val="21"/>
        </w:rPr>
      </w:pPr>
      <w:bookmarkStart w:id="161" w:name="_Toc11916"/>
      <w:bookmarkStart w:id="162" w:name="_Toc27887"/>
      <w:r>
        <w:rPr>
          <w:rFonts w:hint="eastAsia" w:ascii="宋体" w:hAnsi="宋体" w:eastAsia="宋体"/>
          <w:b w:val="0"/>
          <w:spacing w:val="6"/>
          <w:sz w:val="21"/>
        </w:rPr>
        <w:t>附件</w:t>
      </w:r>
      <w:r>
        <w:rPr>
          <w:rFonts w:hint="eastAsia" w:ascii="宋体" w:hAnsi="宋体"/>
          <w:b w:val="0"/>
          <w:spacing w:val="6"/>
          <w:sz w:val="21"/>
          <w:lang w:val="en-US" w:eastAsia="zh-CN"/>
        </w:rPr>
        <w:t>6</w:t>
      </w:r>
      <w:r>
        <w:rPr>
          <w:rFonts w:hint="eastAsia" w:ascii="宋体" w:hAnsi="宋体" w:eastAsia="宋体"/>
          <w:b w:val="0"/>
          <w:spacing w:val="6"/>
          <w:sz w:val="21"/>
        </w:rPr>
        <w:t xml:space="preserve">-2 </w:t>
      </w:r>
      <w:r>
        <w:rPr>
          <w:rFonts w:hint="eastAsia" w:ascii="宋体" w:hAnsi="宋体" w:eastAsia="宋体"/>
          <w:b w:val="0"/>
          <w:spacing w:val="-2"/>
          <w:position w:val="-3"/>
          <w:sz w:val="21"/>
        </w:rPr>
        <w:t>分</w:t>
      </w:r>
      <w:r>
        <w:rPr>
          <w:rFonts w:hint="eastAsia" w:ascii="宋体" w:hAnsi="宋体" w:eastAsia="宋体"/>
          <w:b w:val="0"/>
          <w:position w:val="-3"/>
          <w:sz w:val="21"/>
        </w:rPr>
        <w:t>项</w:t>
      </w:r>
      <w:r>
        <w:rPr>
          <w:rFonts w:hint="eastAsia" w:ascii="宋体" w:hAnsi="宋体" w:eastAsia="宋体"/>
          <w:b w:val="0"/>
          <w:spacing w:val="-2"/>
          <w:position w:val="-3"/>
          <w:sz w:val="21"/>
        </w:rPr>
        <w:t>报</w:t>
      </w:r>
      <w:r>
        <w:rPr>
          <w:rFonts w:hint="eastAsia" w:ascii="宋体" w:hAnsi="宋体" w:eastAsia="宋体"/>
          <w:b w:val="0"/>
          <w:position w:val="-3"/>
          <w:sz w:val="21"/>
        </w:rPr>
        <w:t>价明细表</w:t>
      </w:r>
      <w:bookmarkEnd w:id="161"/>
      <w:bookmarkEnd w:id="162"/>
    </w:p>
    <w:p w14:paraId="134181DA">
      <w:pPr>
        <w:adjustRightInd w:val="0"/>
        <w:snapToGrid w:val="0"/>
        <w:spacing w:line="360" w:lineRule="auto"/>
        <w:jc w:val="center"/>
        <w:rPr>
          <w:rFonts w:ascii="宋体" w:hAnsi="宋体" w:eastAsia="宋体"/>
          <w:b/>
          <w:kern w:val="0"/>
          <w:position w:val="-3"/>
          <w:sz w:val="28"/>
        </w:rPr>
      </w:pPr>
      <w:r>
        <w:rPr>
          <w:rFonts w:hint="eastAsia" w:ascii="宋体" w:hAnsi="宋体" w:eastAsia="宋体"/>
          <w:b/>
          <w:spacing w:val="-2"/>
          <w:kern w:val="0"/>
          <w:position w:val="-3"/>
          <w:sz w:val="28"/>
        </w:rPr>
        <w:t>分</w:t>
      </w:r>
      <w:r>
        <w:rPr>
          <w:rFonts w:hint="eastAsia" w:ascii="宋体" w:hAnsi="宋体" w:eastAsia="宋体"/>
          <w:b/>
          <w:kern w:val="0"/>
          <w:position w:val="-3"/>
          <w:sz w:val="28"/>
        </w:rPr>
        <w:t>项</w:t>
      </w:r>
      <w:r>
        <w:rPr>
          <w:rFonts w:hint="eastAsia" w:ascii="宋体" w:hAnsi="宋体" w:eastAsia="宋体"/>
          <w:b/>
          <w:spacing w:val="-2"/>
          <w:kern w:val="0"/>
          <w:position w:val="-3"/>
          <w:sz w:val="28"/>
        </w:rPr>
        <w:t>报</w:t>
      </w:r>
      <w:r>
        <w:rPr>
          <w:rFonts w:hint="eastAsia" w:ascii="宋体" w:hAnsi="宋体" w:eastAsia="宋体"/>
          <w:b/>
          <w:kern w:val="0"/>
          <w:position w:val="-3"/>
          <w:sz w:val="28"/>
        </w:rPr>
        <w:t>价明细表</w:t>
      </w:r>
    </w:p>
    <w:p w14:paraId="3CAB3DC0">
      <w:pPr>
        <w:adjustRightInd w:val="0"/>
        <w:snapToGrid w:val="0"/>
        <w:spacing w:line="360" w:lineRule="auto"/>
        <w:rPr>
          <w:rFonts w:hint="eastAsia" w:ascii="宋体" w:hAnsi="宋体" w:eastAsia="宋体"/>
        </w:rPr>
      </w:pPr>
      <w:r>
        <w:rPr>
          <w:rFonts w:hint="eastAsia" w:ascii="宋体" w:hAnsi="宋体" w:eastAsia="宋体"/>
        </w:rPr>
        <w:t>采购代理编号：</w:t>
      </w:r>
      <w:r>
        <w:rPr>
          <w:rFonts w:hint="eastAsia" w:ascii="宋体" w:hAnsi="宋体" w:eastAsia="宋体"/>
          <w:u w:val="single"/>
        </w:rPr>
        <w:t xml:space="preserve">           </w:t>
      </w:r>
      <w:r>
        <w:rPr>
          <w:rFonts w:hint="eastAsia" w:ascii="宋体" w:hAnsi="宋体" w:eastAsia="宋体"/>
        </w:rPr>
        <w:t xml:space="preserve">                       项目名称：</w:t>
      </w:r>
      <w:r>
        <w:rPr>
          <w:rFonts w:hint="eastAsia" w:ascii="宋体" w:hAnsi="宋体" w:eastAsia="宋体"/>
          <w:u w:val="single"/>
        </w:rPr>
        <w:t xml:space="preserve">                </w:t>
      </w:r>
      <w:r>
        <w:rPr>
          <w:rFonts w:hint="eastAsia" w:ascii="宋体" w:hAnsi="宋体" w:eastAsia="宋体"/>
        </w:rPr>
        <w:t xml:space="preserve"> </w:t>
      </w:r>
    </w:p>
    <w:tbl>
      <w:tblPr>
        <w:tblStyle w:val="45"/>
        <w:tblW w:w="8956" w:type="dxa"/>
        <w:tblInd w:w="0" w:type="dxa"/>
        <w:tblLayout w:type="fixed"/>
        <w:tblCellMar>
          <w:top w:w="0" w:type="dxa"/>
          <w:left w:w="0" w:type="dxa"/>
          <w:bottom w:w="0" w:type="dxa"/>
          <w:right w:w="0" w:type="dxa"/>
        </w:tblCellMar>
      </w:tblPr>
      <w:tblGrid>
        <w:gridCol w:w="336"/>
        <w:gridCol w:w="1396"/>
        <w:gridCol w:w="2324"/>
        <w:gridCol w:w="652"/>
        <w:gridCol w:w="718"/>
        <w:gridCol w:w="765"/>
        <w:gridCol w:w="918"/>
        <w:gridCol w:w="925"/>
        <w:gridCol w:w="922"/>
      </w:tblGrid>
      <w:tr w14:paraId="4F1596F0">
        <w:tblPrEx>
          <w:tblCellMar>
            <w:top w:w="0" w:type="dxa"/>
            <w:left w:w="0" w:type="dxa"/>
            <w:bottom w:w="0" w:type="dxa"/>
            <w:right w:w="0" w:type="dxa"/>
          </w:tblCellMar>
        </w:tblPrEx>
        <w:trPr>
          <w:trHeight w:val="782" w:hRule="exact"/>
        </w:trPr>
        <w:tc>
          <w:tcPr>
            <w:tcW w:w="1732" w:type="dxa"/>
            <w:gridSpan w:val="2"/>
            <w:vMerge w:val="restart"/>
            <w:tcBorders>
              <w:top w:val="double" w:color="auto" w:sz="4" w:space="0"/>
              <w:left w:val="double" w:color="auto" w:sz="4" w:space="0"/>
              <w:right w:val="single" w:color="auto" w:sz="6" w:space="0"/>
            </w:tcBorders>
            <w:noWrap w:val="0"/>
            <w:vAlign w:val="center"/>
          </w:tcPr>
          <w:p w14:paraId="0EFDC4F8">
            <w:pPr>
              <w:autoSpaceDE w:val="0"/>
              <w:autoSpaceDN w:val="0"/>
              <w:adjustRightInd w:val="0"/>
              <w:snapToGrid w:val="0"/>
              <w:spacing w:line="360" w:lineRule="auto"/>
              <w:ind w:right="-20"/>
              <w:jc w:val="center"/>
              <w:rPr>
                <w:rFonts w:ascii="宋体" w:hAnsi="宋体" w:eastAsia="宋体" w:cs="微软雅黑"/>
                <w:color w:val="auto"/>
                <w:kern w:val="0"/>
                <w:position w:val="-1"/>
                <w:sz w:val="21"/>
                <w:szCs w:val="21"/>
                <w:highlight w:val="none"/>
              </w:rPr>
            </w:pPr>
            <w:r>
              <w:rPr>
                <w:rFonts w:hint="eastAsia" w:ascii="宋体" w:hAnsi="宋体" w:eastAsia="宋体" w:cs="微软雅黑"/>
                <w:color w:val="auto"/>
                <w:kern w:val="0"/>
                <w:position w:val="-1"/>
                <w:sz w:val="21"/>
                <w:szCs w:val="21"/>
                <w:highlight w:val="none"/>
              </w:rPr>
              <w:t>标的名称</w:t>
            </w:r>
          </w:p>
        </w:tc>
        <w:tc>
          <w:tcPr>
            <w:tcW w:w="2324" w:type="dxa"/>
            <w:vMerge w:val="restart"/>
            <w:tcBorders>
              <w:top w:val="double" w:color="auto" w:sz="4" w:space="0"/>
              <w:left w:val="single" w:color="auto" w:sz="6" w:space="0"/>
              <w:bottom w:val="single" w:color="auto" w:sz="6" w:space="0"/>
              <w:right w:val="single" w:color="auto" w:sz="4" w:space="0"/>
            </w:tcBorders>
            <w:noWrap w:val="0"/>
            <w:vAlign w:val="center"/>
          </w:tcPr>
          <w:p w14:paraId="16A43A4F">
            <w:pPr>
              <w:autoSpaceDE w:val="0"/>
              <w:autoSpaceDN w:val="0"/>
              <w:adjustRightInd w:val="0"/>
              <w:snapToGrid w:val="0"/>
              <w:spacing w:line="360" w:lineRule="auto"/>
              <w:ind w:right="-20"/>
              <w:jc w:val="center"/>
              <w:rPr>
                <w:rFonts w:hint="default" w:ascii="宋体" w:hAnsi="宋体" w:eastAsia="宋体"/>
                <w:color w:val="auto"/>
                <w:sz w:val="21"/>
                <w:szCs w:val="21"/>
                <w:highlight w:val="none"/>
                <w:lang w:val="en-US" w:eastAsia="zh-CN"/>
              </w:rPr>
            </w:pPr>
            <w:r>
              <w:rPr>
                <w:rFonts w:hint="eastAsia" w:ascii="宋体" w:hAnsi="宋体"/>
                <w:color w:val="auto"/>
                <w:sz w:val="21"/>
                <w:szCs w:val="21"/>
                <w:highlight w:val="none"/>
                <w:lang w:val="en-US" w:eastAsia="zh-CN"/>
              </w:rPr>
              <w:t>人员特征</w:t>
            </w:r>
          </w:p>
        </w:tc>
        <w:tc>
          <w:tcPr>
            <w:tcW w:w="652" w:type="dxa"/>
            <w:vMerge w:val="restart"/>
            <w:tcBorders>
              <w:top w:val="double" w:color="auto" w:sz="4" w:space="0"/>
              <w:left w:val="single" w:color="auto" w:sz="4" w:space="0"/>
              <w:bottom w:val="single" w:color="auto" w:sz="6" w:space="0"/>
              <w:right w:val="single" w:color="auto" w:sz="6" w:space="0"/>
            </w:tcBorders>
            <w:noWrap w:val="0"/>
            <w:vAlign w:val="center"/>
          </w:tcPr>
          <w:p w14:paraId="098CC9FA">
            <w:pPr>
              <w:autoSpaceDE w:val="0"/>
              <w:autoSpaceDN w:val="0"/>
              <w:adjustRightInd w:val="0"/>
              <w:snapToGrid w:val="0"/>
              <w:spacing w:line="360" w:lineRule="auto"/>
              <w:ind w:right="-20"/>
              <w:jc w:val="center"/>
              <w:rPr>
                <w:rFonts w:hint="eastAsia" w:ascii="宋体" w:hAnsi="宋体" w:eastAsia="宋体"/>
                <w:color w:val="auto"/>
                <w:sz w:val="21"/>
                <w:szCs w:val="21"/>
                <w:highlight w:val="none"/>
                <w:lang w:eastAsia="zh-CN"/>
              </w:rPr>
            </w:pPr>
            <w:r>
              <w:rPr>
                <w:rFonts w:hint="eastAsia" w:ascii="宋体" w:hAnsi="宋体"/>
                <w:color w:val="auto"/>
                <w:sz w:val="21"/>
                <w:szCs w:val="21"/>
                <w:highlight w:val="none"/>
                <w:lang w:val="en-US" w:eastAsia="zh-CN"/>
              </w:rPr>
              <w:t>单位</w:t>
            </w:r>
          </w:p>
        </w:tc>
        <w:tc>
          <w:tcPr>
            <w:tcW w:w="718" w:type="dxa"/>
            <w:vMerge w:val="restart"/>
            <w:tcBorders>
              <w:top w:val="double" w:color="auto" w:sz="4" w:space="0"/>
              <w:left w:val="single" w:color="auto" w:sz="6" w:space="0"/>
              <w:right w:val="single" w:color="auto" w:sz="4" w:space="0"/>
            </w:tcBorders>
            <w:noWrap w:val="0"/>
            <w:vAlign w:val="center"/>
          </w:tcPr>
          <w:p w14:paraId="6FD27A64">
            <w:pPr>
              <w:autoSpaceDE w:val="0"/>
              <w:autoSpaceDN w:val="0"/>
              <w:adjustRightInd w:val="0"/>
              <w:snapToGrid w:val="0"/>
              <w:spacing w:line="360" w:lineRule="auto"/>
              <w:ind w:right="-20"/>
              <w:jc w:val="center"/>
              <w:rPr>
                <w:rFonts w:ascii="宋体" w:hAnsi="宋体" w:eastAsia="宋体" w:cs="微软雅黑"/>
                <w:color w:val="auto"/>
                <w:kern w:val="0"/>
                <w:position w:val="-1"/>
                <w:sz w:val="21"/>
                <w:szCs w:val="21"/>
                <w:highlight w:val="none"/>
              </w:rPr>
            </w:pPr>
            <w:r>
              <w:rPr>
                <w:rFonts w:hint="eastAsia" w:ascii="宋体" w:hAnsi="宋体" w:eastAsia="宋体"/>
                <w:color w:val="auto"/>
                <w:kern w:val="0"/>
                <w:sz w:val="21"/>
                <w:szCs w:val="21"/>
                <w:highlight w:val="none"/>
              </w:rPr>
              <w:t>数量</w:t>
            </w:r>
          </w:p>
        </w:tc>
        <w:tc>
          <w:tcPr>
            <w:tcW w:w="765" w:type="dxa"/>
            <w:vMerge w:val="restart"/>
            <w:tcBorders>
              <w:top w:val="double" w:color="auto" w:sz="4" w:space="0"/>
              <w:left w:val="single" w:color="auto" w:sz="4" w:space="0"/>
              <w:right w:val="single" w:color="auto" w:sz="4" w:space="0"/>
            </w:tcBorders>
            <w:noWrap w:val="0"/>
            <w:vAlign w:val="center"/>
          </w:tcPr>
          <w:p w14:paraId="28A33BDE">
            <w:pPr>
              <w:autoSpaceDE w:val="0"/>
              <w:autoSpaceDN w:val="0"/>
              <w:adjustRightInd w:val="0"/>
              <w:snapToGrid w:val="0"/>
              <w:spacing w:line="360" w:lineRule="auto"/>
              <w:ind w:right="-20"/>
              <w:jc w:val="center"/>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服务时间</w:t>
            </w:r>
          </w:p>
        </w:tc>
        <w:tc>
          <w:tcPr>
            <w:tcW w:w="1843" w:type="dxa"/>
            <w:gridSpan w:val="2"/>
            <w:tcBorders>
              <w:top w:val="double" w:color="auto" w:sz="4" w:space="0"/>
              <w:left w:val="single" w:color="auto" w:sz="4" w:space="0"/>
              <w:bottom w:val="single" w:color="auto" w:sz="6" w:space="0"/>
              <w:right w:val="single" w:color="auto" w:sz="6" w:space="0"/>
            </w:tcBorders>
            <w:noWrap w:val="0"/>
            <w:vAlign w:val="center"/>
          </w:tcPr>
          <w:p w14:paraId="7B93F45E">
            <w:pPr>
              <w:autoSpaceDE w:val="0"/>
              <w:autoSpaceDN w:val="0"/>
              <w:adjustRightInd w:val="0"/>
              <w:snapToGrid w:val="0"/>
              <w:spacing w:line="360" w:lineRule="auto"/>
              <w:ind w:right="-20"/>
              <w:jc w:val="center"/>
              <w:rPr>
                <w:rFonts w:ascii="宋体" w:hAnsi="宋体" w:eastAsia="宋体" w:cs="微软雅黑"/>
                <w:color w:val="auto"/>
                <w:kern w:val="0"/>
                <w:position w:val="-1"/>
                <w:sz w:val="21"/>
                <w:szCs w:val="21"/>
                <w:highlight w:val="none"/>
              </w:rPr>
            </w:pPr>
            <w:r>
              <w:rPr>
                <w:rFonts w:hint="eastAsia" w:ascii="宋体" w:hAnsi="宋体" w:eastAsia="宋体" w:cs="微软雅黑"/>
                <w:color w:val="auto"/>
                <w:kern w:val="0"/>
                <w:position w:val="-1"/>
                <w:sz w:val="21"/>
                <w:szCs w:val="21"/>
                <w:highlight w:val="none"/>
              </w:rPr>
              <w:t>金额（元）</w:t>
            </w:r>
          </w:p>
        </w:tc>
        <w:tc>
          <w:tcPr>
            <w:tcW w:w="922" w:type="dxa"/>
            <w:vMerge w:val="restart"/>
            <w:tcBorders>
              <w:top w:val="double" w:color="auto" w:sz="4" w:space="0"/>
              <w:left w:val="single" w:color="auto" w:sz="6" w:space="0"/>
              <w:bottom w:val="single" w:color="auto" w:sz="6" w:space="0"/>
              <w:right w:val="double" w:color="auto" w:sz="4" w:space="0"/>
            </w:tcBorders>
            <w:noWrap w:val="0"/>
            <w:vAlign w:val="center"/>
          </w:tcPr>
          <w:p w14:paraId="38CA8C3B">
            <w:pPr>
              <w:autoSpaceDE w:val="0"/>
              <w:autoSpaceDN w:val="0"/>
              <w:adjustRightInd w:val="0"/>
              <w:snapToGrid w:val="0"/>
              <w:spacing w:line="360" w:lineRule="auto"/>
              <w:ind w:right="-20"/>
              <w:jc w:val="center"/>
              <w:rPr>
                <w:rFonts w:ascii="宋体" w:hAnsi="宋体" w:eastAsia="宋体" w:cs="微软雅黑"/>
                <w:color w:val="auto"/>
                <w:kern w:val="0"/>
                <w:position w:val="-1"/>
                <w:sz w:val="21"/>
                <w:szCs w:val="21"/>
                <w:highlight w:val="none"/>
              </w:rPr>
            </w:pPr>
            <w:r>
              <w:rPr>
                <w:rFonts w:hint="eastAsia" w:ascii="宋体" w:hAnsi="宋体" w:eastAsia="宋体" w:cs="微软雅黑"/>
                <w:color w:val="auto"/>
                <w:kern w:val="0"/>
                <w:position w:val="-1"/>
                <w:sz w:val="21"/>
                <w:szCs w:val="21"/>
                <w:highlight w:val="none"/>
              </w:rPr>
              <w:t>备注</w:t>
            </w:r>
          </w:p>
        </w:tc>
      </w:tr>
      <w:tr w14:paraId="648067B6">
        <w:tblPrEx>
          <w:tblCellMar>
            <w:top w:w="0" w:type="dxa"/>
            <w:left w:w="0" w:type="dxa"/>
            <w:bottom w:w="0" w:type="dxa"/>
            <w:right w:w="0" w:type="dxa"/>
          </w:tblCellMar>
        </w:tblPrEx>
        <w:trPr>
          <w:trHeight w:val="782" w:hRule="exact"/>
        </w:trPr>
        <w:tc>
          <w:tcPr>
            <w:tcW w:w="1732" w:type="dxa"/>
            <w:gridSpan w:val="2"/>
            <w:vMerge w:val="continue"/>
            <w:tcBorders>
              <w:left w:val="double" w:color="auto" w:sz="4" w:space="0"/>
              <w:bottom w:val="single" w:color="auto" w:sz="6" w:space="0"/>
              <w:right w:val="single" w:color="auto" w:sz="6" w:space="0"/>
            </w:tcBorders>
            <w:noWrap w:val="0"/>
            <w:vAlign w:val="top"/>
          </w:tcPr>
          <w:p w14:paraId="3A500AED">
            <w:pPr>
              <w:autoSpaceDE w:val="0"/>
              <w:autoSpaceDN w:val="0"/>
              <w:adjustRightInd w:val="0"/>
              <w:snapToGrid w:val="0"/>
              <w:spacing w:line="360" w:lineRule="auto"/>
              <w:ind w:left="352" w:right="-20"/>
              <w:jc w:val="left"/>
              <w:rPr>
                <w:rFonts w:ascii="宋体" w:hAnsi="宋体" w:eastAsia="宋体"/>
                <w:color w:val="auto"/>
                <w:kern w:val="0"/>
                <w:sz w:val="21"/>
                <w:szCs w:val="21"/>
                <w:highlight w:val="none"/>
              </w:rPr>
            </w:pPr>
          </w:p>
        </w:tc>
        <w:tc>
          <w:tcPr>
            <w:tcW w:w="2324" w:type="dxa"/>
            <w:vMerge w:val="continue"/>
            <w:tcBorders>
              <w:top w:val="single" w:color="auto" w:sz="6" w:space="0"/>
              <w:left w:val="single" w:color="auto" w:sz="6" w:space="0"/>
              <w:bottom w:val="single" w:color="auto" w:sz="6" w:space="0"/>
              <w:right w:val="single" w:color="auto" w:sz="4" w:space="0"/>
            </w:tcBorders>
            <w:noWrap w:val="0"/>
            <w:vAlign w:val="center"/>
          </w:tcPr>
          <w:p w14:paraId="053ADE6D">
            <w:pPr>
              <w:autoSpaceDE w:val="0"/>
              <w:autoSpaceDN w:val="0"/>
              <w:adjustRightInd w:val="0"/>
              <w:snapToGrid w:val="0"/>
              <w:spacing w:line="360" w:lineRule="auto"/>
              <w:ind w:right="-20"/>
              <w:jc w:val="center"/>
              <w:rPr>
                <w:rFonts w:ascii="宋体" w:hAnsi="宋体" w:eastAsia="宋体"/>
                <w:color w:val="auto"/>
                <w:kern w:val="0"/>
                <w:sz w:val="21"/>
                <w:szCs w:val="21"/>
                <w:highlight w:val="none"/>
              </w:rPr>
            </w:pPr>
          </w:p>
        </w:tc>
        <w:tc>
          <w:tcPr>
            <w:tcW w:w="652" w:type="dxa"/>
            <w:vMerge w:val="continue"/>
            <w:tcBorders>
              <w:top w:val="single" w:color="auto" w:sz="6" w:space="0"/>
              <w:left w:val="single" w:color="auto" w:sz="4" w:space="0"/>
              <w:bottom w:val="single" w:color="auto" w:sz="6" w:space="0"/>
              <w:right w:val="single" w:color="auto" w:sz="6" w:space="0"/>
            </w:tcBorders>
            <w:noWrap w:val="0"/>
            <w:vAlign w:val="center"/>
          </w:tcPr>
          <w:p w14:paraId="41F58E27">
            <w:pPr>
              <w:autoSpaceDE w:val="0"/>
              <w:autoSpaceDN w:val="0"/>
              <w:adjustRightInd w:val="0"/>
              <w:snapToGrid w:val="0"/>
              <w:spacing w:line="360" w:lineRule="auto"/>
              <w:ind w:right="-20"/>
              <w:jc w:val="center"/>
              <w:rPr>
                <w:rFonts w:ascii="宋体" w:hAnsi="宋体" w:eastAsia="宋体"/>
                <w:color w:val="auto"/>
                <w:kern w:val="0"/>
                <w:sz w:val="21"/>
                <w:szCs w:val="21"/>
                <w:highlight w:val="none"/>
              </w:rPr>
            </w:pPr>
          </w:p>
        </w:tc>
        <w:tc>
          <w:tcPr>
            <w:tcW w:w="718" w:type="dxa"/>
            <w:vMerge w:val="continue"/>
            <w:tcBorders>
              <w:left w:val="single" w:color="auto" w:sz="6" w:space="0"/>
              <w:bottom w:val="single" w:color="auto" w:sz="6" w:space="0"/>
              <w:right w:val="single" w:color="auto" w:sz="4" w:space="0"/>
            </w:tcBorders>
            <w:noWrap w:val="0"/>
            <w:vAlign w:val="center"/>
          </w:tcPr>
          <w:p w14:paraId="7BAC7C60">
            <w:pPr>
              <w:autoSpaceDE w:val="0"/>
              <w:autoSpaceDN w:val="0"/>
              <w:adjustRightInd w:val="0"/>
              <w:snapToGrid w:val="0"/>
              <w:spacing w:line="360" w:lineRule="auto"/>
              <w:ind w:right="-20"/>
              <w:jc w:val="center"/>
              <w:rPr>
                <w:rFonts w:ascii="宋体" w:hAnsi="宋体" w:eastAsia="宋体"/>
                <w:color w:val="auto"/>
                <w:kern w:val="0"/>
                <w:sz w:val="21"/>
                <w:szCs w:val="21"/>
                <w:highlight w:val="none"/>
              </w:rPr>
            </w:pPr>
          </w:p>
        </w:tc>
        <w:tc>
          <w:tcPr>
            <w:tcW w:w="765" w:type="dxa"/>
            <w:vMerge w:val="continue"/>
            <w:tcBorders>
              <w:left w:val="single" w:color="auto" w:sz="4" w:space="0"/>
              <w:bottom w:val="single" w:color="auto" w:sz="6" w:space="0"/>
              <w:right w:val="single" w:color="auto" w:sz="4" w:space="0"/>
            </w:tcBorders>
            <w:noWrap w:val="0"/>
            <w:vAlign w:val="center"/>
          </w:tcPr>
          <w:p w14:paraId="60816567">
            <w:pPr>
              <w:autoSpaceDE w:val="0"/>
              <w:autoSpaceDN w:val="0"/>
              <w:adjustRightInd w:val="0"/>
              <w:snapToGrid w:val="0"/>
              <w:spacing w:line="360" w:lineRule="auto"/>
              <w:ind w:right="-20"/>
              <w:jc w:val="center"/>
              <w:rPr>
                <w:rFonts w:ascii="宋体" w:hAnsi="宋体" w:eastAsia="宋体"/>
                <w:color w:val="auto"/>
                <w:kern w:val="0"/>
                <w:sz w:val="21"/>
                <w:szCs w:val="21"/>
                <w:highlight w:val="none"/>
              </w:rPr>
            </w:pPr>
          </w:p>
        </w:tc>
        <w:tc>
          <w:tcPr>
            <w:tcW w:w="918" w:type="dxa"/>
            <w:tcBorders>
              <w:top w:val="single" w:color="auto" w:sz="6" w:space="0"/>
              <w:left w:val="single" w:color="auto" w:sz="4" w:space="0"/>
              <w:bottom w:val="single" w:color="auto" w:sz="6" w:space="0"/>
              <w:right w:val="single" w:color="auto" w:sz="4" w:space="0"/>
            </w:tcBorders>
            <w:noWrap w:val="0"/>
            <w:vAlign w:val="center"/>
          </w:tcPr>
          <w:p w14:paraId="3CF3CD16">
            <w:pPr>
              <w:autoSpaceDE w:val="0"/>
              <w:autoSpaceDN w:val="0"/>
              <w:adjustRightInd w:val="0"/>
              <w:snapToGrid w:val="0"/>
              <w:spacing w:line="360" w:lineRule="auto"/>
              <w:ind w:right="-20"/>
              <w:jc w:val="center"/>
              <w:rPr>
                <w:rFonts w:ascii="宋体" w:hAnsi="宋体" w:eastAsia="宋体"/>
                <w:color w:val="auto"/>
                <w:kern w:val="0"/>
                <w:sz w:val="21"/>
                <w:szCs w:val="21"/>
                <w:highlight w:val="none"/>
              </w:rPr>
            </w:pPr>
            <w:r>
              <w:rPr>
                <w:rFonts w:hint="eastAsia" w:ascii="宋体" w:hAnsi="宋体" w:eastAsia="宋体" w:cs="微软雅黑"/>
                <w:color w:val="auto"/>
                <w:kern w:val="0"/>
                <w:position w:val="-1"/>
                <w:sz w:val="21"/>
                <w:szCs w:val="21"/>
                <w:highlight w:val="none"/>
              </w:rPr>
              <w:t>单价</w:t>
            </w:r>
          </w:p>
        </w:tc>
        <w:tc>
          <w:tcPr>
            <w:tcW w:w="925" w:type="dxa"/>
            <w:tcBorders>
              <w:top w:val="single" w:color="auto" w:sz="6" w:space="0"/>
              <w:left w:val="single" w:color="auto" w:sz="4" w:space="0"/>
              <w:bottom w:val="single" w:color="auto" w:sz="6" w:space="0"/>
              <w:right w:val="single" w:color="auto" w:sz="6" w:space="0"/>
            </w:tcBorders>
            <w:noWrap w:val="0"/>
            <w:vAlign w:val="center"/>
          </w:tcPr>
          <w:p w14:paraId="59E74EAA">
            <w:pPr>
              <w:autoSpaceDE w:val="0"/>
              <w:autoSpaceDN w:val="0"/>
              <w:adjustRightInd w:val="0"/>
              <w:snapToGrid w:val="0"/>
              <w:spacing w:line="360" w:lineRule="auto"/>
              <w:ind w:left="70" w:right="-20"/>
              <w:jc w:val="center"/>
              <w:rPr>
                <w:rFonts w:ascii="宋体" w:hAnsi="宋体" w:eastAsia="宋体"/>
                <w:color w:val="auto"/>
                <w:kern w:val="0"/>
                <w:sz w:val="21"/>
                <w:szCs w:val="21"/>
                <w:highlight w:val="none"/>
              </w:rPr>
            </w:pPr>
            <w:r>
              <w:rPr>
                <w:rFonts w:hint="eastAsia" w:ascii="宋体" w:hAnsi="宋体" w:eastAsia="宋体"/>
                <w:color w:val="auto"/>
                <w:kern w:val="0"/>
                <w:sz w:val="21"/>
                <w:szCs w:val="21"/>
                <w:highlight w:val="none"/>
              </w:rPr>
              <w:t>小计</w:t>
            </w:r>
          </w:p>
        </w:tc>
        <w:tc>
          <w:tcPr>
            <w:tcW w:w="922" w:type="dxa"/>
            <w:vMerge w:val="continue"/>
            <w:tcBorders>
              <w:top w:val="single" w:color="auto" w:sz="6" w:space="0"/>
              <w:left w:val="single" w:color="auto" w:sz="6" w:space="0"/>
              <w:bottom w:val="single" w:color="auto" w:sz="6" w:space="0"/>
              <w:right w:val="double" w:color="auto" w:sz="4" w:space="0"/>
            </w:tcBorders>
            <w:noWrap w:val="0"/>
            <w:vAlign w:val="top"/>
          </w:tcPr>
          <w:p w14:paraId="1AB60E3F">
            <w:pPr>
              <w:autoSpaceDE w:val="0"/>
              <w:autoSpaceDN w:val="0"/>
              <w:adjustRightInd w:val="0"/>
              <w:snapToGrid w:val="0"/>
              <w:spacing w:line="360" w:lineRule="auto"/>
              <w:ind w:left="422" w:right="-20"/>
              <w:jc w:val="left"/>
              <w:rPr>
                <w:rFonts w:ascii="宋体" w:hAnsi="宋体" w:eastAsia="宋体"/>
                <w:color w:val="auto"/>
                <w:kern w:val="0"/>
                <w:sz w:val="21"/>
                <w:szCs w:val="21"/>
                <w:highlight w:val="none"/>
              </w:rPr>
            </w:pPr>
          </w:p>
        </w:tc>
      </w:tr>
      <w:tr w14:paraId="5304CBCE">
        <w:tblPrEx>
          <w:tblCellMar>
            <w:top w:w="0" w:type="dxa"/>
            <w:left w:w="0" w:type="dxa"/>
            <w:bottom w:w="0" w:type="dxa"/>
            <w:right w:w="0" w:type="dxa"/>
          </w:tblCellMar>
        </w:tblPrEx>
        <w:trPr>
          <w:trHeight w:val="712" w:hRule="exact"/>
        </w:trPr>
        <w:tc>
          <w:tcPr>
            <w:tcW w:w="336" w:type="dxa"/>
            <w:tcBorders>
              <w:top w:val="single" w:color="auto" w:sz="6" w:space="0"/>
              <w:left w:val="double" w:color="auto" w:sz="4" w:space="0"/>
              <w:bottom w:val="single" w:color="auto" w:sz="6" w:space="0"/>
              <w:right w:val="single" w:color="auto" w:sz="6" w:space="0"/>
            </w:tcBorders>
            <w:noWrap w:val="0"/>
            <w:vAlign w:val="center"/>
          </w:tcPr>
          <w:p w14:paraId="65E9D0F9">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rPr>
            </w:pPr>
          </w:p>
        </w:tc>
        <w:tc>
          <w:tcPr>
            <w:tcW w:w="1396" w:type="dxa"/>
            <w:tcBorders>
              <w:top w:val="single" w:color="auto" w:sz="6" w:space="0"/>
              <w:left w:val="single" w:color="auto" w:sz="6" w:space="0"/>
              <w:bottom w:val="single" w:color="auto" w:sz="6" w:space="0"/>
              <w:right w:val="single" w:color="auto" w:sz="6" w:space="0"/>
            </w:tcBorders>
            <w:noWrap w:val="0"/>
            <w:vAlign w:val="center"/>
          </w:tcPr>
          <w:p w14:paraId="6137A34A">
            <w:pPr>
              <w:autoSpaceDE w:val="0"/>
              <w:autoSpaceDN w:val="0"/>
              <w:adjustRightInd w:val="0"/>
              <w:snapToGrid w:val="0"/>
              <w:spacing w:line="360" w:lineRule="auto"/>
              <w:ind w:right="-20"/>
              <w:jc w:val="center"/>
              <w:rPr>
                <w:rFonts w:hint="default" w:ascii="宋体" w:hAnsi="宋体" w:eastAsia="宋体" w:cs="微软雅黑"/>
                <w:color w:val="auto"/>
                <w:kern w:val="0"/>
                <w:position w:val="-1"/>
                <w:sz w:val="21"/>
                <w:szCs w:val="21"/>
                <w:highlight w:val="none"/>
                <w:lang w:val="en-US" w:eastAsia="zh-CN"/>
              </w:rPr>
            </w:pPr>
            <w:r>
              <w:rPr>
                <w:rFonts w:hint="eastAsia" w:ascii="宋体" w:hAnsi="宋体" w:cs="微软雅黑"/>
                <w:color w:val="auto"/>
                <w:kern w:val="0"/>
                <w:position w:val="-1"/>
                <w:sz w:val="21"/>
                <w:szCs w:val="21"/>
                <w:highlight w:val="none"/>
                <w:lang w:val="en-US" w:eastAsia="zh-CN"/>
              </w:rPr>
              <w:t>管理员</w:t>
            </w:r>
          </w:p>
        </w:tc>
        <w:tc>
          <w:tcPr>
            <w:tcW w:w="2324" w:type="dxa"/>
            <w:tcBorders>
              <w:top w:val="single" w:color="auto" w:sz="6" w:space="0"/>
              <w:left w:val="single" w:color="auto" w:sz="6" w:space="0"/>
              <w:bottom w:val="single" w:color="auto" w:sz="6" w:space="0"/>
              <w:right w:val="single" w:color="auto" w:sz="4" w:space="0"/>
            </w:tcBorders>
            <w:noWrap w:val="0"/>
            <w:vAlign w:val="center"/>
          </w:tcPr>
          <w:p w14:paraId="3C892AB7">
            <w:pPr>
              <w:autoSpaceDE w:val="0"/>
              <w:autoSpaceDN w:val="0"/>
              <w:adjustRightInd w:val="0"/>
              <w:snapToGrid w:val="0"/>
              <w:spacing w:line="360" w:lineRule="auto"/>
              <w:jc w:val="left"/>
              <w:rPr>
                <w:rFonts w:hint="default" w:ascii="宋体" w:hAnsi="宋体" w:eastAsia="宋体"/>
                <w:color w:val="auto"/>
                <w:kern w:val="0"/>
                <w:sz w:val="21"/>
                <w:szCs w:val="21"/>
                <w:highlight w:val="none"/>
                <w:lang w:val="en-US" w:eastAsia="zh-CN"/>
              </w:rPr>
            </w:pPr>
          </w:p>
        </w:tc>
        <w:tc>
          <w:tcPr>
            <w:tcW w:w="652" w:type="dxa"/>
            <w:tcBorders>
              <w:top w:val="single" w:color="auto" w:sz="6" w:space="0"/>
              <w:left w:val="single" w:color="auto" w:sz="4" w:space="0"/>
              <w:bottom w:val="single" w:color="auto" w:sz="6" w:space="0"/>
              <w:right w:val="single" w:color="auto" w:sz="6" w:space="0"/>
            </w:tcBorders>
            <w:noWrap w:val="0"/>
            <w:vAlign w:val="center"/>
          </w:tcPr>
          <w:p w14:paraId="6E141A06">
            <w:pPr>
              <w:autoSpaceDE w:val="0"/>
              <w:autoSpaceDN w:val="0"/>
              <w:adjustRightInd w:val="0"/>
              <w:snapToGrid w:val="0"/>
              <w:spacing w:line="360" w:lineRule="auto"/>
              <w:jc w:val="center"/>
              <w:rPr>
                <w:rFonts w:hint="default" w:ascii="宋体" w:hAnsi="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人</w:t>
            </w:r>
          </w:p>
        </w:tc>
        <w:tc>
          <w:tcPr>
            <w:tcW w:w="718" w:type="dxa"/>
            <w:tcBorders>
              <w:top w:val="single" w:color="auto" w:sz="6" w:space="0"/>
              <w:left w:val="single" w:color="auto" w:sz="6" w:space="0"/>
              <w:bottom w:val="single" w:color="auto" w:sz="6" w:space="0"/>
              <w:right w:val="single" w:color="auto" w:sz="4" w:space="0"/>
            </w:tcBorders>
            <w:noWrap w:val="0"/>
            <w:vAlign w:val="center"/>
          </w:tcPr>
          <w:p w14:paraId="3BCE1076">
            <w:pPr>
              <w:autoSpaceDE w:val="0"/>
              <w:autoSpaceDN w:val="0"/>
              <w:adjustRightInd w:val="0"/>
              <w:snapToGrid w:val="0"/>
              <w:spacing w:line="360" w:lineRule="auto"/>
              <w:jc w:val="center"/>
              <w:rPr>
                <w:rFonts w:hint="default" w:ascii="宋体" w:hAnsi="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1</w:t>
            </w:r>
          </w:p>
        </w:tc>
        <w:tc>
          <w:tcPr>
            <w:tcW w:w="765" w:type="dxa"/>
            <w:tcBorders>
              <w:top w:val="single" w:color="auto" w:sz="6" w:space="0"/>
              <w:left w:val="single" w:color="auto" w:sz="4" w:space="0"/>
              <w:right w:val="single" w:color="auto" w:sz="4" w:space="0"/>
            </w:tcBorders>
            <w:noWrap w:val="0"/>
            <w:vAlign w:val="top"/>
          </w:tcPr>
          <w:p w14:paraId="701A6A3D">
            <w:pPr>
              <w:autoSpaceDE w:val="0"/>
              <w:autoSpaceDN w:val="0"/>
              <w:adjustRightInd w:val="0"/>
              <w:snapToGrid w:val="0"/>
              <w:spacing w:line="360" w:lineRule="auto"/>
              <w:jc w:val="left"/>
              <w:rPr>
                <w:rFonts w:hint="eastAsia" w:ascii="宋体" w:hAnsi="宋体"/>
                <w:color w:val="auto"/>
                <w:kern w:val="0"/>
                <w:sz w:val="21"/>
                <w:szCs w:val="21"/>
                <w:highlight w:val="none"/>
                <w:lang w:val="en-US" w:eastAsia="zh-CN"/>
              </w:rPr>
            </w:pPr>
          </w:p>
        </w:tc>
        <w:tc>
          <w:tcPr>
            <w:tcW w:w="918" w:type="dxa"/>
            <w:tcBorders>
              <w:top w:val="single" w:color="auto" w:sz="6" w:space="0"/>
              <w:left w:val="single" w:color="auto" w:sz="6" w:space="0"/>
              <w:bottom w:val="single" w:color="auto" w:sz="6" w:space="0"/>
              <w:right w:val="single" w:color="auto" w:sz="6" w:space="0"/>
            </w:tcBorders>
            <w:noWrap w:val="0"/>
            <w:vAlign w:val="top"/>
          </w:tcPr>
          <w:p w14:paraId="1B5F9EA0">
            <w:pPr>
              <w:autoSpaceDE w:val="0"/>
              <w:autoSpaceDN w:val="0"/>
              <w:adjustRightInd w:val="0"/>
              <w:snapToGrid w:val="0"/>
              <w:spacing w:line="360" w:lineRule="auto"/>
              <w:jc w:val="center"/>
              <w:rPr>
                <w:rFonts w:ascii="宋体" w:hAnsi="宋体" w:eastAsia="宋体"/>
                <w:color w:val="auto"/>
                <w:kern w:val="0"/>
                <w:sz w:val="21"/>
                <w:szCs w:val="21"/>
                <w:highlight w:val="none"/>
              </w:rPr>
            </w:pPr>
          </w:p>
        </w:tc>
        <w:tc>
          <w:tcPr>
            <w:tcW w:w="925" w:type="dxa"/>
            <w:tcBorders>
              <w:top w:val="single" w:color="auto" w:sz="6" w:space="0"/>
              <w:left w:val="single" w:color="auto" w:sz="6" w:space="0"/>
              <w:bottom w:val="single" w:color="auto" w:sz="6" w:space="0"/>
              <w:right w:val="single" w:color="auto" w:sz="6" w:space="0"/>
            </w:tcBorders>
            <w:noWrap w:val="0"/>
            <w:vAlign w:val="top"/>
          </w:tcPr>
          <w:p w14:paraId="5D77AD5C">
            <w:pPr>
              <w:autoSpaceDE w:val="0"/>
              <w:autoSpaceDN w:val="0"/>
              <w:adjustRightInd w:val="0"/>
              <w:snapToGrid w:val="0"/>
              <w:spacing w:line="360" w:lineRule="auto"/>
              <w:jc w:val="left"/>
              <w:rPr>
                <w:rFonts w:ascii="宋体" w:hAnsi="宋体" w:eastAsia="宋体"/>
                <w:color w:val="auto"/>
                <w:kern w:val="0"/>
                <w:sz w:val="21"/>
                <w:szCs w:val="21"/>
                <w:highlight w:val="none"/>
              </w:rPr>
            </w:pPr>
          </w:p>
        </w:tc>
        <w:tc>
          <w:tcPr>
            <w:tcW w:w="922" w:type="dxa"/>
            <w:tcBorders>
              <w:top w:val="single" w:color="auto" w:sz="6" w:space="0"/>
              <w:left w:val="single" w:color="auto" w:sz="6" w:space="0"/>
              <w:bottom w:val="single" w:color="auto" w:sz="6" w:space="0"/>
              <w:right w:val="double" w:color="auto" w:sz="4" w:space="0"/>
            </w:tcBorders>
            <w:noWrap w:val="0"/>
            <w:vAlign w:val="top"/>
          </w:tcPr>
          <w:p w14:paraId="4CEF7782">
            <w:pPr>
              <w:autoSpaceDE w:val="0"/>
              <w:autoSpaceDN w:val="0"/>
              <w:adjustRightInd w:val="0"/>
              <w:snapToGrid w:val="0"/>
              <w:spacing w:line="360" w:lineRule="auto"/>
              <w:jc w:val="left"/>
              <w:rPr>
                <w:rFonts w:ascii="宋体" w:hAnsi="宋体" w:eastAsia="宋体"/>
                <w:color w:val="auto"/>
                <w:kern w:val="0"/>
                <w:sz w:val="21"/>
                <w:szCs w:val="21"/>
                <w:highlight w:val="none"/>
              </w:rPr>
            </w:pPr>
          </w:p>
        </w:tc>
      </w:tr>
      <w:tr w14:paraId="4D079001">
        <w:tblPrEx>
          <w:tblCellMar>
            <w:top w:w="0" w:type="dxa"/>
            <w:left w:w="0" w:type="dxa"/>
            <w:bottom w:w="0" w:type="dxa"/>
            <w:right w:w="0" w:type="dxa"/>
          </w:tblCellMar>
        </w:tblPrEx>
        <w:trPr>
          <w:trHeight w:val="712" w:hRule="exact"/>
        </w:trPr>
        <w:tc>
          <w:tcPr>
            <w:tcW w:w="336" w:type="dxa"/>
            <w:tcBorders>
              <w:top w:val="single" w:color="auto" w:sz="6" w:space="0"/>
              <w:left w:val="double" w:color="auto" w:sz="4" w:space="0"/>
              <w:bottom w:val="single" w:color="auto" w:sz="6" w:space="0"/>
              <w:right w:val="single" w:color="auto" w:sz="6" w:space="0"/>
            </w:tcBorders>
            <w:noWrap w:val="0"/>
            <w:vAlign w:val="center"/>
          </w:tcPr>
          <w:p w14:paraId="16CECD93">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rPr>
            </w:pPr>
            <w:r>
              <w:rPr>
                <w:rFonts w:hint="eastAsia" w:ascii="宋体" w:hAnsi="宋体" w:eastAsia="宋体" w:cs="微软雅黑"/>
                <w:color w:val="auto"/>
                <w:kern w:val="0"/>
                <w:position w:val="-1"/>
                <w:sz w:val="21"/>
                <w:szCs w:val="21"/>
                <w:highlight w:val="none"/>
              </w:rPr>
              <w:t>1</w:t>
            </w:r>
          </w:p>
        </w:tc>
        <w:tc>
          <w:tcPr>
            <w:tcW w:w="1396" w:type="dxa"/>
            <w:tcBorders>
              <w:top w:val="single" w:color="auto" w:sz="6" w:space="0"/>
              <w:left w:val="single" w:color="auto" w:sz="6" w:space="0"/>
              <w:bottom w:val="single" w:color="auto" w:sz="6" w:space="0"/>
              <w:right w:val="single" w:color="auto" w:sz="6" w:space="0"/>
            </w:tcBorders>
            <w:noWrap w:val="0"/>
            <w:vAlign w:val="center"/>
          </w:tcPr>
          <w:p w14:paraId="55162C9B">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rPr>
            </w:pPr>
            <w:r>
              <w:rPr>
                <w:rFonts w:hint="eastAsia" w:ascii="宋体" w:hAnsi="宋体" w:eastAsia="宋体" w:cs="微软雅黑"/>
                <w:color w:val="auto"/>
                <w:kern w:val="0"/>
                <w:position w:val="-1"/>
                <w:sz w:val="21"/>
                <w:szCs w:val="21"/>
                <w:highlight w:val="none"/>
                <w:lang w:val="en-US" w:eastAsia="zh-CN"/>
              </w:rPr>
              <w:t>厨师工资</w:t>
            </w:r>
          </w:p>
        </w:tc>
        <w:tc>
          <w:tcPr>
            <w:tcW w:w="2324" w:type="dxa"/>
            <w:tcBorders>
              <w:top w:val="single" w:color="auto" w:sz="6" w:space="0"/>
              <w:left w:val="single" w:color="auto" w:sz="6" w:space="0"/>
              <w:bottom w:val="single" w:color="auto" w:sz="6" w:space="0"/>
              <w:right w:val="single" w:color="auto" w:sz="4" w:space="0"/>
            </w:tcBorders>
            <w:noWrap w:val="0"/>
            <w:vAlign w:val="center"/>
          </w:tcPr>
          <w:p w14:paraId="555DA8AC">
            <w:pPr>
              <w:autoSpaceDE w:val="0"/>
              <w:autoSpaceDN w:val="0"/>
              <w:adjustRightInd w:val="0"/>
              <w:snapToGrid w:val="0"/>
              <w:spacing w:line="360" w:lineRule="auto"/>
              <w:jc w:val="left"/>
              <w:rPr>
                <w:rFonts w:ascii="宋体" w:hAnsi="宋体" w:eastAsia="宋体"/>
                <w:color w:val="auto"/>
                <w:kern w:val="0"/>
                <w:sz w:val="21"/>
                <w:szCs w:val="21"/>
                <w:highlight w:val="none"/>
              </w:rPr>
            </w:pPr>
            <w:r>
              <w:rPr>
                <w:rFonts w:hint="eastAsia" w:ascii="宋体" w:hAnsi="宋体" w:eastAsia="宋体"/>
                <w:color w:val="auto"/>
                <w:kern w:val="0"/>
                <w:sz w:val="21"/>
                <w:szCs w:val="21"/>
                <w:highlight w:val="none"/>
              </w:rPr>
              <w:t>红</w:t>
            </w:r>
            <w:r>
              <w:rPr>
                <w:rFonts w:hint="eastAsia" w:ascii="宋体" w:hAnsi="宋体"/>
                <w:color w:val="auto"/>
                <w:kern w:val="0"/>
                <w:sz w:val="21"/>
                <w:szCs w:val="21"/>
                <w:highlight w:val="none"/>
                <w:lang w:eastAsia="zh-CN"/>
              </w:rPr>
              <w:t>、</w:t>
            </w:r>
            <w:r>
              <w:rPr>
                <w:rFonts w:hint="eastAsia" w:ascii="宋体" w:hAnsi="宋体"/>
                <w:color w:val="auto"/>
                <w:kern w:val="0"/>
                <w:sz w:val="21"/>
                <w:szCs w:val="21"/>
                <w:highlight w:val="none"/>
                <w:lang w:val="en-US" w:eastAsia="zh-CN"/>
              </w:rPr>
              <w:t>白</w:t>
            </w:r>
            <w:r>
              <w:rPr>
                <w:rFonts w:hint="eastAsia" w:ascii="宋体" w:hAnsi="宋体" w:eastAsia="宋体"/>
                <w:color w:val="auto"/>
                <w:kern w:val="0"/>
                <w:sz w:val="21"/>
                <w:szCs w:val="21"/>
                <w:highlight w:val="none"/>
              </w:rPr>
              <w:t>案厨师</w:t>
            </w:r>
            <w:r>
              <w:rPr>
                <w:rFonts w:hint="eastAsia" w:ascii="宋体" w:hAnsi="宋体"/>
                <w:color w:val="auto"/>
                <w:kern w:val="0"/>
                <w:sz w:val="21"/>
                <w:szCs w:val="21"/>
                <w:highlight w:val="none"/>
                <w:lang w:val="en-US" w:eastAsia="zh-CN"/>
              </w:rPr>
              <w:t>5</w:t>
            </w:r>
            <w:r>
              <w:rPr>
                <w:rFonts w:hint="eastAsia" w:ascii="宋体" w:hAnsi="宋体" w:eastAsia="宋体"/>
                <w:color w:val="auto"/>
                <w:kern w:val="0"/>
                <w:sz w:val="21"/>
                <w:szCs w:val="21"/>
                <w:highlight w:val="none"/>
                <w:lang w:val="en-US" w:eastAsia="zh-CN"/>
              </w:rPr>
              <w:t>名</w:t>
            </w:r>
            <w:r>
              <w:rPr>
                <w:rFonts w:hint="eastAsia" w:ascii="宋体" w:hAnsi="宋体" w:eastAsia="宋体"/>
                <w:color w:val="auto"/>
                <w:kern w:val="0"/>
                <w:sz w:val="21"/>
                <w:szCs w:val="21"/>
                <w:highlight w:val="none"/>
              </w:rPr>
              <w:t>底薪</w:t>
            </w:r>
          </w:p>
        </w:tc>
        <w:tc>
          <w:tcPr>
            <w:tcW w:w="652" w:type="dxa"/>
            <w:tcBorders>
              <w:top w:val="single" w:color="auto" w:sz="6" w:space="0"/>
              <w:left w:val="single" w:color="auto" w:sz="4" w:space="0"/>
              <w:bottom w:val="single" w:color="auto" w:sz="6" w:space="0"/>
              <w:right w:val="single" w:color="auto" w:sz="6" w:space="0"/>
            </w:tcBorders>
            <w:noWrap w:val="0"/>
            <w:vAlign w:val="center"/>
          </w:tcPr>
          <w:p w14:paraId="7AE93D41">
            <w:pPr>
              <w:autoSpaceDE w:val="0"/>
              <w:autoSpaceDN w:val="0"/>
              <w:adjustRightInd w:val="0"/>
              <w:snapToGrid w:val="0"/>
              <w:spacing w:line="360" w:lineRule="auto"/>
              <w:jc w:val="center"/>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人</w:t>
            </w:r>
          </w:p>
        </w:tc>
        <w:tc>
          <w:tcPr>
            <w:tcW w:w="718" w:type="dxa"/>
            <w:tcBorders>
              <w:top w:val="single" w:color="auto" w:sz="6" w:space="0"/>
              <w:left w:val="single" w:color="auto" w:sz="6" w:space="0"/>
              <w:bottom w:val="single" w:color="auto" w:sz="6" w:space="0"/>
              <w:right w:val="single" w:color="auto" w:sz="4" w:space="0"/>
            </w:tcBorders>
            <w:noWrap w:val="0"/>
            <w:vAlign w:val="center"/>
          </w:tcPr>
          <w:p w14:paraId="370E14D1">
            <w:pPr>
              <w:autoSpaceDE w:val="0"/>
              <w:autoSpaceDN w:val="0"/>
              <w:adjustRightInd w:val="0"/>
              <w:snapToGrid w:val="0"/>
              <w:spacing w:line="360" w:lineRule="auto"/>
              <w:jc w:val="center"/>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5</w:t>
            </w:r>
          </w:p>
        </w:tc>
        <w:tc>
          <w:tcPr>
            <w:tcW w:w="765" w:type="dxa"/>
            <w:vMerge w:val="restart"/>
            <w:tcBorders>
              <w:top w:val="single" w:color="auto" w:sz="6" w:space="0"/>
              <w:left w:val="single" w:color="auto" w:sz="4" w:space="0"/>
              <w:right w:val="single" w:color="auto" w:sz="4" w:space="0"/>
            </w:tcBorders>
            <w:noWrap w:val="0"/>
            <w:vAlign w:val="top"/>
          </w:tcPr>
          <w:p w14:paraId="2521CC56">
            <w:pPr>
              <w:autoSpaceDE w:val="0"/>
              <w:autoSpaceDN w:val="0"/>
              <w:adjustRightInd w:val="0"/>
              <w:snapToGrid w:val="0"/>
              <w:spacing w:line="360" w:lineRule="auto"/>
              <w:jc w:val="left"/>
              <w:rPr>
                <w:rFonts w:hint="eastAsia" w:ascii="宋体" w:hAnsi="宋体"/>
                <w:color w:val="auto"/>
                <w:kern w:val="0"/>
                <w:sz w:val="21"/>
                <w:szCs w:val="21"/>
                <w:highlight w:val="none"/>
                <w:lang w:val="en-US" w:eastAsia="zh-CN"/>
              </w:rPr>
            </w:pPr>
          </w:p>
          <w:p w14:paraId="5D1C1CBA">
            <w:pPr>
              <w:autoSpaceDE w:val="0"/>
              <w:autoSpaceDN w:val="0"/>
              <w:adjustRightInd w:val="0"/>
              <w:snapToGrid w:val="0"/>
              <w:spacing w:line="360" w:lineRule="auto"/>
              <w:jc w:val="left"/>
              <w:rPr>
                <w:rFonts w:hint="eastAsia" w:ascii="宋体" w:hAnsi="宋体"/>
                <w:color w:val="auto"/>
                <w:kern w:val="0"/>
                <w:sz w:val="21"/>
                <w:szCs w:val="21"/>
                <w:highlight w:val="none"/>
                <w:lang w:val="en-US" w:eastAsia="zh-CN"/>
              </w:rPr>
            </w:pPr>
          </w:p>
          <w:p w14:paraId="2DC5E334">
            <w:pPr>
              <w:autoSpaceDE w:val="0"/>
              <w:autoSpaceDN w:val="0"/>
              <w:adjustRightInd w:val="0"/>
              <w:snapToGrid w:val="0"/>
              <w:spacing w:line="360" w:lineRule="auto"/>
              <w:jc w:val="left"/>
              <w:rPr>
                <w:rFonts w:hint="eastAsia" w:ascii="宋体" w:hAnsi="宋体"/>
                <w:color w:val="auto"/>
                <w:kern w:val="0"/>
                <w:sz w:val="21"/>
                <w:szCs w:val="21"/>
                <w:highlight w:val="none"/>
                <w:lang w:val="en-US" w:eastAsia="zh-CN"/>
              </w:rPr>
            </w:pPr>
          </w:p>
          <w:p w14:paraId="7BCB1938">
            <w:pPr>
              <w:autoSpaceDE w:val="0"/>
              <w:autoSpaceDN w:val="0"/>
              <w:adjustRightInd w:val="0"/>
              <w:snapToGrid w:val="0"/>
              <w:spacing w:line="360" w:lineRule="auto"/>
              <w:jc w:val="left"/>
              <w:rPr>
                <w:rFonts w:hint="eastAsia" w:ascii="宋体" w:hAnsi="宋体"/>
                <w:color w:val="auto"/>
                <w:kern w:val="0"/>
                <w:sz w:val="21"/>
                <w:szCs w:val="21"/>
                <w:highlight w:val="none"/>
                <w:lang w:val="en-US" w:eastAsia="zh-CN"/>
              </w:rPr>
            </w:pPr>
          </w:p>
          <w:p w14:paraId="14A74443">
            <w:pPr>
              <w:autoSpaceDE w:val="0"/>
              <w:autoSpaceDN w:val="0"/>
              <w:adjustRightInd w:val="0"/>
              <w:snapToGrid w:val="0"/>
              <w:spacing w:line="360" w:lineRule="auto"/>
              <w:jc w:val="left"/>
              <w:rPr>
                <w:rFonts w:hint="default" w:ascii="宋体" w:hAnsi="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24个月</w:t>
            </w:r>
          </w:p>
        </w:tc>
        <w:tc>
          <w:tcPr>
            <w:tcW w:w="918" w:type="dxa"/>
            <w:tcBorders>
              <w:top w:val="single" w:color="auto" w:sz="6" w:space="0"/>
              <w:left w:val="single" w:color="auto" w:sz="6" w:space="0"/>
              <w:bottom w:val="single" w:color="auto" w:sz="6" w:space="0"/>
              <w:right w:val="single" w:color="auto" w:sz="6" w:space="0"/>
            </w:tcBorders>
            <w:noWrap w:val="0"/>
            <w:vAlign w:val="top"/>
          </w:tcPr>
          <w:p w14:paraId="7D25C51D">
            <w:pPr>
              <w:autoSpaceDE w:val="0"/>
              <w:autoSpaceDN w:val="0"/>
              <w:adjustRightInd w:val="0"/>
              <w:snapToGrid w:val="0"/>
              <w:spacing w:line="360" w:lineRule="auto"/>
              <w:jc w:val="center"/>
              <w:rPr>
                <w:rFonts w:ascii="宋体" w:hAnsi="宋体" w:eastAsia="宋体"/>
                <w:color w:val="auto"/>
                <w:kern w:val="0"/>
                <w:sz w:val="21"/>
                <w:szCs w:val="21"/>
                <w:highlight w:val="none"/>
              </w:rPr>
            </w:pPr>
          </w:p>
        </w:tc>
        <w:tc>
          <w:tcPr>
            <w:tcW w:w="925" w:type="dxa"/>
            <w:tcBorders>
              <w:top w:val="single" w:color="auto" w:sz="6" w:space="0"/>
              <w:left w:val="single" w:color="auto" w:sz="6" w:space="0"/>
              <w:bottom w:val="single" w:color="auto" w:sz="6" w:space="0"/>
              <w:right w:val="single" w:color="auto" w:sz="6" w:space="0"/>
            </w:tcBorders>
            <w:noWrap w:val="0"/>
            <w:vAlign w:val="top"/>
          </w:tcPr>
          <w:p w14:paraId="37567DA0">
            <w:pPr>
              <w:autoSpaceDE w:val="0"/>
              <w:autoSpaceDN w:val="0"/>
              <w:adjustRightInd w:val="0"/>
              <w:snapToGrid w:val="0"/>
              <w:spacing w:line="360" w:lineRule="auto"/>
              <w:jc w:val="left"/>
              <w:rPr>
                <w:rFonts w:ascii="宋体" w:hAnsi="宋体" w:eastAsia="宋体"/>
                <w:color w:val="auto"/>
                <w:kern w:val="0"/>
                <w:sz w:val="21"/>
                <w:szCs w:val="21"/>
                <w:highlight w:val="none"/>
              </w:rPr>
            </w:pPr>
          </w:p>
        </w:tc>
        <w:tc>
          <w:tcPr>
            <w:tcW w:w="922" w:type="dxa"/>
            <w:tcBorders>
              <w:top w:val="single" w:color="auto" w:sz="6" w:space="0"/>
              <w:left w:val="single" w:color="auto" w:sz="6" w:space="0"/>
              <w:bottom w:val="single" w:color="auto" w:sz="6" w:space="0"/>
              <w:right w:val="double" w:color="auto" w:sz="4" w:space="0"/>
            </w:tcBorders>
            <w:noWrap w:val="0"/>
            <w:vAlign w:val="top"/>
          </w:tcPr>
          <w:p w14:paraId="6878ABC5">
            <w:pPr>
              <w:autoSpaceDE w:val="0"/>
              <w:autoSpaceDN w:val="0"/>
              <w:adjustRightInd w:val="0"/>
              <w:snapToGrid w:val="0"/>
              <w:spacing w:line="360" w:lineRule="auto"/>
              <w:jc w:val="left"/>
              <w:rPr>
                <w:rFonts w:ascii="宋体" w:hAnsi="宋体" w:eastAsia="宋体"/>
                <w:color w:val="auto"/>
                <w:kern w:val="0"/>
                <w:sz w:val="21"/>
                <w:szCs w:val="21"/>
                <w:highlight w:val="none"/>
              </w:rPr>
            </w:pPr>
          </w:p>
        </w:tc>
      </w:tr>
      <w:tr w14:paraId="2A4E04FF">
        <w:tblPrEx>
          <w:tblCellMar>
            <w:top w:w="0" w:type="dxa"/>
            <w:left w:w="0" w:type="dxa"/>
            <w:bottom w:w="0" w:type="dxa"/>
            <w:right w:w="0" w:type="dxa"/>
          </w:tblCellMar>
        </w:tblPrEx>
        <w:trPr>
          <w:trHeight w:val="782" w:hRule="exact"/>
        </w:trPr>
        <w:tc>
          <w:tcPr>
            <w:tcW w:w="336" w:type="dxa"/>
            <w:tcBorders>
              <w:top w:val="single" w:color="auto" w:sz="6" w:space="0"/>
              <w:left w:val="double" w:color="auto" w:sz="4" w:space="0"/>
              <w:bottom w:val="single" w:color="auto" w:sz="6" w:space="0"/>
              <w:right w:val="single" w:color="auto" w:sz="6" w:space="0"/>
            </w:tcBorders>
            <w:noWrap w:val="0"/>
            <w:vAlign w:val="center"/>
          </w:tcPr>
          <w:p w14:paraId="46A5063C">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rPr>
            </w:pPr>
            <w:r>
              <w:rPr>
                <w:rFonts w:hint="eastAsia" w:ascii="宋体" w:hAnsi="宋体" w:eastAsia="宋体" w:cs="微软雅黑"/>
                <w:color w:val="auto"/>
                <w:kern w:val="0"/>
                <w:position w:val="-1"/>
                <w:sz w:val="21"/>
                <w:szCs w:val="21"/>
                <w:highlight w:val="none"/>
              </w:rPr>
              <w:t>2</w:t>
            </w:r>
          </w:p>
        </w:tc>
        <w:tc>
          <w:tcPr>
            <w:tcW w:w="1396" w:type="dxa"/>
            <w:tcBorders>
              <w:top w:val="single" w:color="auto" w:sz="6" w:space="0"/>
              <w:left w:val="single" w:color="auto" w:sz="6" w:space="0"/>
              <w:bottom w:val="single" w:color="auto" w:sz="6" w:space="0"/>
              <w:right w:val="single" w:color="auto" w:sz="6" w:space="0"/>
            </w:tcBorders>
            <w:noWrap w:val="0"/>
            <w:vAlign w:val="center"/>
          </w:tcPr>
          <w:p w14:paraId="1E58707C">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rPr>
            </w:pPr>
            <w:r>
              <w:rPr>
                <w:rFonts w:hint="eastAsia" w:ascii="宋体" w:hAnsi="宋体" w:eastAsia="宋体" w:cs="微软雅黑"/>
                <w:color w:val="auto"/>
                <w:kern w:val="0"/>
                <w:position w:val="-1"/>
                <w:sz w:val="21"/>
                <w:szCs w:val="21"/>
                <w:highlight w:val="none"/>
                <w:lang w:val="en-US" w:eastAsia="zh-CN"/>
              </w:rPr>
              <w:t>其他人员工资</w:t>
            </w:r>
          </w:p>
        </w:tc>
        <w:tc>
          <w:tcPr>
            <w:tcW w:w="2324" w:type="dxa"/>
            <w:tcBorders>
              <w:top w:val="single" w:color="auto" w:sz="6" w:space="0"/>
              <w:left w:val="single" w:color="auto" w:sz="6" w:space="0"/>
              <w:bottom w:val="single" w:color="auto" w:sz="6" w:space="0"/>
              <w:right w:val="single" w:color="auto" w:sz="4" w:space="0"/>
            </w:tcBorders>
            <w:noWrap w:val="0"/>
            <w:vAlign w:val="center"/>
          </w:tcPr>
          <w:p w14:paraId="56098492">
            <w:pPr>
              <w:autoSpaceDE w:val="0"/>
              <w:autoSpaceDN w:val="0"/>
              <w:adjustRightInd w:val="0"/>
              <w:snapToGrid w:val="0"/>
              <w:spacing w:line="360" w:lineRule="auto"/>
              <w:jc w:val="left"/>
              <w:rPr>
                <w:rFonts w:hint="eastAsia" w:ascii="宋体" w:hAnsi="宋体" w:eastAsia="宋体"/>
                <w:color w:val="auto"/>
                <w:kern w:val="0"/>
                <w:sz w:val="21"/>
                <w:szCs w:val="21"/>
                <w:highlight w:val="none"/>
                <w:lang w:eastAsia="zh-CN"/>
              </w:rPr>
            </w:pPr>
            <w:r>
              <w:rPr>
                <w:rFonts w:hint="eastAsia" w:ascii="宋体" w:hAnsi="宋体" w:eastAsia="宋体"/>
                <w:color w:val="auto"/>
                <w:kern w:val="0"/>
                <w:sz w:val="21"/>
                <w:szCs w:val="21"/>
                <w:highlight w:val="none"/>
              </w:rPr>
              <w:t>其他</w:t>
            </w:r>
            <w:r>
              <w:rPr>
                <w:rFonts w:hint="eastAsia" w:ascii="宋体" w:hAnsi="宋体"/>
                <w:color w:val="auto"/>
                <w:kern w:val="0"/>
                <w:sz w:val="21"/>
                <w:szCs w:val="21"/>
                <w:highlight w:val="none"/>
                <w:lang w:val="en-US" w:eastAsia="zh-CN"/>
              </w:rPr>
              <w:t>14</w:t>
            </w:r>
            <w:r>
              <w:rPr>
                <w:rFonts w:hint="eastAsia" w:ascii="宋体" w:hAnsi="宋体" w:eastAsia="宋体"/>
                <w:color w:val="auto"/>
                <w:kern w:val="0"/>
                <w:sz w:val="21"/>
                <w:szCs w:val="21"/>
                <w:highlight w:val="none"/>
                <w:lang w:val="en-US" w:eastAsia="zh-CN"/>
              </w:rPr>
              <w:t>名</w:t>
            </w:r>
            <w:r>
              <w:rPr>
                <w:rFonts w:hint="eastAsia" w:ascii="宋体" w:hAnsi="宋体" w:eastAsia="宋体"/>
                <w:color w:val="auto"/>
                <w:kern w:val="0"/>
                <w:sz w:val="21"/>
                <w:szCs w:val="21"/>
                <w:highlight w:val="none"/>
              </w:rPr>
              <w:t>工作人员底薪</w:t>
            </w:r>
          </w:p>
        </w:tc>
        <w:tc>
          <w:tcPr>
            <w:tcW w:w="652" w:type="dxa"/>
            <w:tcBorders>
              <w:top w:val="single" w:color="auto" w:sz="6" w:space="0"/>
              <w:left w:val="single" w:color="auto" w:sz="4" w:space="0"/>
              <w:bottom w:val="single" w:color="auto" w:sz="6" w:space="0"/>
              <w:right w:val="single" w:color="auto" w:sz="6" w:space="0"/>
            </w:tcBorders>
            <w:noWrap w:val="0"/>
            <w:vAlign w:val="center"/>
          </w:tcPr>
          <w:p w14:paraId="5634930B">
            <w:pPr>
              <w:autoSpaceDE w:val="0"/>
              <w:autoSpaceDN w:val="0"/>
              <w:adjustRightInd w:val="0"/>
              <w:snapToGrid w:val="0"/>
              <w:spacing w:line="360" w:lineRule="auto"/>
              <w:jc w:val="center"/>
              <w:rPr>
                <w:rFonts w:hint="eastAsia"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人</w:t>
            </w:r>
          </w:p>
        </w:tc>
        <w:tc>
          <w:tcPr>
            <w:tcW w:w="718" w:type="dxa"/>
            <w:tcBorders>
              <w:top w:val="single" w:color="auto" w:sz="6" w:space="0"/>
              <w:left w:val="single" w:color="auto" w:sz="6" w:space="0"/>
              <w:bottom w:val="single" w:color="auto" w:sz="6" w:space="0"/>
              <w:right w:val="single" w:color="auto" w:sz="4" w:space="0"/>
            </w:tcBorders>
            <w:noWrap w:val="0"/>
            <w:vAlign w:val="center"/>
          </w:tcPr>
          <w:p w14:paraId="404EB3BE">
            <w:pPr>
              <w:autoSpaceDE w:val="0"/>
              <w:autoSpaceDN w:val="0"/>
              <w:adjustRightInd w:val="0"/>
              <w:snapToGrid w:val="0"/>
              <w:spacing w:line="360" w:lineRule="auto"/>
              <w:jc w:val="center"/>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14</w:t>
            </w:r>
          </w:p>
        </w:tc>
        <w:tc>
          <w:tcPr>
            <w:tcW w:w="765" w:type="dxa"/>
            <w:vMerge w:val="continue"/>
            <w:tcBorders>
              <w:left w:val="single" w:color="auto" w:sz="4" w:space="0"/>
              <w:right w:val="single" w:color="auto" w:sz="4" w:space="0"/>
            </w:tcBorders>
            <w:noWrap w:val="0"/>
            <w:vAlign w:val="top"/>
          </w:tcPr>
          <w:p w14:paraId="0A05BECC">
            <w:pPr>
              <w:autoSpaceDE w:val="0"/>
              <w:autoSpaceDN w:val="0"/>
              <w:adjustRightInd w:val="0"/>
              <w:snapToGrid w:val="0"/>
              <w:spacing w:line="360" w:lineRule="auto"/>
              <w:jc w:val="left"/>
              <w:rPr>
                <w:rFonts w:hint="eastAsia" w:ascii="宋体" w:hAnsi="宋体"/>
                <w:color w:val="auto"/>
                <w:kern w:val="0"/>
                <w:sz w:val="21"/>
                <w:szCs w:val="21"/>
                <w:highlight w:val="none"/>
                <w:lang w:val="en-US" w:eastAsia="zh-CN"/>
              </w:rPr>
            </w:pPr>
          </w:p>
        </w:tc>
        <w:tc>
          <w:tcPr>
            <w:tcW w:w="918" w:type="dxa"/>
            <w:tcBorders>
              <w:top w:val="single" w:color="auto" w:sz="6" w:space="0"/>
              <w:left w:val="single" w:color="auto" w:sz="6" w:space="0"/>
              <w:bottom w:val="single" w:color="auto" w:sz="6" w:space="0"/>
              <w:right w:val="single" w:color="auto" w:sz="6" w:space="0"/>
            </w:tcBorders>
            <w:noWrap w:val="0"/>
            <w:vAlign w:val="top"/>
          </w:tcPr>
          <w:p w14:paraId="1012E287">
            <w:pPr>
              <w:autoSpaceDE w:val="0"/>
              <w:autoSpaceDN w:val="0"/>
              <w:adjustRightInd w:val="0"/>
              <w:snapToGrid w:val="0"/>
              <w:spacing w:line="360" w:lineRule="auto"/>
              <w:jc w:val="center"/>
              <w:rPr>
                <w:rFonts w:ascii="宋体" w:hAnsi="宋体" w:eastAsia="宋体"/>
                <w:color w:val="auto"/>
                <w:kern w:val="0"/>
                <w:sz w:val="21"/>
                <w:szCs w:val="21"/>
                <w:highlight w:val="none"/>
              </w:rPr>
            </w:pPr>
          </w:p>
        </w:tc>
        <w:tc>
          <w:tcPr>
            <w:tcW w:w="925" w:type="dxa"/>
            <w:tcBorders>
              <w:top w:val="single" w:color="auto" w:sz="6" w:space="0"/>
              <w:left w:val="single" w:color="auto" w:sz="6" w:space="0"/>
              <w:bottom w:val="single" w:color="auto" w:sz="6" w:space="0"/>
              <w:right w:val="single" w:color="auto" w:sz="6" w:space="0"/>
            </w:tcBorders>
            <w:noWrap w:val="0"/>
            <w:vAlign w:val="top"/>
          </w:tcPr>
          <w:p w14:paraId="59620E06">
            <w:pPr>
              <w:autoSpaceDE w:val="0"/>
              <w:autoSpaceDN w:val="0"/>
              <w:adjustRightInd w:val="0"/>
              <w:snapToGrid w:val="0"/>
              <w:spacing w:line="360" w:lineRule="auto"/>
              <w:jc w:val="left"/>
              <w:rPr>
                <w:rFonts w:ascii="宋体" w:hAnsi="宋体" w:eastAsia="宋体"/>
                <w:color w:val="auto"/>
                <w:kern w:val="0"/>
                <w:sz w:val="21"/>
                <w:szCs w:val="21"/>
                <w:highlight w:val="none"/>
              </w:rPr>
            </w:pPr>
          </w:p>
        </w:tc>
        <w:tc>
          <w:tcPr>
            <w:tcW w:w="922" w:type="dxa"/>
            <w:tcBorders>
              <w:top w:val="single" w:color="auto" w:sz="6" w:space="0"/>
              <w:left w:val="single" w:color="auto" w:sz="6" w:space="0"/>
              <w:bottom w:val="single" w:color="auto" w:sz="6" w:space="0"/>
              <w:right w:val="double" w:color="auto" w:sz="4" w:space="0"/>
            </w:tcBorders>
            <w:noWrap w:val="0"/>
            <w:vAlign w:val="top"/>
          </w:tcPr>
          <w:p w14:paraId="5D783844">
            <w:pPr>
              <w:autoSpaceDE w:val="0"/>
              <w:autoSpaceDN w:val="0"/>
              <w:adjustRightInd w:val="0"/>
              <w:snapToGrid w:val="0"/>
              <w:spacing w:line="360" w:lineRule="auto"/>
              <w:jc w:val="left"/>
              <w:rPr>
                <w:rFonts w:ascii="宋体" w:hAnsi="宋体" w:eastAsia="宋体"/>
                <w:color w:val="auto"/>
                <w:kern w:val="0"/>
                <w:sz w:val="21"/>
                <w:szCs w:val="21"/>
                <w:highlight w:val="none"/>
              </w:rPr>
            </w:pPr>
          </w:p>
        </w:tc>
      </w:tr>
      <w:tr w14:paraId="3B8482E1">
        <w:tblPrEx>
          <w:tblCellMar>
            <w:top w:w="0" w:type="dxa"/>
            <w:left w:w="0" w:type="dxa"/>
            <w:bottom w:w="0" w:type="dxa"/>
            <w:right w:w="0" w:type="dxa"/>
          </w:tblCellMar>
        </w:tblPrEx>
        <w:trPr>
          <w:trHeight w:val="782" w:hRule="exact"/>
        </w:trPr>
        <w:tc>
          <w:tcPr>
            <w:tcW w:w="336" w:type="dxa"/>
            <w:tcBorders>
              <w:top w:val="single" w:color="auto" w:sz="6" w:space="0"/>
              <w:left w:val="double" w:color="auto" w:sz="4" w:space="0"/>
              <w:bottom w:val="single" w:color="auto" w:sz="6" w:space="0"/>
              <w:right w:val="single" w:color="auto" w:sz="6" w:space="0"/>
            </w:tcBorders>
            <w:noWrap w:val="0"/>
            <w:vAlign w:val="center"/>
          </w:tcPr>
          <w:p w14:paraId="4E57B6B8">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rPr>
            </w:pPr>
            <w:r>
              <w:rPr>
                <w:rFonts w:hint="eastAsia" w:ascii="宋体" w:hAnsi="宋体" w:eastAsia="宋体" w:cs="微软雅黑"/>
                <w:color w:val="auto"/>
                <w:kern w:val="0"/>
                <w:position w:val="-1"/>
                <w:sz w:val="21"/>
                <w:szCs w:val="21"/>
                <w:highlight w:val="none"/>
              </w:rPr>
              <w:t>3</w:t>
            </w:r>
          </w:p>
        </w:tc>
        <w:tc>
          <w:tcPr>
            <w:tcW w:w="1396" w:type="dxa"/>
            <w:tcBorders>
              <w:top w:val="single" w:color="auto" w:sz="6" w:space="0"/>
              <w:left w:val="single" w:color="auto" w:sz="6" w:space="0"/>
              <w:bottom w:val="single" w:color="auto" w:sz="6" w:space="0"/>
              <w:right w:val="single" w:color="auto" w:sz="6" w:space="0"/>
            </w:tcBorders>
            <w:noWrap w:val="0"/>
            <w:vAlign w:val="center"/>
          </w:tcPr>
          <w:p w14:paraId="70B8656D">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lang w:val="en-US" w:eastAsia="zh-CN"/>
              </w:rPr>
            </w:pPr>
            <w:r>
              <w:rPr>
                <w:rFonts w:hint="eastAsia" w:ascii="宋体" w:hAnsi="宋体" w:eastAsia="宋体" w:cs="微软雅黑"/>
                <w:color w:val="auto"/>
                <w:kern w:val="0"/>
                <w:position w:val="-1"/>
                <w:sz w:val="21"/>
                <w:szCs w:val="21"/>
                <w:highlight w:val="none"/>
                <w:lang w:val="en-US" w:eastAsia="zh-CN"/>
              </w:rPr>
              <w:t>社保</w:t>
            </w:r>
          </w:p>
        </w:tc>
        <w:tc>
          <w:tcPr>
            <w:tcW w:w="2324" w:type="dxa"/>
            <w:tcBorders>
              <w:top w:val="single" w:color="auto" w:sz="6" w:space="0"/>
              <w:left w:val="single" w:color="auto" w:sz="6" w:space="0"/>
              <w:bottom w:val="single" w:color="auto" w:sz="6" w:space="0"/>
              <w:right w:val="single" w:color="auto" w:sz="4" w:space="0"/>
            </w:tcBorders>
            <w:noWrap w:val="0"/>
            <w:vAlign w:val="center"/>
          </w:tcPr>
          <w:p w14:paraId="07DC39D5">
            <w:pPr>
              <w:autoSpaceDE w:val="0"/>
              <w:autoSpaceDN w:val="0"/>
              <w:adjustRightInd w:val="0"/>
              <w:snapToGrid w:val="0"/>
              <w:spacing w:line="360" w:lineRule="auto"/>
              <w:jc w:val="left"/>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20人社保，固定值不允许调整</w:t>
            </w:r>
          </w:p>
        </w:tc>
        <w:tc>
          <w:tcPr>
            <w:tcW w:w="652" w:type="dxa"/>
            <w:tcBorders>
              <w:top w:val="single" w:color="auto" w:sz="6" w:space="0"/>
              <w:left w:val="single" w:color="auto" w:sz="4" w:space="0"/>
              <w:bottom w:val="single" w:color="auto" w:sz="6" w:space="0"/>
              <w:right w:val="single" w:color="auto" w:sz="6" w:space="0"/>
            </w:tcBorders>
            <w:noWrap w:val="0"/>
            <w:vAlign w:val="center"/>
          </w:tcPr>
          <w:p w14:paraId="5E462FFB">
            <w:pPr>
              <w:autoSpaceDE w:val="0"/>
              <w:autoSpaceDN w:val="0"/>
              <w:adjustRightInd w:val="0"/>
              <w:snapToGrid w:val="0"/>
              <w:spacing w:line="360" w:lineRule="auto"/>
              <w:jc w:val="center"/>
              <w:rPr>
                <w:rFonts w:hint="eastAsia"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人</w:t>
            </w:r>
          </w:p>
        </w:tc>
        <w:tc>
          <w:tcPr>
            <w:tcW w:w="718" w:type="dxa"/>
            <w:tcBorders>
              <w:top w:val="single" w:color="auto" w:sz="6" w:space="0"/>
              <w:left w:val="single" w:color="auto" w:sz="6" w:space="0"/>
              <w:bottom w:val="single" w:color="auto" w:sz="6" w:space="0"/>
              <w:right w:val="single" w:color="auto" w:sz="4" w:space="0"/>
            </w:tcBorders>
            <w:noWrap w:val="0"/>
            <w:vAlign w:val="center"/>
          </w:tcPr>
          <w:p w14:paraId="10B9A200">
            <w:pPr>
              <w:autoSpaceDE w:val="0"/>
              <w:autoSpaceDN w:val="0"/>
              <w:adjustRightInd w:val="0"/>
              <w:snapToGrid w:val="0"/>
              <w:spacing w:line="360" w:lineRule="auto"/>
              <w:jc w:val="center"/>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20</w:t>
            </w:r>
          </w:p>
        </w:tc>
        <w:tc>
          <w:tcPr>
            <w:tcW w:w="765" w:type="dxa"/>
            <w:vMerge w:val="continue"/>
            <w:tcBorders>
              <w:left w:val="single" w:color="auto" w:sz="4" w:space="0"/>
              <w:right w:val="single" w:color="auto" w:sz="4" w:space="0"/>
            </w:tcBorders>
            <w:noWrap w:val="0"/>
            <w:vAlign w:val="top"/>
          </w:tcPr>
          <w:p w14:paraId="4DE1F04F">
            <w:pPr>
              <w:autoSpaceDE w:val="0"/>
              <w:autoSpaceDN w:val="0"/>
              <w:adjustRightInd w:val="0"/>
              <w:snapToGrid w:val="0"/>
              <w:spacing w:line="360" w:lineRule="auto"/>
              <w:jc w:val="left"/>
              <w:rPr>
                <w:rFonts w:hint="eastAsia" w:ascii="宋体" w:hAnsi="宋体"/>
                <w:color w:val="auto"/>
                <w:kern w:val="0"/>
                <w:sz w:val="21"/>
                <w:szCs w:val="21"/>
                <w:highlight w:val="none"/>
                <w:lang w:val="en-US" w:eastAsia="zh-CN"/>
              </w:rPr>
            </w:pPr>
          </w:p>
        </w:tc>
        <w:tc>
          <w:tcPr>
            <w:tcW w:w="918" w:type="dxa"/>
            <w:tcBorders>
              <w:top w:val="single" w:color="auto" w:sz="6" w:space="0"/>
              <w:left w:val="single" w:color="auto" w:sz="6" w:space="0"/>
              <w:bottom w:val="single" w:color="auto" w:sz="6" w:space="0"/>
              <w:right w:val="single" w:color="auto" w:sz="6" w:space="0"/>
            </w:tcBorders>
            <w:noWrap w:val="0"/>
            <w:vAlign w:val="top"/>
          </w:tcPr>
          <w:p w14:paraId="05D3DD1C">
            <w:pPr>
              <w:autoSpaceDE w:val="0"/>
              <w:autoSpaceDN w:val="0"/>
              <w:adjustRightInd w:val="0"/>
              <w:snapToGrid w:val="0"/>
              <w:spacing w:line="360" w:lineRule="auto"/>
              <w:jc w:val="center"/>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974</w:t>
            </w:r>
          </w:p>
        </w:tc>
        <w:tc>
          <w:tcPr>
            <w:tcW w:w="925" w:type="dxa"/>
            <w:tcBorders>
              <w:top w:val="single" w:color="auto" w:sz="6" w:space="0"/>
              <w:left w:val="single" w:color="auto" w:sz="6" w:space="0"/>
              <w:bottom w:val="single" w:color="auto" w:sz="6" w:space="0"/>
              <w:right w:val="single" w:color="auto" w:sz="6" w:space="0"/>
            </w:tcBorders>
            <w:noWrap w:val="0"/>
            <w:vAlign w:val="top"/>
          </w:tcPr>
          <w:p w14:paraId="54ADF499">
            <w:pPr>
              <w:autoSpaceDE w:val="0"/>
              <w:autoSpaceDN w:val="0"/>
              <w:adjustRightInd w:val="0"/>
              <w:snapToGrid w:val="0"/>
              <w:spacing w:line="360" w:lineRule="auto"/>
              <w:jc w:val="center"/>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467520</w:t>
            </w:r>
          </w:p>
        </w:tc>
        <w:tc>
          <w:tcPr>
            <w:tcW w:w="922" w:type="dxa"/>
            <w:tcBorders>
              <w:top w:val="single" w:color="auto" w:sz="6" w:space="0"/>
              <w:left w:val="single" w:color="auto" w:sz="6" w:space="0"/>
              <w:bottom w:val="single" w:color="auto" w:sz="6" w:space="0"/>
              <w:right w:val="double" w:color="auto" w:sz="4" w:space="0"/>
            </w:tcBorders>
            <w:noWrap w:val="0"/>
            <w:vAlign w:val="top"/>
          </w:tcPr>
          <w:p w14:paraId="75A6D115">
            <w:pPr>
              <w:autoSpaceDE w:val="0"/>
              <w:autoSpaceDN w:val="0"/>
              <w:adjustRightInd w:val="0"/>
              <w:snapToGrid w:val="0"/>
              <w:spacing w:line="360" w:lineRule="auto"/>
              <w:jc w:val="left"/>
              <w:rPr>
                <w:rFonts w:ascii="宋体" w:hAnsi="宋体" w:eastAsia="宋体"/>
                <w:color w:val="auto"/>
                <w:kern w:val="0"/>
                <w:sz w:val="21"/>
                <w:szCs w:val="21"/>
                <w:highlight w:val="none"/>
              </w:rPr>
            </w:pPr>
          </w:p>
        </w:tc>
      </w:tr>
      <w:tr w14:paraId="0D385DAC">
        <w:tblPrEx>
          <w:tblCellMar>
            <w:top w:w="0" w:type="dxa"/>
            <w:left w:w="0" w:type="dxa"/>
            <w:bottom w:w="0" w:type="dxa"/>
            <w:right w:w="0" w:type="dxa"/>
          </w:tblCellMar>
        </w:tblPrEx>
        <w:trPr>
          <w:trHeight w:val="782" w:hRule="exact"/>
        </w:trPr>
        <w:tc>
          <w:tcPr>
            <w:tcW w:w="336" w:type="dxa"/>
            <w:tcBorders>
              <w:top w:val="single" w:color="auto" w:sz="6" w:space="0"/>
              <w:left w:val="double" w:color="auto" w:sz="4" w:space="0"/>
              <w:bottom w:val="single" w:color="auto" w:sz="6" w:space="0"/>
              <w:right w:val="single" w:color="auto" w:sz="6" w:space="0"/>
            </w:tcBorders>
            <w:noWrap w:val="0"/>
            <w:vAlign w:val="center"/>
          </w:tcPr>
          <w:p w14:paraId="6CCE364B">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rPr>
            </w:pPr>
            <w:r>
              <w:rPr>
                <w:rFonts w:hint="eastAsia" w:ascii="宋体" w:hAnsi="宋体" w:eastAsia="宋体" w:cs="微软雅黑"/>
                <w:color w:val="auto"/>
                <w:kern w:val="0"/>
                <w:position w:val="-1"/>
                <w:sz w:val="21"/>
                <w:szCs w:val="21"/>
                <w:highlight w:val="none"/>
              </w:rPr>
              <w:t>4</w:t>
            </w:r>
          </w:p>
        </w:tc>
        <w:tc>
          <w:tcPr>
            <w:tcW w:w="1396" w:type="dxa"/>
            <w:tcBorders>
              <w:top w:val="single" w:color="auto" w:sz="6" w:space="0"/>
              <w:left w:val="single" w:color="auto" w:sz="6" w:space="0"/>
              <w:bottom w:val="single" w:color="auto" w:sz="6" w:space="0"/>
              <w:right w:val="single" w:color="auto" w:sz="6" w:space="0"/>
            </w:tcBorders>
            <w:noWrap w:val="0"/>
            <w:vAlign w:val="center"/>
          </w:tcPr>
          <w:p w14:paraId="7B076DAD">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lang w:val="en-US" w:eastAsia="zh-CN"/>
              </w:rPr>
            </w:pPr>
            <w:r>
              <w:rPr>
                <w:rFonts w:hint="eastAsia" w:ascii="宋体" w:hAnsi="宋体" w:eastAsia="宋体" w:cs="微软雅黑"/>
                <w:color w:val="auto"/>
                <w:kern w:val="0"/>
                <w:position w:val="-1"/>
                <w:sz w:val="21"/>
                <w:szCs w:val="21"/>
                <w:highlight w:val="none"/>
                <w:lang w:val="en-US" w:eastAsia="zh-CN"/>
              </w:rPr>
              <w:t>管理费</w:t>
            </w:r>
          </w:p>
        </w:tc>
        <w:tc>
          <w:tcPr>
            <w:tcW w:w="2324" w:type="dxa"/>
            <w:tcBorders>
              <w:top w:val="single" w:color="auto" w:sz="6" w:space="0"/>
              <w:left w:val="single" w:color="auto" w:sz="6" w:space="0"/>
              <w:bottom w:val="single" w:color="auto" w:sz="6" w:space="0"/>
              <w:right w:val="single" w:color="auto" w:sz="4" w:space="0"/>
            </w:tcBorders>
            <w:noWrap w:val="0"/>
            <w:vAlign w:val="center"/>
          </w:tcPr>
          <w:p w14:paraId="1CA6B09F">
            <w:pPr>
              <w:autoSpaceDE w:val="0"/>
              <w:autoSpaceDN w:val="0"/>
              <w:adjustRightInd w:val="0"/>
              <w:snapToGrid w:val="0"/>
              <w:spacing w:line="360" w:lineRule="auto"/>
              <w:jc w:val="left"/>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根据工资+社保结合投标人实际情况进行报价</w:t>
            </w:r>
          </w:p>
        </w:tc>
        <w:tc>
          <w:tcPr>
            <w:tcW w:w="652" w:type="dxa"/>
            <w:tcBorders>
              <w:top w:val="single" w:color="auto" w:sz="6" w:space="0"/>
              <w:left w:val="single" w:color="auto" w:sz="4" w:space="0"/>
              <w:bottom w:val="single" w:color="auto" w:sz="6" w:space="0"/>
              <w:right w:val="single" w:color="auto" w:sz="6" w:space="0"/>
            </w:tcBorders>
            <w:noWrap w:val="0"/>
            <w:vAlign w:val="center"/>
          </w:tcPr>
          <w:p w14:paraId="6B0972F4">
            <w:pPr>
              <w:autoSpaceDE w:val="0"/>
              <w:autoSpaceDN w:val="0"/>
              <w:adjustRightInd w:val="0"/>
              <w:snapToGrid w:val="0"/>
              <w:spacing w:line="360" w:lineRule="auto"/>
              <w:jc w:val="center"/>
              <w:rPr>
                <w:rFonts w:hint="eastAsia"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项</w:t>
            </w:r>
          </w:p>
        </w:tc>
        <w:tc>
          <w:tcPr>
            <w:tcW w:w="718" w:type="dxa"/>
            <w:tcBorders>
              <w:top w:val="single" w:color="auto" w:sz="6" w:space="0"/>
              <w:left w:val="single" w:color="auto" w:sz="6" w:space="0"/>
              <w:bottom w:val="single" w:color="auto" w:sz="6" w:space="0"/>
              <w:right w:val="single" w:color="auto" w:sz="4" w:space="0"/>
            </w:tcBorders>
            <w:noWrap w:val="0"/>
            <w:vAlign w:val="center"/>
          </w:tcPr>
          <w:p w14:paraId="4FF0CFFD">
            <w:pPr>
              <w:autoSpaceDE w:val="0"/>
              <w:autoSpaceDN w:val="0"/>
              <w:adjustRightInd w:val="0"/>
              <w:snapToGrid w:val="0"/>
              <w:spacing w:line="360" w:lineRule="auto"/>
              <w:jc w:val="center"/>
              <w:rPr>
                <w:rFonts w:hint="eastAsia"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1</w:t>
            </w:r>
          </w:p>
        </w:tc>
        <w:tc>
          <w:tcPr>
            <w:tcW w:w="765" w:type="dxa"/>
            <w:vMerge w:val="continue"/>
            <w:tcBorders>
              <w:left w:val="single" w:color="auto" w:sz="4" w:space="0"/>
              <w:right w:val="single" w:color="auto" w:sz="4" w:space="0"/>
            </w:tcBorders>
            <w:noWrap w:val="0"/>
            <w:vAlign w:val="top"/>
          </w:tcPr>
          <w:p w14:paraId="7E83ABDD">
            <w:pPr>
              <w:autoSpaceDE w:val="0"/>
              <w:autoSpaceDN w:val="0"/>
              <w:adjustRightInd w:val="0"/>
              <w:snapToGrid w:val="0"/>
              <w:spacing w:line="360" w:lineRule="auto"/>
              <w:jc w:val="left"/>
              <w:rPr>
                <w:rFonts w:ascii="宋体" w:hAnsi="宋体" w:eastAsia="宋体"/>
                <w:color w:val="auto"/>
                <w:kern w:val="0"/>
                <w:sz w:val="21"/>
                <w:szCs w:val="21"/>
                <w:highlight w:val="none"/>
              </w:rPr>
            </w:pPr>
          </w:p>
        </w:tc>
        <w:tc>
          <w:tcPr>
            <w:tcW w:w="918" w:type="dxa"/>
            <w:tcBorders>
              <w:top w:val="single" w:color="auto" w:sz="6" w:space="0"/>
              <w:left w:val="single" w:color="auto" w:sz="4" w:space="0"/>
              <w:bottom w:val="single" w:color="auto" w:sz="6" w:space="0"/>
              <w:right w:val="single" w:color="auto" w:sz="6" w:space="0"/>
            </w:tcBorders>
            <w:noWrap w:val="0"/>
            <w:vAlign w:val="top"/>
          </w:tcPr>
          <w:p w14:paraId="3AD48843">
            <w:pPr>
              <w:autoSpaceDE w:val="0"/>
              <w:autoSpaceDN w:val="0"/>
              <w:adjustRightInd w:val="0"/>
              <w:snapToGrid w:val="0"/>
              <w:spacing w:line="360" w:lineRule="auto"/>
              <w:jc w:val="center"/>
              <w:rPr>
                <w:rFonts w:ascii="宋体" w:hAnsi="宋体" w:eastAsia="宋体"/>
                <w:color w:val="auto"/>
                <w:kern w:val="0"/>
                <w:sz w:val="21"/>
                <w:szCs w:val="21"/>
                <w:highlight w:val="none"/>
              </w:rPr>
            </w:pPr>
          </w:p>
        </w:tc>
        <w:tc>
          <w:tcPr>
            <w:tcW w:w="925" w:type="dxa"/>
            <w:tcBorders>
              <w:top w:val="single" w:color="auto" w:sz="6" w:space="0"/>
              <w:left w:val="single" w:color="auto" w:sz="6" w:space="0"/>
              <w:bottom w:val="single" w:color="auto" w:sz="6" w:space="0"/>
              <w:right w:val="single" w:color="auto" w:sz="6" w:space="0"/>
            </w:tcBorders>
            <w:noWrap w:val="0"/>
            <w:vAlign w:val="top"/>
          </w:tcPr>
          <w:p w14:paraId="76C99A90">
            <w:pPr>
              <w:autoSpaceDE w:val="0"/>
              <w:autoSpaceDN w:val="0"/>
              <w:adjustRightInd w:val="0"/>
              <w:snapToGrid w:val="0"/>
              <w:spacing w:line="360" w:lineRule="auto"/>
              <w:jc w:val="center"/>
              <w:rPr>
                <w:rFonts w:ascii="宋体" w:hAnsi="宋体" w:eastAsia="宋体"/>
                <w:color w:val="auto"/>
                <w:kern w:val="0"/>
                <w:sz w:val="21"/>
                <w:szCs w:val="21"/>
                <w:highlight w:val="none"/>
              </w:rPr>
            </w:pPr>
          </w:p>
        </w:tc>
        <w:tc>
          <w:tcPr>
            <w:tcW w:w="922" w:type="dxa"/>
            <w:tcBorders>
              <w:top w:val="single" w:color="auto" w:sz="6" w:space="0"/>
              <w:left w:val="single" w:color="auto" w:sz="6" w:space="0"/>
              <w:bottom w:val="single" w:color="auto" w:sz="6" w:space="0"/>
              <w:right w:val="double" w:color="auto" w:sz="4" w:space="0"/>
            </w:tcBorders>
            <w:noWrap w:val="0"/>
            <w:vAlign w:val="top"/>
          </w:tcPr>
          <w:p w14:paraId="495E2B54">
            <w:pPr>
              <w:autoSpaceDE w:val="0"/>
              <w:autoSpaceDN w:val="0"/>
              <w:adjustRightInd w:val="0"/>
              <w:snapToGrid w:val="0"/>
              <w:spacing w:line="360" w:lineRule="auto"/>
              <w:jc w:val="left"/>
              <w:rPr>
                <w:rFonts w:ascii="宋体" w:hAnsi="宋体" w:eastAsia="宋体"/>
                <w:color w:val="auto"/>
                <w:kern w:val="0"/>
                <w:sz w:val="21"/>
                <w:szCs w:val="21"/>
                <w:highlight w:val="none"/>
              </w:rPr>
            </w:pPr>
          </w:p>
        </w:tc>
      </w:tr>
      <w:tr w14:paraId="32BD0098">
        <w:tblPrEx>
          <w:tblCellMar>
            <w:top w:w="0" w:type="dxa"/>
            <w:left w:w="0" w:type="dxa"/>
            <w:bottom w:w="0" w:type="dxa"/>
            <w:right w:w="0" w:type="dxa"/>
          </w:tblCellMar>
        </w:tblPrEx>
        <w:trPr>
          <w:trHeight w:val="782" w:hRule="exact"/>
        </w:trPr>
        <w:tc>
          <w:tcPr>
            <w:tcW w:w="336" w:type="dxa"/>
            <w:tcBorders>
              <w:top w:val="single" w:color="auto" w:sz="6" w:space="0"/>
              <w:left w:val="double" w:color="auto" w:sz="4" w:space="0"/>
              <w:bottom w:val="single" w:color="auto" w:sz="6" w:space="0"/>
              <w:right w:val="single" w:color="auto" w:sz="6" w:space="0"/>
            </w:tcBorders>
            <w:noWrap w:val="0"/>
            <w:vAlign w:val="center"/>
          </w:tcPr>
          <w:p w14:paraId="0876B97E">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rPr>
            </w:pPr>
            <w:r>
              <w:rPr>
                <w:rFonts w:hint="eastAsia" w:ascii="宋体" w:hAnsi="宋体" w:eastAsia="宋体" w:cs="微软雅黑"/>
                <w:color w:val="auto"/>
                <w:kern w:val="0"/>
                <w:position w:val="-1"/>
                <w:sz w:val="21"/>
                <w:szCs w:val="21"/>
                <w:highlight w:val="none"/>
              </w:rPr>
              <w:t>5</w:t>
            </w:r>
          </w:p>
        </w:tc>
        <w:tc>
          <w:tcPr>
            <w:tcW w:w="1396" w:type="dxa"/>
            <w:tcBorders>
              <w:top w:val="single" w:color="auto" w:sz="6" w:space="0"/>
              <w:left w:val="single" w:color="auto" w:sz="6" w:space="0"/>
              <w:bottom w:val="single" w:color="auto" w:sz="6" w:space="0"/>
              <w:right w:val="single" w:color="auto" w:sz="6" w:space="0"/>
            </w:tcBorders>
            <w:noWrap w:val="0"/>
            <w:vAlign w:val="center"/>
          </w:tcPr>
          <w:p w14:paraId="3D65FB95">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lang w:val="en-US" w:eastAsia="zh-CN"/>
              </w:rPr>
            </w:pPr>
            <w:r>
              <w:rPr>
                <w:rFonts w:hint="eastAsia" w:ascii="宋体" w:hAnsi="宋体" w:eastAsia="宋体" w:cs="微软雅黑"/>
                <w:color w:val="auto"/>
                <w:kern w:val="0"/>
                <w:position w:val="-1"/>
                <w:sz w:val="21"/>
                <w:szCs w:val="21"/>
                <w:highlight w:val="none"/>
                <w:lang w:val="en-US" w:eastAsia="zh-CN"/>
              </w:rPr>
              <w:t>过节费</w:t>
            </w:r>
          </w:p>
        </w:tc>
        <w:tc>
          <w:tcPr>
            <w:tcW w:w="2324" w:type="dxa"/>
            <w:tcBorders>
              <w:top w:val="single" w:color="auto" w:sz="6" w:space="0"/>
              <w:left w:val="single" w:color="auto" w:sz="6" w:space="0"/>
              <w:bottom w:val="single" w:color="auto" w:sz="6" w:space="0"/>
              <w:right w:val="single" w:color="auto" w:sz="4" w:space="0"/>
            </w:tcBorders>
            <w:noWrap w:val="0"/>
            <w:vAlign w:val="center"/>
          </w:tcPr>
          <w:p w14:paraId="5C2085CA">
            <w:pPr>
              <w:autoSpaceDE w:val="0"/>
              <w:autoSpaceDN w:val="0"/>
              <w:adjustRightInd w:val="0"/>
              <w:snapToGrid w:val="0"/>
              <w:spacing w:line="360" w:lineRule="auto"/>
              <w:jc w:val="left"/>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每人每月50元，固定值不允许调整</w:t>
            </w:r>
          </w:p>
        </w:tc>
        <w:tc>
          <w:tcPr>
            <w:tcW w:w="652" w:type="dxa"/>
            <w:tcBorders>
              <w:top w:val="single" w:color="auto" w:sz="6" w:space="0"/>
              <w:left w:val="single" w:color="auto" w:sz="4" w:space="0"/>
              <w:bottom w:val="single" w:color="auto" w:sz="6" w:space="0"/>
              <w:right w:val="single" w:color="auto" w:sz="6" w:space="0"/>
            </w:tcBorders>
            <w:noWrap w:val="0"/>
            <w:vAlign w:val="center"/>
          </w:tcPr>
          <w:p w14:paraId="50344657">
            <w:pPr>
              <w:autoSpaceDE w:val="0"/>
              <w:autoSpaceDN w:val="0"/>
              <w:adjustRightInd w:val="0"/>
              <w:snapToGrid w:val="0"/>
              <w:spacing w:line="360" w:lineRule="auto"/>
              <w:jc w:val="center"/>
              <w:rPr>
                <w:rFonts w:hint="eastAsia"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项</w:t>
            </w:r>
          </w:p>
        </w:tc>
        <w:tc>
          <w:tcPr>
            <w:tcW w:w="718" w:type="dxa"/>
            <w:tcBorders>
              <w:top w:val="single" w:color="auto" w:sz="6" w:space="0"/>
              <w:left w:val="single" w:color="auto" w:sz="6" w:space="0"/>
              <w:bottom w:val="single" w:color="auto" w:sz="6" w:space="0"/>
              <w:right w:val="single" w:color="auto" w:sz="4" w:space="0"/>
            </w:tcBorders>
            <w:noWrap w:val="0"/>
            <w:vAlign w:val="center"/>
          </w:tcPr>
          <w:p w14:paraId="31F6DF96">
            <w:pPr>
              <w:autoSpaceDE w:val="0"/>
              <w:autoSpaceDN w:val="0"/>
              <w:adjustRightInd w:val="0"/>
              <w:snapToGrid w:val="0"/>
              <w:spacing w:line="360" w:lineRule="auto"/>
              <w:jc w:val="center"/>
              <w:rPr>
                <w:rFonts w:hint="eastAsia"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1</w:t>
            </w:r>
          </w:p>
        </w:tc>
        <w:tc>
          <w:tcPr>
            <w:tcW w:w="765" w:type="dxa"/>
            <w:vMerge w:val="continue"/>
            <w:tcBorders>
              <w:left w:val="single" w:color="auto" w:sz="4" w:space="0"/>
              <w:right w:val="single" w:color="auto" w:sz="4" w:space="0"/>
            </w:tcBorders>
            <w:noWrap w:val="0"/>
            <w:vAlign w:val="top"/>
          </w:tcPr>
          <w:p w14:paraId="7C66B80B">
            <w:pPr>
              <w:autoSpaceDE w:val="0"/>
              <w:autoSpaceDN w:val="0"/>
              <w:adjustRightInd w:val="0"/>
              <w:snapToGrid w:val="0"/>
              <w:spacing w:line="360" w:lineRule="auto"/>
              <w:jc w:val="left"/>
              <w:rPr>
                <w:rFonts w:ascii="宋体" w:hAnsi="宋体" w:eastAsia="宋体"/>
                <w:color w:val="auto"/>
                <w:kern w:val="0"/>
                <w:sz w:val="21"/>
                <w:szCs w:val="21"/>
                <w:highlight w:val="none"/>
              </w:rPr>
            </w:pPr>
          </w:p>
        </w:tc>
        <w:tc>
          <w:tcPr>
            <w:tcW w:w="918" w:type="dxa"/>
            <w:tcBorders>
              <w:top w:val="single" w:color="auto" w:sz="6" w:space="0"/>
              <w:left w:val="single" w:color="auto" w:sz="4" w:space="0"/>
              <w:bottom w:val="single" w:color="auto" w:sz="6" w:space="0"/>
              <w:right w:val="single" w:color="auto" w:sz="6" w:space="0"/>
            </w:tcBorders>
            <w:noWrap w:val="0"/>
            <w:vAlign w:val="top"/>
          </w:tcPr>
          <w:p w14:paraId="044C2475">
            <w:pPr>
              <w:autoSpaceDE w:val="0"/>
              <w:autoSpaceDN w:val="0"/>
              <w:adjustRightInd w:val="0"/>
              <w:snapToGrid w:val="0"/>
              <w:spacing w:line="360" w:lineRule="auto"/>
              <w:jc w:val="center"/>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1000</w:t>
            </w:r>
          </w:p>
        </w:tc>
        <w:tc>
          <w:tcPr>
            <w:tcW w:w="925" w:type="dxa"/>
            <w:tcBorders>
              <w:top w:val="single" w:color="auto" w:sz="6" w:space="0"/>
              <w:left w:val="single" w:color="auto" w:sz="6" w:space="0"/>
              <w:bottom w:val="single" w:color="auto" w:sz="6" w:space="0"/>
              <w:right w:val="single" w:color="auto" w:sz="6" w:space="0"/>
            </w:tcBorders>
            <w:noWrap w:val="0"/>
            <w:vAlign w:val="top"/>
          </w:tcPr>
          <w:p w14:paraId="0A778E60">
            <w:pPr>
              <w:autoSpaceDE w:val="0"/>
              <w:autoSpaceDN w:val="0"/>
              <w:adjustRightInd w:val="0"/>
              <w:snapToGrid w:val="0"/>
              <w:spacing w:line="360" w:lineRule="auto"/>
              <w:jc w:val="center"/>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24000</w:t>
            </w:r>
          </w:p>
        </w:tc>
        <w:tc>
          <w:tcPr>
            <w:tcW w:w="922" w:type="dxa"/>
            <w:tcBorders>
              <w:top w:val="single" w:color="auto" w:sz="6" w:space="0"/>
              <w:left w:val="single" w:color="auto" w:sz="6" w:space="0"/>
              <w:bottom w:val="single" w:color="auto" w:sz="6" w:space="0"/>
              <w:right w:val="double" w:color="auto" w:sz="4" w:space="0"/>
            </w:tcBorders>
            <w:noWrap w:val="0"/>
            <w:vAlign w:val="top"/>
          </w:tcPr>
          <w:p w14:paraId="3695C07E">
            <w:pPr>
              <w:autoSpaceDE w:val="0"/>
              <w:autoSpaceDN w:val="0"/>
              <w:adjustRightInd w:val="0"/>
              <w:snapToGrid w:val="0"/>
              <w:spacing w:line="360" w:lineRule="auto"/>
              <w:jc w:val="left"/>
              <w:rPr>
                <w:rFonts w:ascii="宋体" w:hAnsi="宋体" w:eastAsia="宋体"/>
                <w:color w:val="auto"/>
                <w:kern w:val="0"/>
                <w:sz w:val="21"/>
                <w:szCs w:val="21"/>
                <w:highlight w:val="none"/>
              </w:rPr>
            </w:pPr>
          </w:p>
        </w:tc>
      </w:tr>
      <w:tr w14:paraId="3F557207">
        <w:tblPrEx>
          <w:tblCellMar>
            <w:top w:w="0" w:type="dxa"/>
            <w:left w:w="0" w:type="dxa"/>
            <w:bottom w:w="0" w:type="dxa"/>
            <w:right w:w="0" w:type="dxa"/>
          </w:tblCellMar>
        </w:tblPrEx>
        <w:trPr>
          <w:trHeight w:val="782" w:hRule="exact"/>
        </w:trPr>
        <w:tc>
          <w:tcPr>
            <w:tcW w:w="336" w:type="dxa"/>
            <w:tcBorders>
              <w:top w:val="single" w:color="auto" w:sz="6" w:space="0"/>
              <w:left w:val="double" w:color="auto" w:sz="4" w:space="0"/>
              <w:bottom w:val="single" w:color="auto" w:sz="6" w:space="0"/>
              <w:right w:val="single" w:color="auto" w:sz="6" w:space="0"/>
            </w:tcBorders>
            <w:noWrap w:val="0"/>
            <w:vAlign w:val="center"/>
          </w:tcPr>
          <w:p w14:paraId="36184D0E">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lang w:eastAsia="zh-CN"/>
              </w:rPr>
            </w:pPr>
            <w:r>
              <w:rPr>
                <w:rFonts w:hint="eastAsia" w:ascii="宋体" w:hAnsi="宋体" w:cs="微软雅黑"/>
                <w:color w:val="auto"/>
                <w:kern w:val="0"/>
                <w:position w:val="-1"/>
                <w:sz w:val="21"/>
                <w:szCs w:val="21"/>
                <w:highlight w:val="none"/>
                <w:lang w:val="en-US" w:eastAsia="zh-CN"/>
              </w:rPr>
              <w:t>6</w:t>
            </w:r>
          </w:p>
        </w:tc>
        <w:tc>
          <w:tcPr>
            <w:tcW w:w="1396" w:type="dxa"/>
            <w:tcBorders>
              <w:top w:val="single" w:color="auto" w:sz="6" w:space="0"/>
              <w:left w:val="single" w:color="auto" w:sz="6" w:space="0"/>
              <w:bottom w:val="single" w:color="auto" w:sz="6" w:space="0"/>
              <w:right w:val="single" w:color="auto" w:sz="6" w:space="0"/>
            </w:tcBorders>
            <w:noWrap w:val="0"/>
            <w:vAlign w:val="center"/>
          </w:tcPr>
          <w:p w14:paraId="4DA42F6A">
            <w:pPr>
              <w:autoSpaceDE w:val="0"/>
              <w:autoSpaceDN w:val="0"/>
              <w:adjustRightInd w:val="0"/>
              <w:snapToGrid w:val="0"/>
              <w:spacing w:line="360" w:lineRule="auto"/>
              <w:ind w:right="-20"/>
              <w:jc w:val="center"/>
              <w:rPr>
                <w:rFonts w:hint="eastAsia" w:ascii="宋体" w:hAnsi="宋体" w:eastAsia="宋体" w:cs="微软雅黑"/>
                <w:color w:val="auto"/>
                <w:kern w:val="0"/>
                <w:position w:val="-1"/>
                <w:sz w:val="21"/>
                <w:szCs w:val="21"/>
                <w:highlight w:val="none"/>
                <w:lang w:val="en-US" w:eastAsia="zh-CN"/>
              </w:rPr>
            </w:pPr>
            <w:r>
              <w:rPr>
                <w:rFonts w:hint="eastAsia" w:ascii="宋体" w:hAnsi="宋体" w:eastAsia="宋体" w:cs="微软雅黑"/>
                <w:color w:val="auto"/>
                <w:kern w:val="0"/>
                <w:position w:val="-1"/>
                <w:sz w:val="21"/>
                <w:szCs w:val="21"/>
                <w:highlight w:val="none"/>
                <w:lang w:val="en-US" w:eastAsia="zh-CN"/>
              </w:rPr>
              <w:t>税金</w:t>
            </w:r>
          </w:p>
        </w:tc>
        <w:tc>
          <w:tcPr>
            <w:tcW w:w="2324" w:type="dxa"/>
            <w:tcBorders>
              <w:top w:val="single" w:color="auto" w:sz="6" w:space="0"/>
              <w:left w:val="single" w:color="auto" w:sz="6" w:space="0"/>
              <w:bottom w:val="single" w:color="auto" w:sz="6" w:space="0"/>
              <w:right w:val="single" w:color="auto" w:sz="4" w:space="0"/>
            </w:tcBorders>
            <w:noWrap w:val="0"/>
            <w:vAlign w:val="center"/>
          </w:tcPr>
          <w:p w14:paraId="06BFC71E">
            <w:pPr>
              <w:autoSpaceDE w:val="0"/>
              <w:autoSpaceDN w:val="0"/>
              <w:adjustRightInd w:val="0"/>
              <w:snapToGrid w:val="0"/>
              <w:spacing w:line="360" w:lineRule="auto"/>
              <w:jc w:val="left"/>
              <w:rPr>
                <w:rFonts w:hint="default" w:ascii="宋体" w:hAnsi="宋体" w:eastAsia="宋体"/>
                <w:color w:val="auto"/>
                <w:kern w:val="0"/>
                <w:sz w:val="21"/>
                <w:szCs w:val="21"/>
                <w:highlight w:val="none"/>
                <w:lang w:val="en-US" w:eastAsia="zh-CN"/>
              </w:rPr>
            </w:pPr>
            <w:r>
              <w:rPr>
                <w:rFonts w:hint="eastAsia" w:ascii="宋体" w:hAnsi="宋体"/>
                <w:color w:val="auto"/>
                <w:kern w:val="0"/>
                <w:sz w:val="21"/>
                <w:szCs w:val="21"/>
                <w:highlight w:val="none"/>
                <w:lang w:val="en-US" w:eastAsia="zh-CN"/>
              </w:rPr>
              <w:t>结合前项内容按5.56%进行计算。</w:t>
            </w:r>
          </w:p>
        </w:tc>
        <w:tc>
          <w:tcPr>
            <w:tcW w:w="652" w:type="dxa"/>
            <w:tcBorders>
              <w:top w:val="single" w:color="auto" w:sz="6" w:space="0"/>
              <w:left w:val="single" w:color="auto" w:sz="4" w:space="0"/>
              <w:bottom w:val="single" w:color="auto" w:sz="6" w:space="0"/>
              <w:right w:val="single" w:color="auto" w:sz="6" w:space="0"/>
            </w:tcBorders>
            <w:noWrap w:val="0"/>
            <w:vAlign w:val="center"/>
          </w:tcPr>
          <w:p w14:paraId="3F69393A">
            <w:pPr>
              <w:autoSpaceDE w:val="0"/>
              <w:autoSpaceDN w:val="0"/>
              <w:adjustRightInd w:val="0"/>
              <w:snapToGrid w:val="0"/>
              <w:spacing w:line="360" w:lineRule="auto"/>
              <w:jc w:val="center"/>
              <w:rPr>
                <w:rFonts w:ascii="宋体" w:hAnsi="宋体" w:eastAsia="宋体"/>
                <w:color w:val="auto"/>
                <w:kern w:val="0"/>
                <w:sz w:val="21"/>
                <w:szCs w:val="21"/>
                <w:highlight w:val="none"/>
              </w:rPr>
            </w:pPr>
            <w:r>
              <w:rPr>
                <w:rFonts w:hint="eastAsia" w:ascii="宋体" w:hAnsi="宋体"/>
                <w:color w:val="auto"/>
                <w:kern w:val="0"/>
                <w:sz w:val="21"/>
                <w:szCs w:val="21"/>
                <w:highlight w:val="none"/>
                <w:lang w:val="en-US" w:eastAsia="zh-CN"/>
              </w:rPr>
              <w:t>项</w:t>
            </w:r>
          </w:p>
        </w:tc>
        <w:tc>
          <w:tcPr>
            <w:tcW w:w="718" w:type="dxa"/>
            <w:tcBorders>
              <w:top w:val="single" w:color="auto" w:sz="6" w:space="0"/>
              <w:left w:val="single" w:color="auto" w:sz="6" w:space="0"/>
              <w:bottom w:val="single" w:color="auto" w:sz="6" w:space="0"/>
              <w:right w:val="single" w:color="auto" w:sz="4" w:space="0"/>
            </w:tcBorders>
            <w:noWrap w:val="0"/>
            <w:vAlign w:val="center"/>
          </w:tcPr>
          <w:p w14:paraId="6D8AF713">
            <w:pPr>
              <w:autoSpaceDE w:val="0"/>
              <w:autoSpaceDN w:val="0"/>
              <w:adjustRightInd w:val="0"/>
              <w:snapToGrid w:val="0"/>
              <w:spacing w:line="360" w:lineRule="auto"/>
              <w:jc w:val="center"/>
              <w:rPr>
                <w:rFonts w:ascii="宋体" w:hAnsi="宋体" w:eastAsia="宋体"/>
                <w:color w:val="auto"/>
                <w:kern w:val="0"/>
                <w:sz w:val="21"/>
                <w:szCs w:val="21"/>
                <w:highlight w:val="none"/>
              </w:rPr>
            </w:pPr>
            <w:r>
              <w:rPr>
                <w:rFonts w:hint="eastAsia" w:ascii="宋体" w:hAnsi="宋体"/>
                <w:color w:val="auto"/>
                <w:kern w:val="0"/>
                <w:sz w:val="21"/>
                <w:szCs w:val="21"/>
                <w:highlight w:val="none"/>
                <w:lang w:val="en-US" w:eastAsia="zh-CN"/>
              </w:rPr>
              <w:t>1</w:t>
            </w:r>
          </w:p>
        </w:tc>
        <w:tc>
          <w:tcPr>
            <w:tcW w:w="765" w:type="dxa"/>
            <w:vMerge w:val="continue"/>
            <w:tcBorders>
              <w:left w:val="single" w:color="auto" w:sz="4" w:space="0"/>
              <w:bottom w:val="single" w:color="auto" w:sz="6" w:space="0"/>
              <w:right w:val="single" w:color="auto" w:sz="4" w:space="0"/>
            </w:tcBorders>
            <w:noWrap w:val="0"/>
            <w:vAlign w:val="top"/>
          </w:tcPr>
          <w:p w14:paraId="42F1F34C">
            <w:pPr>
              <w:autoSpaceDE w:val="0"/>
              <w:autoSpaceDN w:val="0"/>
              <w:adjustRightInd w:val="0"/>
              <w:snapToGrid w:val="0"/>
              <w:spacing w:line="360" w:lineRule="auto"/>
              <w:jc w:val="left"/>
              <w:rPr>
                <w:rFonts w:ascii="宋体" w:hAnsi="宋体" w:eastAsia="宋体"/>
                <w:color w:val="auto"/>
                <w:kern w:val="0"/>
                <w:sz w:val="21"/>
                <w:szCs w:val="21"/>
                <w:highlight w:val="none"/>
              </w:rPr>
            </w:pPr>
          </w:p>
        </w:tc>
        <w:tc>
          <w:tcPr>
            <w:tcW w:w="918" w:type="dxa"/>
            <w:tcBorders>
              <w:top w:val="single" w:color="auto" w:sz="6" w:space="0"/>
              <w:left w:val="single" w:color="auto" w:sz="4" w:space="0"/>
              <w:bottom w:val="single" w:color="auto" w:sz="6" w:space="0"/>
              <w:right w:val="single" w:color="auto" w:sz="6" w:space="0"/>
            </w:tcBorders>
            <w:noWrap w:val="0"/>
            <w:vAlign w:val="top"/>
          </w:tcPr>
          <w:p w14:paraId="78B9BD02">
            <w:pPr>
              <w:autoSpaceDE w:val="0"/>
              <w:autoSpaceDN w:val="0"/>
              <w:adjustRightInd w:val="0"/>
              <w:snapToGrid w:val="0"/>
              <w:spacing w:line="360" w:lineRule="auto"/>
              <w:jc w:val="center"/>
              <w:rPr>
                <w:rFonts w:ascii="宋体" w:hAnsi="宋体" w:eastAsia="宋体"/>
                <w:color w:val="auto"/>
                <w:kern w:val="0"/>
                <w:sz w:val="21"/>
                <w:szCs w:val="21"/>
                <w:highlight w:val="none"/>
              </w:rPr>
            </w:pPr>
          </w:p>
        </w:tc>
        <w:tc>
          <w:tcPr>
            <w:tcW w:w="925" w:type="dxa"/>
            <w:tcBorders>
              <w:top w:val="single" w:color="auto" w:sz="6" w:space="0"/>
              <w:left w:val="single" w:color="auto" w:sz="6" w:space="0"/>
              <w:bottom w:val="single" w:color="auto" w:sz="6" w:space="0"/>
              <w:right w:val="single" w:color="auto" w:sz="6" w:space="0"/>
            </w:tcBorders>
            <w:noWrap w:val="0"/>
            <w:vAlign w:val="top"/>
          </w:tcPr>
          <w:p w14:paraId="59C14C2F">
            <w:pPr>
              <w:autoSpaceDE w:val="0"/>
              <w:autoSpaceDN w:val="0"/>
              <w:adjustRightInd w:val="0"/>
              <w:snapToGrid w:val="0"/>
              <w:spacing w:line="360" w:lineRule="auto"/>
              <w:jc w:val="left"/>
              <w:rPr>
                <w:rFonts w:ascii="宋体" w:hAnsi="宋体" w:eastAsia="宋体"/>
                <w:color w:val="auto"/>
                <w:kern w:val="0"/>
                <w:sz w:val="21"/>
                <w:szCs w:val="21"/>
                <w:highlight w:val="none"/>
              </w:rPr>
            </w:pPr>
          </w:p>
        </w:tc>
        <w:tc>
          <w:tcPr>
            <w:tcW w:w="922" w:type="dxa"/>
            <w:tcBorders>
              <w:top w:val="single" w:color="auto" w:sz="6" w:space="0"/>
              <w:left w:val="single" w:color="auto" w:sz="6" w:space="0"/>
              <w:bottom w:val="single" w:color="auto" w:sz="6" w:space="0"/>
              <w:right w:val="double" w:color="auto" w:sz="4" w:space="0"/>
            </w:tcBorders>
            <w:noWrap w:val="0"/>
            <w:vAlign w:val="top"/>
          </w:tcPr>
          <w:p w14:paraId="1C1EBC68">
            <w:pPr>
              <w:autoSpaceDE w:val="0"/>
              <w:autoSpaceDN w:val="0"/>
              <w:adjustRightInd w:val="0"/>
              <w:snapToGrid w:val="0"/>
              <w:spacing w:line="360" w:lineRule="auto"/>
              <w:jc w:val="left"/>
              <w:rPr>
                <w:rFonts w:ascii="宋体" w:hAnsi="宋体" w:eastAsia="宋体"/>
                <w:color w:val="auto"/>
                <w:kern w:val="0"/>
                <w:sz w:val="21"/>
                <w:szCs w:val="21"/>
                <w:highlight w:val="none"/>
              </w:rPr>
            </w:pPr>
          </w:p>
        </w:tc>
      </w:tr>
      <w:tr w14:paraId="571A1D0B">
        <w:tblPrEx>
          <w:tblCellMar>
            <w:top w:w="0" w:type="dxa"/>
            <w:left w:w="0" w:type="dxa"/>
            <w:bottom w:w="0" w:type="dxa"/>
            <w:right w:w="0" w:type="dxa"/>
          </w:tblCellMar>
        </w:tblPrEx>
        <w:trPr>
          <w:trHeight w:val="585" w:hRule="exact"/>
        </w:trPr>
        <w:tc>
          <w:tcPr>
            <w:tcW w:w="8956" w:type="dxa"/>
            <w:gridSpan w:val="9"/>
            <w:tcBorders>
              <w:top w:val="single" w:color="auto" w:sz="6" w:space="0"/>
              <w:left w:val="double" w:color="auto" w:sz="4" w:space="0"/>
              <w:bottom w:val="double" w:color="auto" w:sz="4" w:space="0"/>
              <w:right w:val="double" w:color="auto" w:sz="4" w:space="0"/>
            </w:tcBorders>
            <w:noWrap w:val="0"/>
            <w:vAlign w:val="center"/>
          </w:tcPr>
          <w:p w14:paraId="44920D43">
            <w:pPr>
              <w:autoSpaceDE w:val="0"/>
              <w:autoSpaceDN w:val="0"/>
              <w:adjustRightInd w:val="0"/>
              <w:snapToGrid w:val="0"/>
              <w:spacing w:line="360" w:lineRule="auto"/>
              <w:jc w:val="center"/>
              <w:rPr>
                <w:rFonts w:ascii="宋体" w:hAnsi="宋体" w:eastAsia="宋体"/>
                <w:color w:val="auto"/>
                <w:kern w:val="0"/>
                <w:sz w:val="21"/>
                <w:szCs w:val="21"/>
                <w:highlight w:val="none"/>
              </w:rPr>
            </w:pPr>
            <w:r>
              <w:rPr>
                <w:rFonts w:hint="eastAsia" w:ascii="宋体" w:hAnsi="宋体" w:eastAsia="宋体" w:cs="微软雅黑"/>
                <w:color w:val="auto"/>
                <w:kern w:val="0"/>
                <w:position w:val="-1"/>
                <w:sz w:val="21"/>
                <w:szCs w:val="21"/>
                <w:highlight w:val="none"/>
              </w:rPr>
              <w:t>投标报价（元）：</w:t>
            </w:r>
          </w:p>
        </w:tc>
      </w:tr>
    </w:tbl>
    <w:p w14:paraId="7880AF71">
      <w:pPr>
        <w:adjustRightInd w:val="0"/>
        <w:snapToGrid w:val="0"/>
        <w:spacing w:line="360" w:lineRule="auto"/>
        <w:rPr>
          <w:rFonts w:ascii="宋体" w:hAnsi="宋体" w:eastAsia="宋体"/>
        </w:rPr>
      </w:pPr>
      <w:r>
        <w:rPr>
          <w:rFonts w:hint="eastAsia" w:ascii="宋体" w:hAnsi="宋体" w:eastAsia="宋体"/>
        </w:rPr>
        <w:t>备注：</w:t>
      </w:r>
    </w:p>
    <w:p w14:paraId="5B14FF35">
      <w:pPr>
        <w:ind w:firstLine="480" w:firstLineChars="200"/>
        <w:rPr>
          <w:rFonts w:hint="default" w:ascii="宋体" w:hAnsi="宋体" w:eastAsia="宋体"/>
          <w:b/>
          <w:lang w:val="en-US" w:eastAsia="zh-CN"/>
        </w:rPr>
      </w:pPr>
      <w:r>
        <w:rPr>
          <w:rFonts w:ascii="宋体" w:hAnsi="宋体" w:eastAsia="宋体" w:cs="Times New Roman"/>
          <w:kern w:val="2"/>
          <w:sz w:val="24"/>
          <w:szCs w:val="24"/>
          <w:lang w:val="en-US" w:eastAsia="zh-CN" w:bidi="ar-SA"/>
        </w:rPr>
        <w:t>（1）</w:t>
      </w:r>
      <w:r>
        <w:rPr>
          <w:rFonts w:hint="eastAsia" w:ascii="宋体" w:hAnsi="宋体" w:eastAsia="宋体"/>
          <w:b/>
        </w:rPr>
        <w:t>本表应对应“开标一览表”</w:t>
      </w:r>
      <w:r>
        <w:rPr>
          <w:rFonts w:hint="eastAsia" w:ascii="宋体" w:hAnsi="宋体"/>
          <w:b/>
          <w:lang w:eastAsia="zh-CN"/>
        </w:rPr>
        <w:t>，</w:t>
      </w:r>
      <w:r>
        <w:rPr>
          <w:rFonts w:hint="eastAsia" w:ascii="宋体" w:hAnsi="宋体" w:eastAsia="宋体"/>
          <w:b/>
        </w:rPr>
        <w:t>投标人应根据</w:t>
      </w:r>
      <w:r>
        <w:rPr>
          <w:rFonts w:hint="eastAsia" w:ascii="宋体" w:hAnsi="宋体" w:eastAsia="宋体"/>
          <w:b/>
          <w:lang w:eastAsia="zh-CN"/>
        </w:rPr>
        <w:t>采购需求及</w:t>
      </w:r>
      <w:r>
        <w:rPr>
          <w:rFonts w:hint="eastAsia" w:ascii="宋体" w:hAnsi="宋体"/>
          <w:b/>
          <w:lang w:val="en-US" w:eastAsia="zh-CN"/>
        </w:rPr>
        <w:t>招标</w:t>
      </w:r>
      <w:r>
        <w:rPr>
          <w:rFonts w:hint="eastAsia" w:ascii="宋体" w:hAnsi="宋体" w:eastAsia="宋体"/>
          <w:b/>
          <w:lang w:eastAsia="zh-CN"/>
        </w:rPr>
        <w:t>内容</w:t>
      </w:r>
      <w:r>
        <w:rPr>
          <w:rFonts w:hint="eastAsia" w:ascii="宋体" w:hAnsi="宋体" w:eastAsia="宋体"/>
          <w:b/>
        </w:rPr>
        <w:t>进行分项报价。</w:t>
      </w:r>
    </w:p>
    <w:p w14:paraId="75B9756D">
      <w:pPr>
        <w:numPr>
          <w:ilvl w:val="0"/>
          <w:numId w:val="0"/>
        </w:numPr>
        <w:adjustRightInd w:val="0"/>
        <w:snapToGrid w:val="0"/>
        <w:spacing w:line="360" w:lineRule="auto"/>
        <w:ind w:firstLine="480" w:firstLineChars="200"/>
        <w:rPr>
          <w:rFonts w:ascii="宋体" w:hAnsi="宋体" w:eastAsia="宋体"/>
        </w:rPr>
      </w:pPr>
      <w:r>
        <w:rPr>
          <w:rFonts w:hint="eastAsia" w:ascii="宋体" w:hAnsi="宋体" w:eastAsia="宋体"/>
        </w:rPr>
        <w:t>（2）不得填写“免费”或“赠与”，也不得进行“零”报价，否则</w:t>
      </w:r>
      <w:r>
        <w:rPr>
          <w:rFonts w:hint="eastAsia" w:ascii="宋体" w:hAnsi="宋体" w:eastAsia="宋体"/>
          <w:b/>
        </w:rPr>
        <w:t>投标无效</w:t>
      </w:r>
      <w:r>
        <w:rPr>
          <w:rFonts w:hint="eastAsia" w:ascii="宋体" w:hAnsi="宋体" w:eastAsia="宋体"/>
        </w:rPr>
        <w:t>。</w:t>
      </w:r>
    </w:p>
    <w:p w14:paraId="1CD62FC1">
      <w:pPr>
        <w:adjustRightInd w:val="0"/>
        <w:snapToGrid w:val="0"/>
        <w:spacing w:line="360" w:lineRule="auto"/>
        <w:ind w:firstLine="480" w:firstLineChars="200"/>
        <w:rPr>
          <w:rFonts w:ascii="宋体" w:hAnsi="宋体" w:eastAsia="宋体"/>
        </w:rPr>
      </w:pPr>
      <w:r>
        <w:rPr>
          <w:rFonts w:hint="eastAsia" w:ascii="宋体" w:hAnsi="宋体" w:eastAsia="宋体"/>
        </w:rPr>
        <w:t>（3）如果开标一览表内容与本表内容不一致的，以开标一览表内容为准。</w:t>
      </w:r>
    </w:p>
    <w:p w14:paraId="62BA5630">
      <w:pPr>
        <w:adjustRightInd w:val="0"/>
        <w:snapToGrid w:val="0"/>
        <w:spacing w:line="360" w:lineRule="auto"/>
        <w:ind w:firstLine="480" w:firstLineChars="200"/>
        <w:rPr>
          <w:rFonts w:ascii="宋体" w:hAnsi="宋体" w:eastAsia="宋体"/>
        </w:rPr>
      </w:pPr>
      <w:r>
        <w:rPr>
          <w:rFonts w:hint="eastAsia" w:ascii="宋体" w:hAnsi="宋体" w:eastAsia="宋体"/>
        </w:rPr>
        <w:t>（4）投标人在投标截止时间前修改“开标一览表”中的投标报价的，应按第二章第13.7款规定修改本表相应内容。否则，本表相应内容按投标报价修改的相同比例进行调整。</w:t>
      </w:r>
    </w:p>
    <w:p w14:paraId="10129F58">
      <w:pPr>
        <w:adjustRightInd w:val="0"/>
        <w:snapToGrid w:val="0"/>
        <w:spacing w:line="360" w:lineRule="auto"/>
        <w:ind w:firstLine="482" w:firstLineChars="200"/>
        <w:rPr>
          <w:rFonts w:ascii="宋体" w:hAnsi="宋体" w:eastAsia="宋体"/>
          <w:b/>
        </w:rPr>
      </w:pPr>
    </w:p>
    <w:p w14:paraId="7121A17D">
      <w:pPr>
        <w:adjustRightInd w:val="0"/>
        <w:snapToGrid w:val="0"/>
        <w:spacing w:line="360" w:lineRule="auto"/>
        <w:rPr>
          <w:rFonts w:ascii="宋体" w:hAnsi="宋体" w:eastAsia="宋体"/>
        </w:rPr>
      </w:pPr>
    </w:p>
    <w:p w14:paraId="5D552A29">
      <w:pPr>
        <w:adjustRightInd w:val="0"/>
        <w:snapToGrid w:val="0"/>
        <w:spacing w:line="360" w:lineRule="auto"/>
        <w:rPr>
          <w:rFonts w:ascii="宋体" w:hAnsi="宋体" w:eastAsia="宋体"/>
        </w:rPr>
      </w:pPr>
      <w:r>
        <w:rPr>
          <w:rFonts w:hint="eastAsia" w:ascii="宋体" w:hAnsi="宋体" w:eastAsia="宋体"/>
        </w:rPr>
        <w:t>投标人名称（盖单位章）：</w:t>
      </w:r>
    </w:p>
    <w:p w14:paraId="1575DDCE">
      <w:pPr>
        <w:adjustRightInd w:val="0"/>
        <w:snapToGrid w:val="0"/>
        <w:spacing w:line="360" w:lineRule="auto"/>
        <w:rPr>
          <w:rFonts w:ascii="宋体" w:hAnsi="宋体" w:eastAsia="宋体"/>
        </w:rPr>
      </w:pPr>
      <w:r>
        <w:rPr>
          <w:rFonts w:hint="eastAsia" w:ascii="宋体" w:hAnsi="宋体" w:eastAsia="宋体"/>
          <w:spacing w:val="-2"/>
          <w:kern w:val="0"/>
        </w:rPr>
        <w:t>法</w:t>
      </w:r>
      <w:r>
        <w:rPr>
          <w:rFonts w:hint="eastAsia" w:ascii="宋体" w:hAnsi="宋体" w:eastAsia="宋体"/>
          <w:kern w:val="0"/>
        </w:rPr>
        <w:t>定</w:t>
      </w:r>
      <w:r>
        <w:rPr>
          <w:rFonts w:hint="eastAsia" w:ascii="宋体" w:hAnsi="宋体" w:eastAsia="宋体"/>
          <w:spacing w:val="-2"/>
          <w:kern w:val="0"/>
        </w:rPr>
        <w:t>代</w:t>
      </w:r>
      <w:r>
        <w:rPr>
          <w:rFonts w:hint="eastAsia" w:ascii="宋体" w:hAnsi="宋体" w:eastAsia="宋体"/>
          <w:kern w:val="0"/>
        </w:rPr>
        <w:t>表</w:t>
      </w:r>
      <w:r>
        <w:rPr>
          <w:rFonts w:hint="eastAsia" w:ascii="宋体" w:hAnsi="宋体" w:eastAsia="宋体"/>
          <w:spacing w:val="-2"/>
          <w:kern w:val="0"/>
        </w:rPr>
        <w:t>人</w:t>
      </w:r>
      <w:r>
        <w:rPr>
          <w:rFonts w:hint="eastAsia" w:ascii="宋体" w:hAnsi="宋体" w:eastAsia="宋体"/>
          <w:kern w:val="0"/>
        </w:rPr>
        <w:t>（</w:t>
      </w:r>
      <w:r>
        <w:rPr>
          <w:rFonts w:hint="eastAsia" w:ascii="宋体" w:hAnsi="宋体" w:eastAsia="宋体"/>
          <w:spacing w:val="-2"/>
          <w:kern w:val="0"/>
        </w:rPr>
        <w:t>单</w:t>
      </w:r>
      <w:r>
        <w:rPr>
          <w:rFonts w:hint="eastAsia" w:ascii="宋体" w:hAnsi="宋体" w:eastAsia="宋体"/>
          <w:kern w:val="0"/>
        </w:rPr>
        <w:t>位</w:t>
      </w:r>
      <w:r>
        <w:rPr>
          <w:rFonts w:hint="eastAsia" w:ascii="宋体" w:hAnsi="宋体" w:eastAsia="宋体"/>
          <w:spacing w:val="-2"/>
          <w:kern w:val="0"/>
        </w:rPr>
        <w:t>负</w:t>
      </w:r>
      <w:r>
        <w:rPr>
          <w:rFonts w:hint="eastAsia" w:ascii="宋体" w:hAnsi="宋体" w:eastAsia="宋体"/>
          <w:kern w:val="0"/>
        </w:rPr>
        <w:t>责人</w:t>
      </w:r>
      <w:r>
        <w:rPr>
          <w:rFonts w:hint="eastAsia" w:ascii="宋体" w:hAnsi="宋体" w:eastAsia="宋体"/>
          <w:spacing w:val="-2"/>
          <w:kern w:val="0"/>
        </w:rPr>
        <w:t>）</w:t>
      </w:r>
      <w:r>
        <w:rPr>
          <w:rFonts w:hint="eastAsia" w:ascii="宋体" w:hAnsi="宋体" w:eastAsia="宋体"/>
        </w:rPr>
        <w:t>或其授权的代理人（</w:t>
      </w:r>
      <w:r>
        <w:rPr>
          <w:rFonts w:hint="eastAsia" w:ascii="宋体" w:hAnsi="宋体" w:eastAsia="宋体"/>
          <w:lang w:eastAsia="zh-CN"/>
        </w:rPr>
        <w:t>签字</w:t>
      </w:r>
      <w:r>
        <w:rPr>
          <w:rFonts w:hint="eastAsia" w:ascii="宋体" w:hAnsi="宋体"/>
          <w:lang w:val="en-US" w:eastAsia="zh-CN"/>
        </w:rPr>
        <w:t>或</w:t>
      </w:r>
      <w:r>
        <w:rPr>
          <w:rFonts w:hint="eastAsia" w:ascii="宋体" w:hAnsi="宋体" w:eastAsia="宋体"/>
          <w:lang w:eastAsia="zh-CN"/>
        </w:rPr>
        <w:t>印章</w:t>
      </w:r>
      <w:r>
        <w:rPr>
          <w:rFonts w:hint="eastAsia" w:ascii="宋体" w:hAnsi="宋体" w:eastAsia="宋体"/>
        </w:rPr>
        <w:t>）：</w:t>
      </w:r>
      <w:r>
        <w:rPr>
          <w:rFonts w:hint="eastAsia" w:ascii="宋体" w:hAnsi="宋体" w:eastAsia="宋体"/>
          <w:u w:val="single"/>
        </w:rPr>
        <w:t xml:space="preserve">       </w:t>
      </w:r>
    </w:p>
    <w:p w14:paraId="7B8DA0F2">
      <w:pPr>
        <w:adjustRightInd w:val="0"/>
        <w:snapToGrid w:val="0"/>
        <w:spacing w:line="360" w:lineRule="auto"/>
        <w:rPr>
          <w:rFonts w:hint="eastAsia" w:eastAsia="宋体"/>
          <w:lang w:eastAsia="zh-CN"/>
        </w:rPr>
      </w:pPr>
      <w:r>
        <w:rPr>
          <w:rFonts w:hint="eastAsia" w:ascii="宋体" w:hAnsi="宋体" w:eastAsia="宋体"/>
        </w:rPr>
        <w:t>日期：</w:t>
      </w:r>
      <w:r>
        <w:rPr>
          <w:rFonts w:hint="eastAsia" w:ascii="宋体" w:hAnsi="宋体" w:eastAsia="宋体"/>
          <w:u w:val="single"/>
        </w:rPr>
        <w:t xml:space="preserve">        </w:t>
      </w:r>
      <w:r>
        <w:rPr>
          <w:rFonts w:hint="eastAsia" w:ascii="宋体" w:hAnsi="宋体" w:eastAsia="宋体"/>
        </w:rPr>
        <w:t>年</w:t>
      </w:r>
      <w:r>
        <w:rPr>
          <w:rFonts w:hint="eastAsia" w:ascii="宋体" w:hAnsi="宋体" w:eastAsia="宋体"/>
          <w:u w:val="single"/>
        </w:rPr>
        <w:t xml:space="preserve">    </w:t>
      </w:r>
      <w:r>
        <w:rPr>
          <w:rFonts w:hint="eastAsia" w:ascii="宋体" w:hAnsi="宋体" w:eastAsia="宋体"/>
        </w:rPr>
        <w:t>月</w:t>
      </w:r>
      <w:r>
        <w:rPr>
          <w:rFonts w:hint="eastAsia" w:ascii="宋体" w:hAnsi="宋体" w:eastAsia="宋体"/>
          <w:u w:val="single"/>
        </w:rPr>
        <w:t xml:space="preserve">   </w:t>
      </w:r>
      <w:r>
        <w:rPr>
          <w:rFonts w:hint="eastAsia" w:ascii="宋体" w:hAnsi="宋体" w:eastAsia="宋体"/>
        </w:rPr>
        <w:t>日</w:t>
      </w:r>
    </w:p>
    <w:p w14:paraId="2B544932">
      <w:pPr>
        <w:pStyle w:val="2"/>
        <w:numPr>
          <w:ilvl w:val="0"/>
          <w:numId w:val="0"/>
        </w:numPr>
        <w:adjustRightInd w:val="0"/>
        <w:snapToGrid w:val="0"/>
        <w:spacing w:before="0" w:after="0" w:line="360" w:lineRule="auto"/>
        <w:jc w:val="center"/>
        <w:rPr>
          <w:rFonts w:hint="eastAsia" w:ascii="黑体" w:hAnsi="宋体" w:eastAsia="黑体"/>
          <w:color w:val="000000"/>
          <w:sz w:val="28"/>
          <w:szCs w:val="28"/>
          <w:lang w:val="en-US" w:eastAsia="zh-CN"/>
        </w:rPr>
      </w:pPr>
    </w:p>
    <w:p w14:paraId="719971AE">
      <w:pPr>
        <w:pStyle w:val="2"/>
        <w:numPr>
          <w:ilvl w:val="0"/>
          <w:numId w:val="0"/>
        </w:numPr>
        <w:adjustRightInd w:val="0"/>
        <w:snapToGrid w:val="0"/>
        <w:spacing w:before="0" w:after="0" w:line="360" w:lineRule="auto"/>
        <w:jc w:val="center"/>
        <w:rPr>
          <w:rFonts w:hint="eastAsia" w:ascii="黑体" w:hAnsi="宋体" w:eastAsia="黑体"/>
          <w:color w:val="000000"/>
          <w:sz w:val="28"/>
          <w:szCs w:val="28"/>
          <w:lang w:val="en-US" w:eastAsia="zh-CN"/>
        </w:rPr>
      </w:pPr>
    </w:p>
    <w:p w14:paraId="226872EB">
      <w:pPr>
        <w:rPr>
          <w:rFonts w:hint="eastAsia" w:ascii="黑体" w:hAnsi="宋体" w:eastAsia="黑体"/>
          <w:color w:val="000000"/>
          <w:sz w:val="28"/>
          <w:szCs w:val="28"/>
          <w:lang w:val="en-US" w:eastAsia="zh-CN"/>
        </w:rPr>
      </w:pPr>
    </w:p>
    <w:p w14:paraId="147B63E6">
      <w:pPr>
        <w:pStyle w:val="2"/>
        <w:rPr>
          <w:rFonts w:hint="eastAsia" w:ascii="黑体" w:hAnsi="宋体" w:eastAsia="黑体"/>
          <w:color w:val="000000"/>
          <w:sz w:val="28"/>
          <w:szCs w:val="28"/>
          <w:lang w:val="en-US" w:eastAsia="zh-CN"/>
        </w:rPr>
      </w:pPr>
    </w:p>
    <w:p w14:paraId="27C8DEE5">
      <w:pPr>
        <w:rPr>
          <w:rFonts w:hint="eastAsia" w:ascii="黑体" w:hAnsi="宋体" w:eastAsia="黑体"/>
          <w:color w:val="000000"/>
          <w:sz w:val="28"/>
          <w:szCs w:val="28"/>
          <w:lang w:val="en-US" w:eastAsia="zh-CN"/>
        </w:rPr>
      </w:pPr>
    </w:p>
    <w:p w14:paraId="13BE4CAD">
      <w:pPr>
        <w:pStyle w:val="2"/>
        <w:rPr>
          <w:rFonts w:hint="eastAsia" w:ascii="黑体" w:hAnsi="宋体" w:eastAsia="黑体"/>
          <w:color w:val="000000"/>
          <w:sz w:val="28"/>
          <w:szCs w:val="28"/>
          <w:lang w:val="en-US" w:eastAsia="zh-CN"/>
        </w:rPr>
      </w:pPr>
    </w:p>
    <w:p w14:paraId="207D3593">
      <w:pPr>
        <w:rPr>
          <w:rFonts w:hint="eastAsia" w:ascii="黑体" w:hAnsi="宋体" w:eastAsia="黑体"/>
          <w:color w:val="000000"/>
          <w:sz w:val="28"/>
          <w:szCs w:val="28"/>
          <w:lang w:val="en-US" w:eastAsia="zh-CN"/>
        </w:rPr>
      </w:pPr>
    </w:p>
    <w:p w14:paraId="7D652474">
      <w:pPr>
        <w:pStyle w:val="2"/>
        <w:rPr>
          <w:rFonts w:hint="eastAsia" w:ascii="黑体" w:hAnsi="宋体" w:eastAsia="黑体"/>
          <w:color w:val="000000"/>
          <w:sz w:val="28"/>
          <w:szCs w:val="28"/>
          <w:lang w:val="en-US" w:eastAsia="zh-CN"/>
        </w:rPr>
      </w:pPr>
    </w:p>
    <w:p w14:paraId="12D18F1E">
      <w:pPr>
        <w:rPr>
          <w:rFonts w:hint="eastAsia" w:ascii="黑体" w:hAnsi="宋体" w:eastAsia="黑体"/>
          <w:color w:val="000000"/>
          <w:sz w:val="28"/>
          <w:szCs w:val="28"/>
          <w:lang w:val="en-US" w:eastAsia="zh-CN"/>
        </w:rPr>
      </w:pPr>
    </w:p>
    <w:p w14:paraId="3BF9FA49">
      <w:pPr>
        <w:pStyle w:val="2"/>
        <w:rPr>
          <w:rFonts w:hint="eastAsia"/>
          <w:lang w:val="en-US" w:eastAsia="zh-CN"/>
        </w:rPr>
      </w:pPr>
    </w:p>
    <w:p w14:paraId="62DDBF26">
      <w:pPr>
        <w:pStyle w:val="2"/>
        <w:numPr>
          <w:ilvl w:val="0"/>
          <w:numId w:val="0"/>
        </w:numPr>
        <w:adjustRightInd w:val="0"/>
        <w:snapToGrid w:val="0"/>
        <w:spacing w:before="0" w:after="0" w:line="360" w:lineRule="auto"/>
        <w:jc w:val="center"/>
        <w:rPr>
          <w:rFonts w:hint="eastAsia" w:ascii="黑体" w:hAnsi="宋体" w:eastAsia="黑体"/>
          <w:color w:val="000000"/>
          <w:sz w:val="28"/>
          <w:szCs w:val="28"/>
          <w:lang w:val="en-US" w:eastAsia="zh-CN"/>
        </w:rPr>
      </w:pPr>
    </w:p>
    <w:p w14:paraId="48C5840B">
      <w:pPr>
        <w:pStyle w:val="2"/>
        <w:numPr>
          <w:ilvl w:val="0"/>
          <w:numId w:val="0"/>
        </w:numPr>
        <w:adjustRightInd w:val="0"/>
        <w:snapToGrid w:val="0"/>
        <w:spacing w:before="0" w:after="0" w:line="360" w:lineRule="auto"/>
        <w:jc w:val="center"/>
        <w:rPr>
          <w:rFonts w:hint="eastAsia" w:ascii="黑体" w:hAnsi="宋体" w:eastAsia="黑体"/>
          <w:color w:val="000000"/>
          <w:sz w:val="28"/>
          <w:szCs w:val="28"/>
          <w:lang w:val="en-US" w:eastAsia="zh-CN"/>
        </w:rPr>
      </w:pPr>
    </w:p>
    <w:p w14:paraId="70D5A28B">
      <w:pPr>
        <w:pStyle w:val="2"/>
        <w:numPr>
          <w:ilvl w:val="0"/>
          <w:numId w:val="0"/>
        </w:numPr>
        <w:adjustRightInd w:val="0"/>
        <w:snapToGrid w:val="0"/>
        <w:spacing w:before="0" w:after="0" w:line="360" w:lineRule="auto"/>
        <w:jc w:val="center"/>
        <w:rPr>
          <w:rFonts w:hint="eastAsia" w:ascii="黑体" w:hAnsi="宋体" w:eastAsia="黑体"/>
          <w:color w:val="000000"/>
          <w:sz w:val="28"/>
          <w:szCs w:val="28"/>
          <w:lang w:val="en-US" w:eastAsia="zh-CN"/>
        </w:rPr>
      </w:pPr>
      <w:bookmarkStart w:id="163" w:name="_Toc22256"/>
      <w:r>
        <w:rPr>
          <w:rFonts w:hint="eastAsia" w:ascii="黑体" w:hAnsi="宋体" w:eastAsia="黑体"/>
          <w:color w:val="000000"/>
          <w:sz w:val="28"/>
          <w:szCs w:val="28"/>
          <w:lang w:val="en-US" w:eastAsia="zh-CN"/>
        </w:rPr>
        <w:t>七、采购需求响应</w:t>
      </w:r>
      <w:bookmarkEnd w:id="163"/>
    </w:p>
    <w:p w14:paraId="22E57628">
      <w:pPr>
        <w:adjustRightInd w:val="0"/>
        <w:snapToGrid w:val="0"/>
        <w:spacing w:line="360" w:lineRule="auto"/>
        <w:rPr>
          <w:rFonts w:ascii="宋体" w:hAnsi="宋体"/>
          <w:b/>
          <w:color w:val="000000"/>
          <w:szCs w:val="21"/>
        </w:rPr>
      </w:pPr>
    </w:p>
    <w:p w14:paraId="700A2D96">
      <w:pPr>
        <w:adjustRightInd w:val="0"/>
        <w:snapToGrid w:val="0"/>
        <w:spacing w:line="360" w:lineRule="auto"/>
        <w:rPr>
          <w:b/>
        </w:rPr>
      </w:pPr>
      <w:r>
        <w:rPr>
          <w:rFonts w:hint="eastAsia" w:asciiTheme="minorEastAsia" w:hAnsiTheme="minorEastAsia" w:eastAsiaTheme="minorEastAsia"/>
          <w:b/>
          <w:szCs w:val="21"/>
        </w:rPr>
        <w:t>编制说明</w:t>
      </w:r>
      <w:r>
        <w:rPr>
          <w:rFonts w:hint="eastAsia" w:asciiTheme="minorEastAsia" w:hAnsiTheme="minorEastAsia" w:eastAsiaTheme="minorEastAsia"/>
          <w:bCs/>
          <w:szCs w:val="21"/>
        </w:rPr>
        <w:t>：</w:t>
      </w:r>
      <w:r>
        <w:rPr>
          <w:rFonts w:hint="eastAsia"/>
          <w:b/>
        </w:rPr>
        <w:t>投标人应按招标文件第五章采购需求自行编写采购需求响应文件（其内容可包括，且不限于详细的技术指标和性能、售后服务和技术服务的组织及保证措施等，格式自拟）。</w:t>
      </w:r>
    </w:p>
    <w:p w14:paraId="1A8B9FC3">
      <w:pPr>
        <w:pStyle w:val="27"/>
        <w:adjustRightInd w:val="0"/>
        <w:snapToGrid w:val="0"/>
        <w:spacing w:line="360" w:lineRule="auto"/>
        <w:ind w:left="-101" w:leftChars="-42"/>
        <w:rPr>
          <w:rFonts w:ascii="宋体" w:hAnsi="宋体"/>
          <w:bCs/>
          <w:sz w:val="21"/>
          <w:szCs w:val="21"/>
        </w:rPr>
      </w:pPr>
    </w:p>
    <w:p w14:paraId="2F401566"/>
    <w:p w14:paraId="23C4DF3F"/>
    <w:p w14:paraId="51333A83">
      <w:pPr>
        <w:pStyle w:val="27"/>
        <w:tabs>
          <w:tab w:val="left" w:pos="6208"/>
        </w:tabs>
        <w:adjustRightInd w:val="0"/>
        <w:snapToGrid w:val="0"/>
        <w:spacing w:line="360" w:lineRule="auto"/>
        <w:ind w:left="-101" w:leftChars="-42"/>
        <w:rPr>
          <w:rFonts w:ascii="宋体" w:hAnsi="宋体"/>
          <w:bCs/>
          <w:sz w:val="21"/>
          <w:szCs w:val="21"/>
        </w:rPr>
      </w:pPr>
    </w:p>
    <w:p w14:paraId="40E3BCCE">
      <w:pPr>
        <w:adjustRightInd w:val="0"/>
        <w:snapToGrid w:val="0"/>
        <w:spacing w:line="360" w:lineRule="auto"/>
        <w:rPr>
          <w:rFonts w:ascii="宋体" w:hAnsi="宋体"/>
          <w:szCs w:val="21"/>
        </w:rPr>
      </w:pPr>
    </w:p>
    <w:p w14:paraId="7DB3DB11">
      <w:pPr>
        <w:adjustRightInd w:val="0"/>
        <w:snapToGrid w:val="0"/>
        <w:spacing w:line="360" w:lineRule="auto"/>
        <w:rPr>
          <w:rFonts w:ascii="宋体" w:hAnsi="宋体"/>
          <w:szCs w:val="21"/>
        </w:rPr>
      </w:pPr>
      <w:r>
        <w:rPr>
          <w:rFonts w:hint="eastAsia" w:ascii="宋体" w:hAnsi="宋体"/>
          <w:szCs w:val="21"/>
        </w:rPr>
        <w:t>投标人名称（盖单位电子章）：</w:t>
      </w:r>
    </w:p>
    <w:p w14:paraId="2F78634B">
      <w:pPr>
        <w:adjustRightInd w:val="0"/>
        <w:snapToGrid w:val="0"/>
        <w:spacing w:line="360" w:lineRule="auto"/>
        <w:rPr>
          <w:rFonts w:ascii="宋体" w:hAnsi="宋体"/>
          <w:szCs w:val="21"/>
          <w:u w:val="single"/>
        </w:rPr>
      </w:pPr>
      <w:r>
        <w:rPr>
          <w:rFonts w:hint="eastAsia" w:cs="微软雅黑" w:asciiTheme="minorEastAsia" w:hAnsiTheme="minorEastAsia" w:eastAsiaTheme="minorEastAsia"/>
          <w:spacing w:val="-2"/>
          <w:kern w:val="0"/>
          <w:szCs w:val="21"/>
        </w:rPr>
        <w:t>法</w:t>
      </w:r>
      <w:r>
        <w:rPr>
          <w:rFonts w:hint="eastAsia" w:cs="微软雅黑" w:asciiTheme="minorEastAsia" w:hAnsiTheme="minorEastAsia" w:eastAsiaTheme="minorEastAsia"/>
          <w:kern w:val="0"/>
          <w:szCs w:val="21"/>
        </w:rPr>
        <w:t>定</w:t>
      </w:r>
      <w:r>
        <w:rPr>
          <w:rFonts w:hint="eastAsia" w:cs="微软雅黑" w:asciiTheme="minorEastAsia" w:hAnsiTheme="minorEastAsia" w:eastAsiaTheme="minorEastAsia"/>
          <w:spacing w:val="-2"/>
          <w:kern w:val="0"/>
          <w:szCs w:val="21"/>
        </w:rPr>
        <w:t>代</w:t>
      </w:r>
      <w:r>
        <w:rPr>
          <w:rFonts w:hint="eastAsia" w:cs="微软雅黑" w:asciiTheme="minorEastAsia" w:hAnsiTheme="minorEastAsia" w:eastAsiaTheme="minorEastAsia"/>
          <w:kern w:val="0"/>
          <w:szCs w:val="21"/>
        </w:rPr>
        <w:t>表</w:t>
      </w:r>
      <w:r>
        <w:rPr>
          <w:rFonts w:hint="eastAsia" w:cs="微软雅黑" w:asciiTheme="minorEastAsia" w:hAnsiTheme="minorEastAsia" w:eastAsiaTheme="minorEastAsia"/>
          <w:spacing w:val="-2"/>
          <w:kern w:val="0"/>
          <w:szCs w:val="21"/>
        </w:rPr>
        <w:t>人</w:t>
      </w:r>
      <w:r>
        <w:rPr>
          <w:rFonts w:hint="eastAsia" w:cs="微软雅黑" w:asciiTheme="minorEastAsia" w:hAnsiTheme="minorEastAsia" w:eastAsiaTheme="minorEastAsia"/>
          <w:kern w:val="0"/>
          <w:szCs w:val="21"/>
        </w:rPr>
        <w:t>（</w:t>
      </w:r>
      <w:r>
        <w:rPr>
          <w:rFonts w:hint="eastAsia" w:cs="微软雅黑" w:asciiTheme="minorEastAsia" w:hAnsiTheme="minorEastAsia" w:eastAsiaTheme="minorEastAsia"/>
          <w:spacing w:val="-2"/>
          <w:kern w:val="0"/>
          <w:szCs w:val="21"/>
        </w:rPr>
        <w:t>单</w:t>
      </w:r>
      <w:r>
        <w:rPr>
          <w:rFonts w:hint="eastAsia" w:cs="微软雅黑" w:asciiTheme="minorEastAsia" w:hAnsiTheme="minorEastAsia" w:eastAsiaTheme="minorEastAsia"/>
          <w:kern w:val="0"/>
          <w:szCs w:val="21"/>
        </w:rPr>
        <w:t>位</w:t>
      </w:r>
      <w:r>
        <w:rPr>
          <w:rFonts w:hint="eastAsia" w:cs="微软雅黑" w:asciiTheme="minorEastAsia" w:hAnsiTheme="minorEastAsia" w:eastAsiaTheme="minorEastAsia"/>
          <w:spacing w:val="-2"/>
          <w:kern w:val="0"/>
          <w:szCs w:val="21"/>
        </w:rPr>
        <w:t>负</w:t>
      </w:r>
      <w:r>
        <w:rPr>
          <w:rFonts w:hint="eastAsia" w:cs="微软雅黑" w:asciiTheme="minorEastAsia" w:hAnsiTheme="minorEastAsia" w:eastAsiaTheme="minorEastAsia"/>
          <w:kern w:val="0"/>
          <w:szCs w:val="21"/>
        </w:rPr>
        <w:t>责人</w:t>
      </w:r>
      <w:r>
        <w:rPr>
          <w:rFonts w:hint="eastAsia" w:cs="微软雅黑" w:asciiTheme="minorEastAsia" w:hAnsiTheme="minorEastAsia" w:eastAsiaTheme="minorEastAsia"/>
          <w:spacing w:val="-2"/>
          <w:kern w:val="0"/>
          <w:szCs w:val="21"/>
        </w:rPr>
        <w:t>）</w:t>
      </w:r>
      <w:r>
        <w:rPr>
          <w:rFonts w:hint="eastAsia" w:ascii="宋体" w:hAnsi="宋体"/>
          <w:szCs w:val="21"/>
        </w:rPr>
        <w:t>或其授权的代理人（电子签字或电子印章）：</w:t>
      </w:r>
    </w:p>
    <w:p w14:paraId="6C8F5957">
      <w:pPr>
        <w:adjustRightInd w:val="0"/>
        <w:snapToGrid w:val="0"/>
        <w:spacing w:line="360" w:lineRule="auto"/>
        <w:rPr>
          <w:rFonts w:ascii="宋体" w:hAnsi="宋体"/>
          <w:szCs w:val="21"/>
        </w:rPr>
      </w:pPr>
      <w:r>
        <w:rPr>
          <w:rFonts w:hint="eastAsia" w:ascii="宋体" w:hAnsi="宋体"/>
          <w:szCs w:val="21"/>
        </w:rPr>
        <w:t>日期：年月日</w:t>
      </w:r>
    </w:p>
    <w:p w14:paraId="6188A966"/>
    <w:p w14:paraId="248FE293"/>
    <w:p w14:paraId="1C579BD5">
      <w:pPr>
        <w:rPr>
          <w:color w:val="000000"/>
        </w:rPr>
      </w:pPr>
    </w:p>
    <w:p w14:paraId="09A17291">
      <w:pPr>
        <w:rPr>
          <w:color w:val="000000"/>
        </w:rPr>
      </w:pPr>
    </w:p>
    <w:p w14:paraId="31ED18E0">
      <w:pPr>
        <w:widowControl/>
        <w:jc w:val="left"/>
        <w:rPr>
          <w:rFonts w:ascii="黑体" w:hAnsi="黑体" w:eastAsia="黑体"/>
          <w:color w:val="000000"/>
          <w:sz w:val="28"/>
          <w:szCs w:val="28"/>
        </w:rPr>
      </w:pPr>
      <w:r>
        <w:rPr>
          <w:color w:val="000000"/>
        </w:rPr>
        <w:br w:type="page"/>
      </w:r>
    </w:p>
    <w:p w14:paraId="447F9447">
      <w:pPr>
        <w:pStyle w:val="2"/>
        <w:numPr>
          <w:ilvl w:val="0"/>
          <w:numId w:val="0"/>
        </w:numPr>
        <w:adjustRightInd w:val="0"/>
        <w:snapToGrid w:val="0"/>
        <w:spacing w:before="0" w:after="0" w:line="360" w:lineRule="auto"/>
        <w:jc w:val="center"/>
        <w:rPr>
          <w:rFonts w:hint="eastAsia" w:ascii="黑体" w:hAnsi="宋体" w:eastAsia="黑体"/>
          <w:color w:val="000000"/>
          <w:sz w:val="28"/>
          <w:szCs w:val="28"/>
          <w:lang w:val="en-US" w:eastAsia="zh-CN"/>
        </w:rPr>
      </w:pPr>
      <w:bookmarkStart w:id="164" w:name="_Toc22496"/>
      <w:r>
        <w:rPr>
          <w:rFonts w:hint="eastAsia" w:ascii="黑体" w:hAnsi="宋体" w:eastAsia="黑体"/>
          <w:color w:val="000000"/>
          <w:sz w:val="28"/>
          <w:szCs w:val="28"/>
          <w:lang w:val="en-US" w:eastAsia="zh-CN"/>
        </w:rPr>
        <w:t>八、商务、合同条款偏离表</w:t>
      </w:r>
      <w:bookmarkEnd w:id="164"/>
    </w:p>
    <w:p w14:paraId="589D0C53">
      <w:pPr>
        <w:adjustRightInd w:val="0"/>
        <w:snapToGrid w:val="0"/>
        <w:spacing w:line="360" w:lineRule="auto"/>
        <w:rPr>
          <w:rFonts w:ascii="宋体" w:hAnsi="宋体"/>
          <w:color w:val="000000"/>
          <w:szCs w:val="21"/>
        </w:rPr>
      </w:pPr>
      <w:r>
        <w:rPr>
          <w:rFonts w:hint="eastAsia" w:ascii="宋体" w:hAnsi="宋体"/>
          <w:color w:val="000000"/>
          <w:szCs w:val="21"/>
        </w:rPr>
        <w:t>采购代理编号：                       项目名称：</w:t>
      </w:r>
    </w:p>
    <w:tbl>
      <w:tblPr>
        <w:tblStyle w:val="45"/>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595"/>
        <w:gridCol w:w="2410"/>
        <w:gridCol w:w="1985"/>
        <w:gridCol w:w="2082"/>
        <w:gridCol w:w="1942"/>
      </w:tblGrid>
      <w:tr w14:paraId="4D8523A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595" w:type="dxa"/>
            <w:vAlign w:val="center"/>
          </w:tcPr>
          <w:p w14:paraId="48EE3394">
            <w:pPr>
              <w:adjustRightInd w:val="0"/>
              <w:snapToGrid w:val="0"/>
              <w:spacing w:before="50" w:line="360" w:lineRule="auto"/>
              <w:ind w:left="-101" w:leftChars="-42"/>
              <w:jc w:val="center"/>
              <w:rPr>
                <w:rFonts w:ascii="宋体" w:hAnsi="宋体"/>
                <w:color w:val="000000"/>
                <w:szCs w:val="21"/>
              </w:rPr>
            </w:pPr>
            <w:r>
              <w:rPr>
                <w:rFonts w:hint="eastAsia" w:ascii="宋体" w:hAnsi="宋体"/>
                <w:bCs/>
                <w:color w:val="000000"/>
                <w:szCs w:val="21"/>
              </w:rPr>
              <w:t>序</w:t>
            </w:r>
            <w:r>
              <w:rPr>
                <w:rFonts w:hint="eastAsia" w:ascii="宋体" w:hAnsi="宋体"/>
                <w:color w:val="000000"/>
                <w:szCs w:val="21"/>
              </w:rPr>
              <w:t>号</w:t>
            </w:r>
          </w:p>
        </w:tc>
        <w:tc>
          <w:tcPr>
            <w:tcW w:w="2410" w:type="dxa"/>
            <w:vAlign w:val="center"/>
          </w:tcPr>
          <w:p w14:paraId="721AAB82">
            <w:pPr>
              <w:adjustRightInd w:val="0"/>
              <w:snapToGrid w:val="0"/>
              <w:spacing w:before="50" w:line="360" w:lineRule="auto"/>
              <w:ind w:left="-101" w:leftChars="-42"/>
              <w:jc w:val="center"/>
              <w:rPr>
                <w:rFonts w:ascii="宋体" w:hAnsi="宋体"/>
                <w:color w:val="000000"/>
                <w:szCs w:val="21"/>
              </w:rPr>
            </w:pPr>
            <w:r>
              <w:rPr>
                <w:rFonts w:hint="eastAsia" w:ascii="宋体" w:hAnsi="宋体"/>
                <w:color w:val="000000"/>
                <w:szCs w:val="21"/>
              </w:rPr>
              <w:t>招标文件章节</w:t>
            </w:r>
            <w:r>
              <w:rPr>
                <w:rFonts w:hint="eastAsia" w:ascii="宋体" w:hAnsi="宋体"/>
                <w:bCs/>
                <w:color w:val="000000"/>
                <w:szCs w:val="21"/>
              </w:rPr>
              <w:t>条</w:t>
            </w:r>
            <w:r>
              <w:rPr>
                <w:rFonts w:hint="eastAsia" w:ascii="宋体" w:hAnsi="宋体"/>
                <w:color w:val="000000"/>
                <w:szCs w:val="21"/>
              </w:rPr>
              <w:t>款号</w:t>
            </w:r>
          </w:p>
        </w:tc>
        <w:tc>
          <w:tcPr>
            <w:tcW w:w="1985" w:type="dxa"/>
            <w:vAlign w:val="center"/>
          </w:tcPr>
          <w:p w14:paraId="1BAE24EB">
            <w:pPr>
              <w:adjustRightInd w:val="0"/>
              <w:snapToGrid w:val="0"/>
              <w:spacing w:before="50" w:line="360" w:lineRule="auto"/>
              <w:ind w:left="-101" w:leftChars="-42"/>
              <w:jc w:val="center"/>
              <w:rPr>
                <w:rFonts w:ascii="宋体" w:hAnsi="宋体"/>
                <w:color w:val="000000"/>
                <w:szCs w:val="21"/>
              </w:rPr>
            </w:pPr>
            <w:r>
              <w:rPr>
                <w:rFonts w:hint="eastAsia"/>
                <w:color w:val="000000"/>
              </w:rPr>
              <w:t>招标文件要求</w:t>
            </w:r>
          </w:p>
        </w:tc>
        <w:tc>
          <w:tcPr>
            <w:tcW w:w="2082" w:type="dxa"/>
            <w:tcBorders>
              <w:right w:val="single" w:color="auto" w:sz="4" w:space="0"/>
            </w:tcBorders>
            <w:vAlign w:val="center"/>
          </w:tcPr>
          <w:p w14:paraId="7E3FFA63">
            <w:pPr>
              <w:adjustRightInd w:val="0"/>
              <w:snapToGrid w:val="0"/>
              <w:spacing w:before="50" w:line="360" w:lineRule="auto"/>
              <w:jc w:val="center"/>
              <w:rPr>
                <w:rFonts w:ascii="宋体" w:hAnsi="宋体"/>
                <w:color w:val="000000"/>
                <w:szCs w:val="21"/>
              </w:rPr>
            </w:pPr>
            <w:r>
              <w:rPr>
                <w:rFonts w:hint="eastAsia"/>
                <w:color w:val="000000"/>
              </w:rPr>
              <w:t>投标文件的应答</w:t>
            </w:r>
          </w:p>
        </w:tc>
        <w:tc>
          <w:tcPr>
            <w:tcW w:w="1942" w:type="dxa"/>
            <w:tcBorders>
              <w:left w:val="single" w:color="auto" w:sz="4" w:space="0"/>
            </w:tcBorders>
            <w:vAlign w:val="center"/>
          </w:tcPr>
          <w:p w14:paraId="52029339">
            <w:pPr>
              <w:adjustRightInd w:val="0"/>
              <w:snapToGrid w:val="0"/>
              <w:spacing w:before="50" w:line="360" w:lineRule="auto"/>
              <w:ind w:left="-101" w:leftChars="-42"/>
              <w:jc w:val="center"/>
              <w:rPr>
                <w:rFonts w:ascii="宋体" w:hAnsi="宋体"/>
                <w:color w:val="000000"/>
                <w:szCs w:val="21"/>
              </w:rPr>
            </w:pPr>
            <w:r>
              <w:rPr>
                <w:rFonts w:hint="eastAsia" w:ascii="宋体" w:hAnsi="宋体"/>
                <w:color w:val="000000"/>
                <w:szCs w:val="21"/>
              </w:rPr>
              <w:t>偏离说明</w:t>
            </w:r>
          </w:p>
        </w:tc>
      </w:tr>
      <w:tr w14:paraId="166F051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3B6C8C78">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1E03957C">
            <w:pPr>
              <w:adjustRightInd w:val="0"/>
              <w:snapToGrid w:val="0"/>
              <w:spacing w:before="50" w:line="360" w:lineRule="auto"/>
              <w:ind w:left="-101" w:leftChars="-42"/>
              <w:jc w:val="center"/>
              <w:rPr>
                <w:rFonts w:ascii="宋体" w:hAnsi="宋体"/>
                <w:color w:val="000000"/>
                <w:szCs w:val="21"/>
              </w:rPr>
            </w:pPr>
          </w:p>
        </w:tc>
        <w:tc>
          <w:tcPr>
            <w:tcW w:w="1985" w:type="dxa"/>
          </w:tcPr>
          <w:p w14:paraId="161F6942">
            <w:pPr>
              <w:adjustRightInd w:val="0"/>
              <w:snapToGrid w:val="0"/>
              <w:spacing w:before="50" w:line="360" w:lineRule="auto"/>
              <w:rPr>
                <w:color w:val="000000"/>
              </w:rPr>
            </w:pPr>
          </w:p>
        </w:tc>
        <w:tc>
          <w:tcPr>
            <w:tcW w:w="2082" w:type="dxa"/>
            <w:tcBorders>
              <w:right w:val="single" w:color="auto" w:sz="4" w:space="0"/>
            </w:tcBorders>
          </w:tcPr>
          <w:p w14:paraId="67898DBF">
            <w:pPr>
              <w:adjustRightInd w:val="0"/>
              <w:snapToGrid w:val="0"/>
              <w:spacing w:before="50" w:line="360" w:lineRule="auto"/>
              <w:rPr>
                <w:color w:val="000000"/>
              </w:rPr>
            </w:pPr>
          </w:p>
        </w:tc>
        <w:tc>
          <w:tcPr>
            <w:tcW w:w="1942" w:type="dxa"/>
            <w:tcBorders>
              <w:left w:val="single" w:color="auto" w:sz="4" w:space="0"/>
            </w:tcBorders>
          </w:tcPr>
          <w:p w14:paraId="37D42C8F">
            <w:pPr>
              <w:adjustRightInd w:val="0"/>
              <w:snapToGrid w:val="0"/>
              <w:spacing w:before="50" w:line="360" w:lineRule="auto"/>
              <w:ind w:left="-101" w:leftChars="-42"/>
              <w:jc w:val="center"/>
              <w:rPr>
                <w:rFonts w:ascii="宋体" w:hAnsi="宋体"/>
                <w:color w:val="000000"/>
                <w:szCs w:val="21"/>
              </w:rPr>
            </w:pPr>
          </w:p>
        </w:tc>
      </w:tr>
      <w:tr w14:paraId="056D077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A7C1C29">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11472769">
            <w:pPr>
              <w:adjustRightInd w:val="0"/>
              <w:snapToGrid w:val="0"/>
              <w:spacing w:before="50" w:line="360" w:lineRule="auto"/>
              <w:ind w:left="-101" w:leftChars="-42"/>
              <w:jc w:val="center"/>
              <w:rPr>
                <w:rFonts w:ascii="宋体" w:hAnsi="宋体"/>
                <w:color w:val="000000"/>
                <w:szCs w:val="21"/>
              </w:rPr>
            </w:pPr>
          </w:p>
        </w:tc>
        <w:tc>
          <w:tcPr>
            <w:tcW w:w="1985" w:type="dxa"/>
            <w:vAlign w:val="center"/>
          </w:tcPr>
          <w:p w14:paraId="23411DC8">
            <w:pPr>
              <w:adjustRightInd w:val="0"/>
              <w:snapToGrid w:val="0"/>
              <w:spacing w:before="50" w:line="360" w:lineRule="auto"/>
              <w:ind w:left="-101" w:leftChars="-42"/>
              <w:jc w:val="center"/>
              <w:rPr>
                <w:rFonts w:ascii="宋体" w:hAnsi="宋体"/>
                <w:color w:val="000000"/>
                <w:szCs w:val="21"/>
              </w:rPr>
            </w:pPr>
          </w:p>
        </w:tc>
        <w:tc>
          <w:tcPr>
            <w:tcW w:w="2082" w:type="dxa"/>
            <w:tcBorders>
              <w:right w:val="single" w:color="auto" w:sz="4" w:space="0"/>
            </w:tcBorders>
            <w:vAlign w:val="center"/>
          </w:tcPr>
          <w:p w14:paraId="71BE1B0B">
            <w:pPr>
              <w:adjustRightInd w:val="0"/>
              <w:snapToGrid w:val="0"/>
              <w:spacing w:before="50" w:line="360" w:lineRule="auto"/>
              <w:ind w:left="-101" w:leftChars="-42"/>
              <w:jc w:val="center"/>
              <w:rPr>
                <w:rFonts w:ascii="宋体" w:hAnsi="宋体"/>
                <w:color w:val="000000"/>
                <w:szCs w:val="21"/>
              </w:rPr>
            </w:pPr>
          </w:p>
        </w:tc>
        <w:tc>
          <w:tcPr>
            <w:tcW w:w="1942" w:type="dxa"/>
            <w:tcBorders>
              <w:left w:val="single" w:color="auto" w:sz="4" w:space="0"/>
            </w:tcBorders>
            <w:vAlign w:val="center"/>
          </w:tcPr>
          <w:p w14:paraId="378D93D6">
            <w:pPr>
              <w:adjustRightInd w:val="0"/>
              <w:snapToGrid w:val="0"/>
              <w:spacing w:before="50" w:line="360" w:lineRule="auto"/>
              <w:ind w:left="-101" w:leftChars="-42"/>
              <w:jc w:val="center"/>
              <w:rPr>
                <w:rFonts w:ascii="宋体" w:hAnsi="宋体"/>
                <w:color w:val="000000"/>
                <w:szCs w:val="21"/>
              </w:rPr>
            </w:pPr>
          </w:p>
        </w:tc>
      </w:tr>
      <w:tr w14:paraId="2085AE9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097016F6">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235F2738">
            <w:pPr>
              <w:adjustRightInd w:val="0"/>
              <w:snapToGrid w:val="0"/>
              <w:spacing w:before="50" w:line="360" w:lineRule="auto"/>
              <w:ind w:left="-101" w:leftChars="-42"/>
              <w:jc w:val="center"/>
              <w:rPr>
                <w:rFonts w:ascii="宋体" w:hAnsi="宋体"/>
                <w:color w:val="000000"/>
                <w:szCs w:val="21"/>
              </w:rPr>
            </w:pPr>
          </w:p>
        </w:tc>
        <w:tc>
          <w:tcPr>
            <w:tcW w:w="1985" w:type="dxa"/>
            <w:vAlign w:val="center"/>
          </w:tcPr>
          <w:p w14:paraId="21897F06">
            <w:pPr>
              <w:adjustRightInd w:val="0"/>
              <w:snapToGrid w:val="0"/>
              <w:spacing w:before="50" w:line="360" w:lineRule="auto"/>
              <w:ind w:left="-101" w:leftChars="-42"/>
              <w:jc w:val="center"/>
              <w:rPr>
                <w:rFonts w:ascii="宋体" w:hAnsi="宋体"/>
                <w:color w:val="000000"/>
                <w:szCs w:val="21"/>
              </w:rPr>
            </w:pPr>
          </w:p>
        </w:tc>
        <w:tc>
          <w:tcPr>
            <w:tcW w:w="2082" w:type="dxa"/>
            <w:tcBorders>
              <w:right w:val="single" w:color="auto" w:sz="4" w:space="0"/>
            </w:tcBorders>
            <w:vAlign w:val="center"/>
          </w:tcPr>
          <w:p w14:paraId="4BFAD8C9">
            <w:pPr>
              <w:adjustRightInd w:val="0"/>
              <w:snapToGrid w:val="0"/>
              <w:spacing w:before="50" w:line="360" w:lineRule="auto"/>
              <w:ind w:left="-101" w:leftChars="-42"/>
              <w:jc w:val="center"/>
              <w:rPr>
                <w:rFonts w:ascii="宋体" w:hAnsi="宋体"/>
                <w:color w:val="000000"/>
                <w:szCs w:val="21"/>
              </w:rPr>
            </w:pPr>
          </w:p>
        </w:tc>
        <w:tc>
          <w:tcPr>
            <w:tcW w:w="1942" w:type="dxa"/>
            <w:tcBorders>
              <w:left w:val="single" w:color="auto" w:sz="4" w:space="0"/>
            </w:tcBorders>
            <w:vAlign w:val="center"/>
          </w:tcPr>
          <w:p w14:paraId="716F6F5B">
            <w:pPr>
              <w:adjustRightInd w:val="0"/>
              <w:snapToGrid w:val="0"/>
              <w:spacing w:before="50" w:line="360" w:lineRule="auto"/>
              <w:ind w:left="-101" w:leftChars="-42"/>
              <w:jc w:val="center"/>
              <w:rPr>
                <w:rFonts w:ascii="宋体" w:hAnsi="宋体"/>
                <w:color w:val="000000"/>
                <w:szCs w:val="21"/>
              </w:rPr>
            </w:pPr>
          </w:p>
        </w:tc>
      </w:tr>
      <w:tr w14:paraId="33B09C8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2700BFD9">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5CFB35AF">
            <w:pPr>
              <w:adjustRightInd w:val="0"/>
              <w:snapToGrid w:val="0"/>
              <w:spacing w:before="50" w:line="360" w:lineRule="auto"/>
              <w:ind w:left="-101" w:leftChars="-42"/>
              <w:jc w:val="center"/>
              <w:rPr>
                <w:rFonts w:ascii="宋体" w:hAnsi="宋体"/>
                <w:color w:val="000000"/>
                <w:szCs w:val="21"/>
              </w:rPr>
            </w:pPr>
          </w:p>
        </w:tc>
        <w:tc>
          <w:tcPr>
            <w:tcW w:w="1985" w:type="dxa"/>
            <w:vAlign w:val="center"/>
          </w:tcPr>
          <w:p w14:paraId="25FFB1DC">
            <w:pPr>
              <w:adjustRightInd w:val="0"/>
              <w:snapToGrid w:val="0"/>
              <w:spacing w:before="50" w:line="360" w:lineRule="auto"/>
              <w:ind w:left="-101" w:leftChars="-42"/>
              <w:jc w:val="center"/>
              <w:rPr>
                <w:rFonts w:ascii="宋体" w:hAnsi="宋体"/>
                <w:color w:val="000000"/>
                <w:szCs w:val="21"/>
              </w:rPr>
            </w:pPr>
          </w:p>
        </w:tc>
        <w:tc>
          <w:tcPr>
            <w:tcW w:w="2082" w:type="dxa"/>
            <w:tcBorders>
              <w:right w:val="single" w:color="auto" w:sz="4" w:space="0"/>
            </w:tcBorders>
            <w:vAlign w:val="center"/>
          </w:tcPr>
          <w:p w14:paraId="0A289FC0">
            <w:pPr>
              <w:adjustRightInd w:val="0"/>
              <w:snapToGrid w:val="0"/>
              <w:spacing w:before="50" w:line="360" w:lineRule="auto"/>
              <w:ind w:left="-101" w:leftChars="-42"/>
              <w:jc w:val="center"/>
              <w:rPr>
                <w:rFonts w:ascii="宋体" w:hAnsi="宋体"/>
                <w:color w:val="000000"/>
                <w:szCs w:val="21"/>
              </w:rPr>
            </w:pPr>
          </w:p>
        </w:tc>
        <w:tc>
          <w:tcPr>
            <w:tcW w:w="1942" w:type="dxa"/>
            <w:tcBorders>
              <w:left w:val="single" w:color="auto" w:sz="4" w:space="0"/>
            </w:tcBorders>
            <w:vAlign w:val="center"/>
          </w:tcPr>
          <w:p w14:paraId="19EEEE6A">
            <w:pPr>
              <w:adjustRightInd w:val="0"/>
              <w:snapToGrid w:val="0"/>
              <w:spacing w:before="50" w:line="360" w:lineRule="auto"/>
              <w:ind w:left="-101" w:leftChars="-42"/>
              <w:jc w:val="center"/>
              <w:rPr>
                <w:rFonts w:ascii="宋体" w:hAnsi="宋体"/>
                <w:color w:val="000000"/>
                <w:szCs w:val="21"/>
              </w:rPr>
            </w:pPr>
          </w:p>
        </w:tc>
      </w:tr>
      <w:tr w14:paraId="3E8EFBC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2F430DD8">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02224F70">
            <w:pPr>
              <w:adjustRightInd w:val="0"/>
              <w:snapToGrid w:val="0"/>
              <w:spacing w:before="50" w:line="360" w:lineRule="auto"/>
              <w:ind w:left="-101" w:leftChars="-42"/>
              <w:jc w:val="center"/>
              <w:rPr>
                <w:rFonts w:ascii="宋体" w:hAnsi="宋体"/>
                <w:color w:val="000000"/>
                <w:szCs w:val="21"/>
              </w:rPr>
            </w:pPr>
          </w:p>
        </w:tc>
        <w:tc>
          <w:tcPr>
            <w:tcW w:w="1985" w:type="dxa"/>
            <w:vAlign w:val="center"/>
          </w:tcPr>
          <w:p w14:paraId="49A8BA68">
            <w:pPr>
              <w:adjustRightInd w:val="0"/>
              <w:snapToGrid w:val="0"/>
              <w:spacing w:before="50" w:line="360" w:lineRule="auto"/>
              <w:ind w:left="-101" w:leftChars="-42"/>
              <w:jc w:val="center"/>
              <w:rPr>
                <w:rFonts w:ascii="宋体" w:hAnsi="宋体"/>
                <w:color w:val="000000"/>
                <w:szCs w:val="21"/>
              </w:rPr>
            </w:pPr>
          </w:p>
        </w:tc>
        <w:tc>
          <w:tcPr>
            <w:tcW w:w="2082" w:type="dxa"/>
            <w:tcBorders>
              <w:right w:val="single" w:color="auto" w:sz="4" w:space="0"/>
            </w:tcBorders>
            <w:vAlign w:val="center"/>
          </w:tcPr>
          <w:p w14:paraId="2081980D">
            <w:pPr>
              <w:adjustRightInd w:val="0"/>
              <w:snapToGrid w:val="0"/>
              <w:spacing w:before="50" w:line="360" w:lineRule="auto"/>
              <w:ind w:left="-101" w:leftChars="-42"/>
              <w:jc w:val="center"/>
              <w:rPr>
                <w:rFonts w:ascii="宋体" w:hAnsi="宋体"/>
                <w:color w:val="000000"/>
                <w:szCs w:val="21"/>
              </w:rPr>
            </w:pPr>
          </w:p>
        </w:tc>
        <w:tc>
          <w:tcPr>
            <w:tcW w:w="1942" w:type="dxa"/>
            <w:tcBorders>
              <w:left w:val="single" w:color="auto" w:sz="4" w:space="0"/>
            </w:tcBorders>
            <w:vAlign w:val="center"/>
          </w:tcPr>
          <w:p w14:paraId="427C6649">
            <w:pPr>
              <w:adjustRightInd w:val="0"/>
              <w:snapToGrid w:val="0"/>
              <w:spacing w:before="50" w:line="360" w:lineRule="auto"/>
              <w:ind w:left="-101" w:leftChars="-42"/>
              <w:jc w:val="center"/>
              <w:rPr>
                <w:rFonts w:ascii="宋体" w:hAnsi="宋体"/>
                <w:color w:val="000000"/>
                <w:szCs w:val="21"/>
              </w:rPr>
            </w:pPr>
          </w:p>
        </w:tc>
      </w:tr>
      <w:tr w14:paraId="33E0D66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560B40DE">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78E9F2E2">
            <w:pPr>
              <w:adjustRightInd w:val="0"/>
              <w:snapToGrid w:val="0"/>
              <w:spacing w:before="50" w:line="360" w:lineRule="auto"/>
              <w:ind w:left="-101" w:leftChars="-42"/>
              <w:jc w:val="center"/>
              <w:rPr>
                <w:rFonts w:ascii="宋体" w:hAnsi="宋体"/>
                <w:color w:val="000000"/>
                <w:szCs w:val="21"/>
              </w:rPr>
            </w:pPr>
          </w:p>
        </w:tc>
        <w:tc>
          <w:tcPr>
            <w:tcW w:w="1985" w:type="dxa"/>
            <w:vAlign w:val="center"/>
          </w:tcPr>
          <w:p w14:paraId="674A9AF2">
            <w:pPr>
              <w:adjustRightInd w:val="0"/>
              <w:snapToGrid w:val="0"/>
              <w:spacing w:before="50" w:line="360" w:lineRule="auto"/>
              <w:ind w:left="-101" w:leftChars="-42"/>
              <w:jc w:val="center"/>
              <w:rPr>
                <w:rFonts w:ascii="宋体" w:hAnsi="宋体"/>
                <w:color w:val="000000"/>
                <w:szCs w:val="21"/>
              </w:rPr>
            </w:pPr>
          </w:p>
        </w:tc>
        <w:tc>
          <w:tcPr>
            <w:tcW w:w="2082" w:type="dxa"/>
            <w:tcBorders>
              <w:right w:val="single" w:color="auto" w:sz="4" w:space="0"/>
            </w:tcBorders>
            <w:vAlign w:val="center"/>
          </w:tcPr>
          <w:p w14:paraId="64DEB2DC">
            <w:pPr>
              <w:adjustRightInd w:val="0"/>
              <w:snapToGrid w:val="0"/>
              <w:spacing w:before="50" w:line="360" w:lineRule="auto"/>
              <w:ind w:left="-101" w:leftChars="-42"/>
              <w:jc w:val="center"/>
              <w:rPr>
                <w:rFonts w:ascii="宋体" w:hAnsi="宋体"/>
                <w:color w:val="000000"/>
                <w:szCs w:val="21"/>
              </w:rPr>
            </w:pPr>
          </w:p>
        </w:tc>
        <w:tc>
          <w:tcPr>
            <w:tcW w:w="1942" w:type="dxa"/>
            <w:tcBorders>
              <w:left w:val="single" w:color="auto" w:sz="4" w:space="0"/>
            </w:tcBorders>
            <w:vAlign w:val="center"/>
          </w:tcPr>
          <w:p w14:paraId="5904FBA3">
            <w:pPr>
              <w:adjustRightInd w:val="0"/>
              <w:snapToGrid w:val="0"/>
              <w:spacing w:before="50" w:line="360" w:lineRule="auto"/>
              <w:ind w:left="-101" w:leftChars="-42"/>
              <w:jc w:val="center"/>
              <w:rPr>
                <w:rFonts w:ascii="宋体" w:hAnsi="宋体"/>
                <w:color w:val="000000"/>
                <w:szCs w:val="21"/>
              </w:rPr>
            </w:pPr>
          </w:p>
        </w:tc>
      </w:tr>
      <w:tr w14:paraId="6DF380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95" w:type="dxa"/>
            <w:vAlign w:val="center"/>
          </w:tcPr>
          <w:p w14:paraId="10003AE8">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0667339A">
            <w:pPr>
              <w:adjustRightInd w:val="0"/>
              <w:snapToGrid w:val="0"/>
              <w:spacing w:before="50" w:line="360" w:lineRule="auto"/>
              <w:ind w:left="-101" w:leftChars="-42"/>
              <w:jc w:val="center"/>
              <w:rPr>
                <w:rFonts w:ascii="宋体" w:hAnsi="宋体"/>
                <w:color w:val="000000"/>
                <w:szCs w:val="21"/>
              </w:rPr>
            </w:pPr>
          </w:p>
        </w:tc>
        <w:tc>
          <w:tcPr>
            <w:tcW w:w="1985" w:type="dxa"/>
            <w:vAlign w:val="center"/>
          </w:tcPr>
          <w:p w14:paraId="608C5B82">
            <w:pPr>
              <w:adjustRightInd w:val="0"/>
              <w:snapToGrid w:val="0"/>
              <w:spacing w:before="50" w:line="360" w:lineRule="auto"/>
              <w:ind w:left="-101" w:leftChars="-42"/>
              <w:jc w:val="center"/>
              <w:rPr>
                <w:rFonts w:ascii="宋体" w:hAnsi="宋体"/>
                <w:color w:val="000000"/>
                <w:szCs w:val="21"/>
              </w:rPr>
            </w:pPr>
          </w:p>
        </w:tc>
        <w:tc>
          <w:tcPr>
            <w:tcW w:w="4024" w:type="dxa"/>
            <w:gridSpan w:val="2"/>
            <w:vAlign w:val="center"/>
          </w:tcPr>
          <w:p w14:paraId="441A6673">
            <w:pPr>
              <w:adjustRightInd w:val="0"/>
              <w:snapToGrid w:val="0"/>
              <w:spacing w:before="50" w:line="360" w:lineRule="auto"/>
              <w:ind w:firstLine="482" w:firstLineChars="200"/>
              <w:jc w:val="left"/>
              <w:rPr>
                <w:rFonts w:ascii="宋体" w:hAnsi="宋体"/>
                <w:b/>
                <w:color w:val="000000"/>
                <w:szCs w:val="21"/>
              </w:rPr>
            </w:pPr>
            <w:r>
              <w:rPr>
                <w:rFonts w:hint="eastAsia" w:ascii="宋体" w:hAnsi="宋体"/>
                <w:b/>
                <w:color w:val="000000"/>
                <w:szCs w:val="21"/>
              </w:rPr>
              <w:t>投标人保证：除本商务、合同条款偏离表列出的偏离外，我单位对招标文件的其他商务、合同条款完全响应，无偏离。</w:t>
            </w:r>
          </w:p>
        </w:tc>
      </w:tr>
    </w:tbl>
    <w:p w14:paraId="38017BCB">
      <w:pPr>
        <w:adjustRightInd w:val="0"/>
        <w:snapToGrid w:val="0"/>
        <w:spacing w:before="50" w:line="360" w:lineRule="auto"/>
        <w:ind w:left="-101" w:leftChars="-42"/>
        <w:rPr>
          <w:rFonts w:ascii="宋体" w:hAnsi="宋体"/>
          <w:color w:val="000000"/>
          <w:szCs w:val="21"/>
        </w:rPr>
      </w:pPr>
      <w:r>
        <w:rPr>
          <w:rFonts w:hint="eastAsia" w:ascii="宋体" w:hAnsi="宋体"/>
          <w:b/>
          <w:color w:val="000000"/>
          <w:szCs w:val="21"/>
        </w:rPr>
        <w:t>备注</w:t>
      </w:r>
      <w:r>
        <w:rPr>
          <w:rFonts w:hint="eastAsia" w:ascii="宋体" w:hAnsi="宋体"/>
          <w:color w:val="000000"/>
          <w:szCs w:val="21"/>
        </w:rPr>
        <w:t>：（1）投标人应根据招标文件第二章投标须知及第六章政府采购合同填写本表；</w:t>
      </w:r>
    </w:p>
    <w:p w14:paraId="63B10F6C">
      <w:pPr>
        <w:adjustRightInd w:val="0"/>
        <w:snapToGrid w:val="0"/>
        <w:spacing w:before="50" w:line="360" w:lineRule="auto"/>
        <w:ind w:left="-101" w:leftChars="-42" w:firstLine="480" w:firstLineChars="200"/>
        <w:rPr>
          <w:rFonts w:ascii="宋体" w:hAnsi="宋体"/>
          <w:b/>
          <w:color w:val="000000"/>
          <w:szCs w:val="21"/>
        </w:rPr>
      </w:pPr>
      <w:r>
        <w:rPr>
          <w:rFonts w:hint="eastAsia" w:ascii="宋体" w:hAnsi="宋体"/>
          <w:color w:val="000000"/>
          <w:szCs w:val="21"/>
        </w:rPr>
        <w:t>（2）</w:t>
      </w:r>
      <w:r>
        <w:rPr>
          <w:rFonts w:hint="eastAsia" w:ascii="宋体" w:hAnsi="宋体"/>
          <w:b/>
          <w:color w:val="000000"/>
          <w:szCs w:val="21"/>
        </w:rPr>
        <w:t>投标人如果对招标文件第二章投标须知及第六章政府采购合同条款的响应有偏离，应将偏离条款逐条如实应答，并作出说明；</w:t>
      </w:r>
    </w:p>
    <w:p w14:paraId="5828BD5B">
      <w:pPr>
        <w:adjustRightInd w:val="0"/>
        <w:snapToGrid w:val="0"/>
        <w:spacing w:before="50" w:line="360" w:lineRule="auto"/>
        <w:ind w:left="-101" w:leftChars="-42" w:firstLine="480" w:firstLineChars="200"/>
        <w:rPr>
          <w:rFonts w:ascii="宋体" w:hAnsi="宋体"/>
          <w:color w:val="000000"/>
          <w:szCs w:val="21"/>
        </w:rPr>
      </w:pPr>
      <w:r>
        <w:rPr>
          <w:rFonts w:hint="eastAsia" w:ascii="宋体" w:hAnsi="宋体"/>
          <w:color w:val="000000"/>
          <w:szCs w:val="21"/>
        </w:rPr>
        <w:t>（3）如不提供此表，则视为投标人不满足招标文件第六章的所有条款要求，其投标无效。</w:t>
      </w:r>
    </w:p>
    <w:p w14:paraId="2FFF9598">
      <w:pPr>
        <w:adjustRightInd w:val="0"/>
        <w:snapToGrid w:val="0"/>
        <w:spacing w:before="50" w:line="360" w:lineRule="auto"/>
        <w:ind w:left="-101" w:leftChars="-42" w:firstLine="480" w:firstLineChars="200"/>
        <w:rPr>
          <w:rFonts w:ascii="宋体" w:hAnsi="宋体"/>
          <w:color w:val="000000"/>
          <w:szCs w:val="21"/>
        </w:rPr>
      </w:pPr>
      <w:r>
        <w:rPr>
          <w:rFonts w:hint="eastAsia" w:ascii="宋体" w:hAnsi="宋体"/>
          <w:color w:val="000000"/>
          <w:szCs w:val="21"/>
        </w:rPr>
        <w:t>（4）在采购人与中标人签订合同时，如中标人未在投标文件“商务、合同条款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0E4BD9DA">
      <w:pPr>
        <w:adjustRightInd w:val="0"/>
        <w:snapToGrid w:val="0"/>
        <w:spacing w:before="50" w:line="360" w:lineRule="auto"/>
        <w:rPr>
          <w:rFonts w:ascii="宋体" w:hAnsi="宋体"/>
          <w:color w:val="000000"/>
          <w:szCs w:val="21"/>
        </w:rPr>
      </w:pPr>
    </w:p>
    <w:p w14:paraId="1193D332">
      <w:pPr>
        <w:adjustRightInd w:val="0"/>
        <w:snapToGrid w:val="0"/>
        <w:spacing w:before="50" w:line="360" w:lineRule="auto"/>
        <w:rPr>
          <w:rFonts w:ascii="宋体" w:hAnsi="宋体"/>
          <w:color w:val="000000"/>
          <w:szCs w:val="21"/>
        </w:rPr>
      </w:pPr>
      <w:r>
        <w:rPr>
          <w:rFonts w:hint="eastAsia" w:ascii="宋体" w:hAnsi="宋体"/>
          <w:color w:val="000000"/>
          <w:szCs w:val="21"/>
        </w:rPr>
        <w:t>投标人名称（盖单位章）：</w:t>
      </w:r>
    </w:p>
    <w:p w14:paraId="5FA223F5">
      <w:pPr>
        <w:adjustRightInd w:val="0"/>
        <w:snapToGrid w:val="0"/>
        <w:spacing w:before="50" w:line="360" w:lineRule="auto"/>
        <w:rPr>
          <w:rFonts w:ascii="宋体" w:hAnsi="宋体"/>
          <w:color w:val="000000"/>
          <w:szCs w:val="21"/>
        </w:rPr>
      </w:pPr>
      <w:r>
        <w:rPr>
          <w:rFonts w:hint="eastAsia" w:ascii="宋体" w:hAnsi="宋体"/>
          <w:color w:val="000000"/>
          <w:szCs w:val="21"/>
        </w:rPr>
        <w:t>法定代表人或其授权的代理人（签字或印章）：</w:t>
      </w:r>
    </w:p>
    <w:p w14:paraId="0E5E608E">
      <w:pPr>
        <w:adjustRightInd w:val="0"/>
        <w:snapToGrid w:val="0"/>
        <w:spacing w:before="50" w:line="360" w:lineRule="auto"/>
        <w:rPr>
          <w:rFonts w:ascii="黑体" w:hAnsi="宋体" w:eastAsia="黑体"/>
          <w:b/>
          <w:bCs/>
          <w:color w:val="000000"/>
          <w:sz w:val="28"/>
          <w:szCs w:val="28"/>
        </w:rPr>
      </w:pPr>
      <w:r>
        <w:rPr>
          <w:rFonts w:hint="eastAsia" w:ascii="宋体" w:hAnsi="宋体"/>
          <w:color w:val="000000"/>
          <w:szCs w:val="21"/>
        </w:rPr>
        <w:t>日       期：年月_日</w:t>
      </w:r>
      <w:r>
        <w:rPr>
          <w:rFonts w:ascii="黑体" w:hAnsi="宋体" w:eastAsia="黑体"/>
          <w:color w:val="000000"/>
          <w:sz w:val="28"/>
          <w:szCs w:val="28"/>
        </w:rPr>
        <w:br w:type="page"/>
      </w:r>
    </w:p>
    <w:p w14:paraId="1F86406A">
      <w:pPr>
        <w:pStyle w:val="2"/>
        <w:numPr>
          <w:ilvl w:val="0"/>
          <w:numId w:val="0"/>
        </w:numPr>
        <w:adjustRightInd w:val="0"/>
        <w:snapToGrid w:val="0"/>
        <w:spacing w:before="0" w:after="0" w:line="360" w:lineRule="auto"/>
        <w:jc w:val="center"/>
        <w:rPr>
          <w:rFonts w:hint="eastAsia" w:ascii="黑体" w:hAnsi="宋体" w:eastAsia="黑体"/>
          <w:color w:val="000000"/>
          <w:sz w:val="28"/>
          <w:szCs w:val="28"/>
          <w:lang w:val="en-US" w:eastAsia="zh-CN"/>
        </w:rPr>
      </w:pPr>
      <w:bookmarkStart w:id="165" w:name="_Toc9957"/>
      <w:r>
        <w:rPr>
          <w:rFonts w:hint="eastAsia" w:ascii="黑体" w:hAnsi="宋体" w:eastAsia="黑体"/>
          <w:color w:val="000000"/>
          <w:sz w:val="28"/>
          <w:szCs w:val="28"/>
          <w:lang w:val="en-US" w:eastAsia="zh-CN"/>
        </w:rPr>
        <w:t>九、采购需求偏离表</w:t>
      </w:r>
      <w:bookmarkEnd w:id="165"/>
    </w:p>
    <w:p w14:paraId="0301F005">
      <w:pPr>
        <w:adjustRightInd w:val="0"/>
        <w:snapToGrid w:val="0"/>
        <w:spacing w:line="360" w:lineRule="auto"/>
        <w:rPr>
          <w:rFonts w:ascii="宋体" w:hAnsi="宋体"/>
          <w:color w:val="000000"/>
          <w:szCs w:val="21"/>
        </w:rPr>
      </w:pPr>
      <w:r>
        <w:rPr>
          <w:rFonts w:hint="eastAsia" w:ascii="宋体" w:hAnsi="宋体"/>
          <w:color w:val="000000"/>
          <w:szCs w:val="21"/>
        </w:rPr>
        <w:t>采购代理编号：                       项目名称：</w:t>
      </w:r>
    </w:p>
    <w:tbl>
      <w:tblPr>
        <w:tblStyle w:val="45"/>
        <w:tblW w:w="9014" w:type="dxa"/>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28" w:type="dxa"/>
          <w:bottom w:w="0" w:type="dxa"/>
          <w:right w:w="28" w:type="dxa"/>
        </w:tblCellMar>
      </w:tblPr>
      <w:tblGrid>
        <w:gridCol w:w="737"/>
        <w:gridCol w:w="2410"/>
        <w:gridCol w:w="1985"/>
        <w:gridCol w:w="2126"/>
        <w:gridCol w:w="1756"/>
      </w:tblGrid>
      <w:tr w14:paraId="264523C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737" w:type="dxa"/>
            <w:vAlign w:val="center"/>
          </w:tcPr>
          <w:p w14:paraId="0359AE25">
            <w:pPr>
              <w:adjustRightInd w:val="0"/>
              <w:snapToGrid w:val="0"/>
              <w:spacing w:before="50" w:line="360" w:lineRule="auto"/>
              <w:ind w:left="-101" w:leftChars="-42"/>
              <w:jc w:val="center"/>
              <w:rPr>
                <w:rFonts w:ascii="宋体" w:hAnsi="宋体"/>
                <w:color w:val="000000"/>
                <w:szCs w:val="21"/>
              </w:rPr>
            </w:pPr>
            <w:r>
              <w:rPr>
                <w:rFonts w:hint="eastAsia" w:ascii="宋体" w:hAnsi="宋体"/>
                <w:bCs/>
                <w:color w:val="000000"/>
                <w:szCs w:val="21"/>
              </w:rPr>
              <w:t>序</w:t>
            </w:r>
            <w:r>
              <w:rPr>
                <w:rFonts w:hint="eastAsia" w:ascii="宋体" w:hAnsi="宋体"/>
                <w:color w:val="000000"/>
                <w:szCs w:val="21"/>
              </w:rPr>
              <w:t>号</w:t>
            </w:r>
          </w:p>
        </w:tc>
        <w:tc>
          <w:tcPr>
            <w:tcW w:w="2410" w:type="dxa"/>
            <w:vAlign w:val="center"/>
          </w:tcPr>
          <w:p w14:paraId="7E2AA460">
            <w:pPr>
              <w:adjustRightInd w:val="0"/>
              <w:snapToGrid w:val="0"/>
              <w:spacing w:before="50" w:line="360" w:lineRule="auto"/>
              <w:ind w:left="-101" w:leftChars="-42"/>
              <w:jc w:val="center"/>
              <w:rPr>
                <w:rFonts w:ascii="宋体" w:hAnsi="宋体"/>
                <w:color w:val="000000"/>
                <w:szCs w:val="21"/>
              </w:rPr>
            </w:pPr>
            <w:r>
              <w:rPr>
                <w:rFonts w:hint="eastAsia" w:ascii="宋体" w:hAnsi="宋体"/>
                <w:color w:val="000000"/>
                <w:szCs w:val="21"/>
              </w:rPr>
              <w:t>招标文件章节</w:t>
            </w:r>
            <w:r>
              <w:rPr>
                <w:rFonts w:hint="eastAsia" w:ascii="宋体" w:hAnsi="宋体"/>
                <w:bCs/>
                <w:color w:val="000000"/>
                <w:szCs w:val="21"/>
              </w:rPr>
              <w:t>条</w:t>
            </w:r>
            <w:r>
              <w:rPr>
                <w:rFonts w:hint="eastAsia" w:ascii="宋体" w:hAnsi="宋体"/>
                <w:color w:val="000000"/>
                <w:szCs w:val="21"/>
              </w:rPr>
              <w:t>款号</w:t>
            </w:r>
          </w:p>
        </w:tc>
        <w:tc>
          <w:tcPr>
            <w:tcW w:w="1985" w:type="dxa"/>
            <w:tcBorders>
              <w:right w:val="single" w:color="auto" w:sz="4" w:space="0"/>
            </w:tcBorders>
          </w:tcPr>
          <w:p w14:paraId="6FE3F044">
            <w:pPr>
              <w:adjustRightInd w:val="0"/>
              <w:snapToGrid w:val="0"/>
              <w:spacing w:before="50" w:line="360" w:lineRule="auto"/>
              <w:jc w:val="center"/>
              <w:rPr>
                <w:color w:val="000000"/>
              </w:rPr>
            </w:pPr>
            <w:r>
              <w:rPr>
                <w:rFonts w:hint="eastAsia"/>
                <w:color w:val="000000"/>
              </w:rPr>
              <w:t>招标文件要求</w:t>
            </w:r>
          </w:p>
        </w:tc>
        <w:tc>
          <w:tcPr>
            <w:tcW w:w="2126" w:type="dxa"/>
            <w:tcBorders>
              <w:left w:val="single" w:color="auto" w:sz="4" w:space="0"/>
            </w:tcBorders>
          </w:tcPr>
          <w:p w14:paraId="2F9FE63D">
            <w:pPr>
              <w:adjustRightInd w:val="0"/>
              <w:snapToGrid w:val="0"/>
              <w:spacing w:before="50" w:line="360" w:lineRule="auto"/>
              <w:jc w:val="center"/>
              <w:rPr>
                <w:color w:val="000000"/>
              </w:rPr>
            </w:pPr>
            <w:r>
              <w:rPr>
                <w:rFonts w:hint="eastAsia"/>
                <w:color w:val="000000"/>
              </w:rPr>
              <w:t>投标文件应答</w:t>
            </w:r>
          </w:p>
        </w:tc>
        <w:tc>
          <w:tcPr>
            <w:tcW w:w="1756" w:type="dxa"/>
            <w:vAlign w:val="center"/>
          </w:tcPr>
          <w:p w14:paraId="3257166B">
            <w:pPr>
              <w:adjustRightInd w:val="0"/>
              <w:snapToGrid w:val="0"/>
              <w:spacing w:before="50" w:line="360" w:lineRule="auto"/>
              <w:ind w:left="-101" w:leftChars="-42"/>
              <w:jc w:val="center"/>
              <w:rPr>
                <w:rFonts w:ascii="宋体" w:hAnsi="宋体"/>
                <w:color w:val="000000"/>
                <w:szCs w:val="21"/>
              </w:rPr>
            </w:pPr>
            <w:r>
              <w:rPr>
                <w:rFonts w:hint="eastAsia" w:ascii="宋体" w:hAnsi="宋体"/>
                <w:color w:val="000000"/>
                <w:szCs w:val="21"/>
              </w:rPr>
              <w:t>偏离说明</w:t>
            </w:r>
          </w:p>
        </w:tc>
      </w:tr>
      <w:tr w14:paraId="7C6BCB8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22508726">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2120ED0E">
            <w:pPr>
              <w:adjustRightInd w:val="0"/>
              <w:snapToGrid w:val="0"/>
              <w:spacing w:before="50" w:line="360" w:lineRule="auto"/>
              <w:ind w:left="-101" w:leftChars="-42"/>
              <w:jc w:val="center"/>
              <w:rPr>
                <w:rFonts w:ascii="宋体" w:hAnsi="宋体"/>
                <w:color w:val="000000"/>
                <w:szCs w:val="21"/>
              </w:rPr>
            </w:pPr>
          </w:p>
        </w:tc>
        <w:tc>
          <w:tcPr>
            <w:tcW w:w="1985" w:type="dxa"/>
            <w:tcBorders>
              <w:right w:val="single" w:color="auto" w:sz="4" w:space="0"/>
            </w:tcBorders>
            <w:vAlign w:val="center"/>
          </w:tcPr>
          <w:p w14:paraId="20B2F1B9">
            <w:pPr>
              <w:adjustRightInd w:val="0"/>
              <w:snapToGrid w:val="0"/>
              <w:spacing w:before="50" w:line="360" w:lineRule="auto"/>
              <w:ind w:left="-101" w:leftChars="-42"/>
              <w:jc w:val="center"/>
              <w:rPr>
                <w:rFonts w:ascii="宋体" w:hAnsi="宋体"/>
                <w:color w:val="000000"/>
                <w:szCs w:val="21"/>
              </w:rPr>
            </w:pPr>
          </w:p>
        </w:tc>
        <w:tc>
          <w:tcPr>
            <w:tcW w:w="2126" w:type="dxa"/>
            <w:tcBorders>
              <w:left w:val="single" w:color="auto" w:sz="4" w:space="0"/>
            </w:tcBorders>
            <w:vAlign w:val="center"/>
          </w:tcPr>
          <w:p w14:paraId="6A3F6B81">
            <w:pPr>
              <w:adjustRightInd w:val="0"/>
              <w:snapToGrid w:val="0"/>
              <w:spacing w:before="50" w:line="360" w:lineRule="auto"/>
              <w:ind w:left="-101" w:leftChars="-42"/>
              <w:jc w:val="center"/>
              <w:rPr>
                <w:rFonts w:ascii="宋体" w:hAnsi="宋体"/>
                <w:color w:val="000000"/>
                <w:szCs w:val="21"/>
              </w:rPr>
            </w:pPr>
          </w:p>
        </w:tc>
        <w:tc>
          <w:tcPr>
            <w:tcW w:w="1756" w:type="dxa"/>
            <w:vAlign w:val="center"/>
          </w:tcPr>
          <w:p w14:paraId="794CBB4C">
            <w:pPr>
              <w:adjustRightInd w:val="0"/>
              <w:snapToGrid w:val="0"/>
              <w:spacing w:before="50" w:line="360" w:lineRule="auto"/>
              <w:ind w:left="-101" w:leftChars="-42"/>
              <w:jc w:val="center"/>
              <w:rPr>
                <w:rFonts w:ascii="宋体" w:hAnsi="宋体"/>
                <w:color w:val="000000"/>
                <w:szCs w:val="21"/>
              </w:rPr>
            </w:pPr>
          </w:p>
        </w:tc>
      </w:tr>
      <w:tr w14:paraId="458575B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05D15207">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79D96086">
            <w:pPr>
              <w:adjustRightInd w:val="0"/>
              <w:snapToGrid w:val="0"/>
              <w:spacing w:before="50" w:line="360" w:lineRule="auto"/>
              <w:ind w:left="-101" w:leftChars="-42"/>
              <w:jc w:val="center"/>
              <w:rPr>
                <w:rFonts w:ascii="宋体" w:hAnsi="宋体"/>
                <w:color w:val="000000"/>
                <w:szCs w:val="21"/>
              </w:rPr>
            </w:pPr>
          </w:p>
        </w:tc>
        <w:tc>
          <w:tcPr>
            <w:tcW w:w="1985" w:type="dxa"/>
            <w:tcBorders>
              <w:right w:val="single" w:color="auto" w:sz="4" w:space="0"/>
            </w:tcBorders>
            <w:vAlign w:val="center"/>
          </w:tcPr>
          <w:p w14:paraId="5258A725">
            <w:pPr>
              <w:adjustRightInd w:val="0"/>
              <w:snapToGrid w:val="0"/>
              <w:spacing w:before="50" w:line="360" w:lineRule="auto"/>
              <w:ind w:left="-101" w:leftChars="-42"/>
              <w:jc w:val="center"/>
              <w:rPr>
                <w:rFonts w:ascii="宋体" w:hAnsi="宋体"/>
                <w:color w:val="000000"/>
                <w:szCs w:val="21"/>
              </w:rPr>
            </w:pPr>
          </w:p>
        </w:tc>
        <w:tc>
          <w:tcPr>
            <w:tcW w:w="2126" w:type="dxa"/>
            <w:tcBorders>
              <w:left w:val="single" w:color="auto" w:sz="4" w:space="0"/>
            </w:tcBorders>
            <w:vAlign w:val="center"/>
          </w:tcPr>
          <w:p w14:paraId="2B0B4274">
            <w:pPr>
              <w:adjustRightInd w:val="0"/>
              <w:snapToGrid w:val="0"/>
              <w:spacing w:before="50" w:line="360" w:lineRule="auto"/>
              <w:ind w:left="-101" w:leftChars="-42"/>
              <w:jc w:val="center"/>
              <w:rPr>
                <w:rFonts w:ascii="宋体" w:hAnsi="宋体"/>
                <w:color w:val="000000"/>
                <w:szCs w:val="21"/>
              </w:rPr>
            </w:pPr>
          </w:p>
        </w:tc>
        <w:tc>
          <w:tcPr>
            <w:tcW w:w="1756" w:type="dxa"/>
            <w:vAlign w:val="center"/>
          </w:tcPr>
          <w:p w14:paraId="150AF5B1">
            <w:pPr>
              <w:adjustRightInd w:val="0"/>
              <w:snapToGrid w:val="0"/>
              <w:spacing w:before="50" w:line="360" w:lineRule="auto"/>
              <w:ind w:left="-101" w:leftChars="-42"/>
              <w:jc w:val="center"/>
              <w:rPr>
                <w:rFonts w:ascii="宋体" w:hAnsi="宋体"/>
                <w:color w:val="000000"/>
                <w:szCs w:val="21"/>
              </w:rPr>
            </w:pPr>
          </w:p>
        </w:tc>
      </w:tr>
      <w:tr w14:paraId="6186BC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3073C66C">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45C2840E">
            <w:pPr>
              <w:adjustRightInd w:val="0"/>
              <w:snapToGrid w:val="0"/>
              <w:spacing w:before="50" w:line="360" w:lineRule="auto"/>
              <w:ind w:left="-101" w:leftChars="-42"/>
              <w:jc w:val="center"/>
              <w:rPr>
                <w:rFonts w:ascii="宋体" w:hAnsi="宋体"/>
                <w:color w:val="000000"/>
                <w:szCs w:val="21"/>
              </w:rPr>
            </w:pPr>
          </w:p>
        </w:tc>
        <w:tc>
          <w:tcPr>
            <w:tcW w:w="1985" w:type="dxa"/>
            <w:tcBorders>
              <w:right w:val="single" w:color="auto" w:sz="4" w:space="0"/>
            </w:tcBorders>
            <w:vAlign w:val="center"/>
          </w:tcPr>
          <w:p w14:paraId="38F3F728">
            <w:pPr>
              <w:adjustRightInd w:val="0"/>
              <w:snapToGrid w:val="0"/>
              <w:spacing w:before="50" w:line="360" w:lineRule="auto"/>
              <w:ind w:left="-101" w:leftChars="-42"/>
              <w:jc w:val="center"/>
              <w:rPr>
                <w:rFonts w:ascii="宋体" w:hAnsi="宋体"/>
                <w:color w:val="000000"/>
                <w:szCs w:val="21"/>
              </w:rPr>
            </w:pPr>
          </w:p>
        </w:tc>
        <w:tc>
          <w:tcPr>
            <w:tcW w:w="2126" w:type="dxa"/>
            <w:tcBorders>
              <w:left w:val="single" w:color="auto" w:sz="4" w:space="0"/>
            </w:tcBorders>
            <w:vAlign w:val="center"/>
          </w:tcPr>
          <w:p w14:paraId="4F4DE600">
            <w:pPr>
              <w:adjustRightInd w:val="0"/>
              <w:snapToGrid w:val="0"/>
              <w:spacing w:before="50" w:line="360" w:lineRule="auto"/>
              <w:ind w:left="-101" w:leftChars="-42"/>
              <w:jc w:val="center"/>
              <w:rPr>
                <w:rFonts w:ascii="宋体" w:hAnsi="宋体"/>
                <w:color w:val="000000"/>
                <w:szCs w:val="21"/>
              </w:rPr>
            </w:pPr>
          </w:p>
        </w:tc>
        <w:tc>
          <w:tcPr>
            <w:tcW w:w="1756" w:type="dxa"/>
            <w:vAlign w:val="center"/>
          </w:tcPr>
          <w:p w14:paraId="72DA60E6">
            <w:pPr>
              <w:adjustRightInd w:val="0"/>
              <w:snapToGrid w:val="0"/>
              <w:spacing w:before="50" w:line="360" w:lineRule="auto"/>
              <w:ind w:left="-101" w:leftChars="-42"/>
              <w:jc w:val="center"/>
              <w:rPr>
                <w:rFonts w:ascii="宋体" w:hAnsi="宋体"/>
                <w:color w:val="000000"/>
                <w:szCs w:val="21"/>
              </w:rPr>
            </w:pPr>
          </w:p>
        </w:tc>
      </w:tr>
      <w:tr w14:paraId="29F0AA7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CDE89EF">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1AF61FE2">
            <w:pPr>
              <w:adjustRightInd w:val="0"/>
              <w:snapToGrid w:val="0"/>
              <w:spacing w:before="50" w:line="360" w:lineRule="auto"/>
              <w:ind w:left="-101" w:leftChars="-42"/>
              <w:jc w:val="center"/>
              <w:rPr>
                <w:rFonts w:ascii="宋体" w:hAnsi="宋体"/>
                <w:color w:val="000000"/>
                <w:szCs w:val="21"/>
              </w:rPr>
            </w:pPr>
          </w:p>
        </w:tc>
        <w:tc>
          <w:tcPr>
            <w:tcW w:w="1985" w:type="dxa"/>
            <w:tcBorders>
              <w:right w:val="single" w:color="auto" w:sz="4" w:space="0"/>
            </w:tcBorders>
            <w:vAlign w:val="center"/>
          </w:tcPr>
          <w:p w14:paraId="2D95FD92">
            <w:pPr>
              <w:adjustRightInd w:val="0"/>
              <w:snapToGrid w:val="0"/>
              <w:spacing w:before="50" w:line="360" w:lineRule="auto"/>
              <w:ind w:left="-101" w:leftChars="-42"/>
              <w:jc w:val="center"/>
              <w:rPr>
                <w:rFonts w:ascii="宋体" w:hAnsi="宋体"/>
                <w:color w:val="000000"/>
                <w:szCs w:val="21"/>
              </w:rPr>
            </w:pPr>
          </w:p>
        </w:tc>
        <w:tc>
          <w:tcPr>
            <w:tcW w:w="2126" w:type="dxa"/>
            <w:tcBorders>
              <w:left w:val="single" w:color="auto" w:sz="4" w:space="0"/>
            </w:tcBorders>
            <w:vAlign w:val="center"/>
          </w:tcPr>
          <w:p w14:paraId="1FD207F1">
            <w:pPr>
              <w:adjustRightInd w:val="0"/>
              <w:snapToGrid w:val="0"/>
              <w:spacing w:before="50" w:line="360" w:lineRule="auto"/>
              <w:ind w:left="-101" w:leftChars="-42"/>
              <w:jc w:val="center"/>
              <w:rPr>
                <w:rFonts w:ascii="宋体" w:hAnsi="宋体"/>
                <w:color w:val="000000"/>
                <w:szCs w:val="21"/>
              </w:rPr>
            </w:pPr>
          </w:p>
        </w:tc>
        <w:tc>
          <w:tcPr>
            <w:tcW w:w="1756" w:type="dxa"/>
            <w:vAlign w:val="center"/>
          </w:tcPr>
          <w:p w14:paraId="1001E316">
            <w:pPr>
              <w:adjustRightInd w:val="0"/>
              <w:snapToGrid w:val="0"/>
              <w:spacing w:before="50" w:line="360" w:lineRule="auto"/>
              <w:ind w:left="-101" w:leftChars="-42"/>
              <w:jc w:val="center"/>
              <w:rPr>
                <w:rFonts w:ascii="宋体" w:hAnsi="宋体"/>
                <w:color w:val="000000"/>
                <w:szCs w:val="21"/>
              </w:rPr>
            </w:pPr>
          </w:p>
        </w:tc>
      </w:tr>
      <w:tr w14:paraId="5007F3C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538F9869">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3EF25F92">
            <w:pPr>
              <w:adjustRightInd w:val="0"/>
              <w:snapToGrid w:val="0"/>
              <w:spacing w:before="50" w:line="360" w:lineRule="auto"/>
              <w:ind w:left="-101" w:leftChars="-42"/>
              <w:jc w:val="center"/>
              <w:rPr>
                <w:rFonts w:ascii="宋体" w:hAnsi="宋体"/>
                <w:color w:val="000000"/>
                <w:szCs w:val="21"/>
              </w:rPr>
            </w:pPr>
          </w:p>
        </w:tc>
        <w:tc>
          <w:tcPr>
            <w:tcW w:w="1985" w:type="dxa"/>
            <w:tcBorders>
              <w:right w:val="single" w:color="auto" w:sz="4" w:space="0"/>
            </w:tcBorders>
            <w:vAlign w:val="center"/>
          </w:tcPr>
          <w:p w14:paraId="20F7AFA8">
            <w:pPr>
              <w:adjustRightInd w:val="0"/>
              <w:snapToGrid w:val="0"/>
              <w:spacing w:before="50" w:line="360" w:lineRule="auto"/>
              <w:ind w:left="-101" w:leftChars="-42"/>
              <w:jc w:val="center"/>
              <w:rPr>
                <w:rFonts w:ascii="宋体" w:hAnsi="宋体"/>
                <w:color w:val="000000"/>
                <w:szCs w:val="21"/>
              </w:rPr>
            </w:pPr>
          </w:p>
        </w:tc>
        <w:tc>
          <w:tcPr>
            <w:tcW w:w="2126" w:type="dxa"/>
            <w:tcBorders>
              <w:left w:val="single" w:color="auto" w:sz="4" w:space="0"/>
            </w:tcBorders>
            <w:vAlign w:val="center"/>
          </w:tcPr>
          <w:p w14:paraId="74164D45">
            <w:pPr>
              <w:adjustRightInd w:val="0"/>
              <w:snapToGrid w:val="0"/>
              <w:spacing w:before="50" w:line="360" w:lineRule="auto"/>
              <w:ind w:left="-101" w:leftChars="-42"/>
              <w:jc w:val="center"/>
              <w:rPr>
                <w:rFonts w:ascii="宋体" w:hAnsi="宋体"/>
                <w:color w:val="000000"/>
                <w:szCs w:val="21"/>
              </w:rPr>
            </w:pPr>
          </w:p>
        </w:tc>
        <w:tc>
          <w:tcPr>
            <w:tcW w:w="1756" w:type="dxa"/>
            <w:vAlign w:val="center"/>
          </w:tcPr>
          <w:p w14:paraId="1DEFC69F">
            <w:pPr>
              <w:adjustRightInd w:val="0"/>
              <w:snapToGrid w:val="0"/>
              <w:spacing w:before="50" w:line="360" w:lineRule="auto"/>
              <w:ind w:left="-101" w:leftChars="-42"/>
              <w:jc w:val="center"/>
              <w:rPr>
                <w:rFonts w:ascii="宋体" w:hAnsi="宋体"/>
                <w:color w:val="000000"/>
                <w:szCs w:val="21"/>
              </w:rPr>
            </w:pPr>
          </w:p>
        </w:tc>
      </w:tr>
      <w:tr w14:paraId="6FCE7E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737" w:type="dxa"/>
            <w:vAlign w:val="center"/>
          </w:tcPr>
          <w:p w14:paraId="785B1664">
            <w:pPr>
              <w:adjustRightInd w:val="0"/>
              <w:snapToGrid w:val="0"/>
              <w:spacing w:before="50" w:line="360" w:lineRule="auto"/>
              <w:ind w:left="-101" w:leftChars="-42"/>
              <w:jc w:val="center"/>
              <w:rPr>
                <w:rFonts w:ascii="宋体" w:hAnsi="宋体"/>
                <w:color w:val="000000"/>
                <w:szCs w:val="21"/>
              </w:rPr>
            </w:pPr>
          </w:p>
        </w:tc>
        <w:tc>
          <w:tcPr>
            <w:tcW w:w="2410" w:type="dxa"/>
            <w:vAlign w:val="center"/>
          </w:tcPr>
          <w:p w14:paraId="71DDC064">
            <w:pPr>
              <w:adjustRightInd w:val="0"/>
              <w:snapToGrid w:val="0"/>
              <w:spacing w:before="50" w:line="360" w:lineRule="auto"/>
              <w:ind w:left="-101" w:leftChars="-42"/>
              <w:jc w:val="center"/>
              <w:rPr>
                <w:rFonts w:ascii="宋体" w:hAnsi="宋体"/>
                <w:color w:val="000000"/>
                <w:szCs w:val="21"/>
              </w:rPr>
            </w:pPr>
          </w:p>
        </w:tc>
        <w:tc>
          <w:tcPr>
            <w:tcW w:w="1985" w:type="dxa"/>
            <w:tcBorders>
              <w:right w:val="single" w:color="auto" w:sz="4" w:space="0"/>
            </w:tcBorders>
            <w:vAlign w:val="center"/>
          </w:tcPr>
          <w:p w14:paraId="7E089550">
            <w:pPr>
              <w:adjustRightInd w:val="0"/>
              <w:snapToGrid w:val="0"/>
              <w:spacing w:before="50" w:line="360" w:lineRule="auto"/>
              <w:ind w:left="-101" w:leftChars="-42"/>
              <w:jc w:val="center"/>
              <w:rPr>
                <w:rFonts w:ascii="宋体" w:hAnsi="宋体"/>
                <w:color w:val="000000"/>
                <w:szCs w:val="21"/>
              </w:rPr>
            </w:pPr>
          </w:p>
        </w:tc>
        <w:tc>
          <w:tcPr>
            <w:tcW w:w="3882" w:type="dxa"/>
            <w:gridSpan w:val="2"/>
            <w:tcBorders>
              <w:left w:val="single" w:color="auto" w:sz="4" w:space="0"/>
            </w:tcBorders>
            <w:vAlign w:val="center"/>
          </w:tcPr>
          <w:p w14:paraId="3A09565F">
            <w:pPr>
              <w:adjustRightInd w:val="0"/>
              <w:snapToGrid w:val="0"/>
              <w:spacing w:before="50" w:line="360" w:lineRule="auto"/>
              <w:ind w:firstLine="482" w:firstLineChars="200"/>
              <w:rPr>
                <w:rFonts w:ascii="宋体" w:hAnsi="宋体"/>
                <w:color w:val="000000"/>
                <w:szCs w:val="21"/>
              </w:rPr>
            </w:pPr>
            <w:r>
              <w:rPr>
                <w:rFonts w:hint="eastAsia" w:ascii="宋体" w:hAnsi="宋体"/>
                <w:b/>
                <w:color w:val="000000"/>
                <w:szCs w:val="21"/>
              </w:rPr>
              <w:t>投标人保证：除本采购需求偏离表列出的偏离外，我单位对招标文件的其他采购需求条款完全响应，无偏离。</w:t>
            </w:r>
          </w:p>
        </w:tc>
      </w:tr>
    </w:tbl>
    <w:p w14:paraId="49CF9E5A">
      <w:pPr>
        <w:adjustRightInd w:val="0"/>
        <w:snapToGrid w:val="0"/>
        <w:spacing w:before="50" w:line="360" w:lineRule="auto"/>
        <w:ind w:left="-101" w:leftChars="-42"/>
        <w:rPr>
          <w:rFonts w:ascii="宋体" w:hAnsi="宋体"/>
          <w:color w:val="000000"/>
          <w:szCs w:val="21"/>
        </w:rPr>
      </w:pPr>
      <w:r>
        <w:rPr>
          <w:rFonts w:hint="eastAsia" w:ascii="宋体" w:hAnsi="宋体"/>
          <w:b/>
          <w:color w:val="000000"/>
          <w:szCs w:val="21"/>
        </w:rPr>
        <w:t>备注</w:t>
      </w:r>
      <w:r>
        <w:rPr>
          <w:rFonts w:hint="eastAsia" w:ascii="宋体" w:hAnsi="宋体"/>
          <w:color w:val="000000"/>
          <w:szCs w:val="21"/>
        </w:rPr>
        <w:t>：（1）投标人应根据招标文件第五章中采购需求填写本表；</w:t>
      </w:r>
    </w:p>
    <w:p w14:paraId="510FEAB9">
      <w:pPr>
        <w:adjustRightInd w:val="0"/>
        <w:snapToGrid w:val="0"/>
        <w:spacing w:before="50" w:line="360" w:lineRule="auto"/>
        <w:ind w:left="-101" w:leftChars="-42" w:firstLine="480" w:firstLineChars="200"/>
        <w:rPr>
          <w:rFonts w:ascii="宋体" w:hAnsi="宋体"/>
          <w:color w:val="000000"/>
          <w:szCs w:val="21"/>
        </w:rPr>
      </w:pPr>
      <w:r>
        <w:rPr>
          <w:rFonts w:hint="eastAsia" w:ascii="宋体" w:hAnsi="宋体"/>
          <w:color w:val="000000"/>
          <w:szCs w:val="21"/>
        </w:rPr>
        <w:t>（2）</w:t>
      </w:r>
      <w:r>
        <w:rPr>
          <w:rFonts w:hint="eastAsia" w:ascii="宋体" w:hAnsi="宋体"/>
          <w:b/>
          <w:color w:val="000000"/>
          <w:szCs w:val="21"/>
        </w:rPr>
        <w:t>投标人如果对招标文件第五章中采购需求的响应有偏离，应将偏离条款逐条如实应答，并作出说明</w:t>
      </w:r>
      <w:r>
        <w:rPr>
          <w:rFonts w:hint="eastAsia" w:ascii="宋体" w:hAnsi="宋体"/>
          <w:color w:val="000000"/>
          <w:szCs w:val="21"/>
        </w:rPr>
        <w:t>；</w:t>
      </w:r>
    </w:p>
    <w:p w14:paraId="6ED8A587">
      <w:pPr>
        <w:adjustRightInd w:val="0"/>
        <w:snapToGrid w:val="0"/>
        <w:spacing w:before="50" w:line="360" w:lineRule="auto"/>
        <w:ind w:left="-101" w:leftChars="-42" w:firstLine="480" w:firstLineChars="200"/>
        <w:rPr>
          <w:rFonts w:ascii="宋体" w:hAnsi="宋体"/>
          <w:color w:val="000000"/>
          <w:szCs w:val="21"/>
        </w:rPr>
      </w:pPr>
      <w:r>
        <w:rPr>
          <w:rFonts w:hint="eastAsia" w:ascii="宋体" w:hAnsi="宋体"/>
          <w:color w:val="000000"/>
          <w:szCs w:val="21"/>
        </w:rPr>
        <w:t>（3）如不提供此表，则视为投标人不满足招标文件第五章的所有条款要求，其投标无效。</w:t>
      </w:r>
    </w:p>
    <w:p w14:paraId="6ED426A2">
      <w:pPr>
        <w:adjustRightInd w:val="0"/>
        <w:snapToGrid w:val="0"/>
        <w:spacing w:before="50" w:line="360" w:lineRule="auto"/>
        <w:ind w:left="-101" w:leftChars="-42" w:firstLine="480" w:firstLineChars="200"/>
        <w:rPr>
          <w:rFonts w:ascii="宋体" w:hAnsi="宋体"/>
          <w:color w:val="000000"/>
          <w:szCs w:val="21"/>
        </w:rPr>
      </w:pPr>
      <w:r>
        <w:rPr>
          <w:rFonts w:hint="eastAsia" w:ascii="宋体" w:hAnsi="宋体"/>
          <w:color w:val="000000"/>
          <w:szCs w:val="21"/>
        </w:rPr>
        <w:t>（4）在采购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采购人签订合同。</w:t>
      </w:r>
    </w:p>
    <w:p w14:paraId="1D6F60EB">
      <w:pPr>
        <w:adjustRightInd w:val="0"/>
        <w:snapToGrid w:val="0"/>
        <w:spacing w:before="50" w:line="360" w:lineRule="auto"/>
        <w:rPr>
          <w:rFonts w:ascii="宋体" w:hAnsi="宋体"/>
          <w:color w:val="000000"/>
          <w:szCs w:val="21"/>
        </w:rPr>
      </w:pPr>
    </w:p>
    <w:p w14:paraId="62953630">
      <w:pPr>
        <w:adjustRightInd w:val="0"/>
        <w:snapToGrid w:val="0"/>
        <w:spacing w:before="50" w:line="360" w:lineRule="auto"/>
        <w:rPr>
          <w:rFonts w:ascii="宋体" w:hAnsi="宋体"/>
          <w:color w:val="000000"/>
          <w:szCs w:val="21"/>
        </w:rPr>
      </w:pPr>
    </w:p>
    <w:p w14:paraId="5D75547A">
      <w:pPr>
        <w:adjustRightInd w:val="0"/>
        <w:snapToGrid w:val="0"/>
        <w:spacing w:before="50" w:line="360" w:lineRule="auto"/>
        <w:rPr>
          <w:rFonts w:ascii="宋体" w:hAnsi="宋体"/>
          <w:color w:val="000000"/>
          <w:szCs w:val="21"/>
        </w:rPr>
      </w:pPr>
      <w:r>
        <w:rPr>
          <w:rFonts w:hint="eastAsia" w:ascii="宋体" w:hAnsi="宋体"/>
          <w:color w:val="000000"/>
          <w:szCs w:val="21"/>
        </w:rPr>
        <w:t>投标人名称（盖单位章）：</w:t>
      </w:r>
    </w:p>
    <w:p w14:paraId="30F0633B">
      <w:pPr>
        <w:adjustRightInd w:val="0"/>
        <w:snapToGrid w:val="0"/>
        <w:spacing w:before="50" w:line="360" w:lineRule="auto"/>
        <w:rPr>
          <w:rFonts w:ascii="宋体" w:hAnsi="宋体"/>
          <w:color w:val="000000"/>
          <w:szCs w:val="21"/>
        </w:rPr>
      </w:pPr>
      <w:r>
        <w:rPr>
          <w:rFonts w:hint="eastAsia" w:ascii="宋体" w:hAnsi="宋体"/>
          <w:color w:val="000000"/>
          <w:szCs w:val="21"/>
        </w:rPr>
        <w:t>法定代表人或其授权的代理人（签字或印章）：</w:t>
      </w:r>
    </w:p>
    <w:p w14:paraId="2128D846">
      <w:pPr>
        <w:adjustRightInd w:val="0"/>
        <w:snapToGrid w:val="0"/>
        <w:spacing w:before="50" w:line="360" w:lineRule="auto"/>
        <w:rPr>
          <w:rFonts w:ascii="宋体" w:hAnsi="宋体"/>
          <w:color w:val="000000"/>
          <w:szCs w:val="21"/>
        </w:rPr>
      </w:pPr>
      <w:r>
        <w:rPr>
          <w:rFonts w:hint="eastAsia" w:ascii="宋体" w:hAnsi="宋体"/>
          <w:color w:val="000000"/>
          <w:szCs w:val="21"/>
        </w:rPr>
        <w:t>日      期：</w:t>
      </w:r>
      <w:r>
        <w:rPr>
          <w:rFonts w:hint="eastAsia" w:ascii="宋体" w:hAnsi="宋体"/>
          <w:color w:val="000000"/>
          <w:szCs w:val="21"/>
          <w:u w:val="single"/>
          <w:lang w:val="en-US" w:eastAsia="zh-CN"/>
        </w:rPr>
        <w:t xml:space="preserve">  </w:t>
      </w:r>
      <w:r>
        <w:rPr>
          <w:rFonts w:hint="eastAsia" w:ascii="宋体" w:hAnsi="宋体"/>
          <w:color w:val="000000"/>
          <w:szCs w:val="21"/>
        </w:rPr>
        <w:t>年</w:t>
      </w:r>
      <w:r>
        <w:rPr>
          <w:rFonts w:hint="eastAsia" w:ascii="宋体" w:hAnsi="宋体"/>
          <w:color w:val="000000"/>
          <w:szCs w:val="21"/>
          <w:u w:val="single"/>
          <w:lang w:val="en-US" w:eastAsia="zh-CN"/>
        </w:rPr>
        <w:t xml:space="preserve">  </w:t>
      </w:r>
      <w:r>
        <w:rPr>
          <w:rFonts w:hint="eastAsia" w:ascii="宋体" w:hAnsi="宋体"/>
          <w:color w:val="000000"/>
          <w:szCs w:val="21"/>
        </w:rPr>
        <w:t>月_日</w:t>
      </w:r>
    </w:p>
    <w:p w14:paraId="5010FAE4">
      <w:pPr>
        <w:pStyle w:val="2"/>
        <w:numPr>
          <w:ilvl w:val="0"/>
          <w:numId w:val="0"/>
        </w:numPr>
        <w:adjustRightInd w:val="0"/>
        <w:snapToGrid w:val="0"/>
        <w:spacing w:before="0" w:after="0" w:line="360" w:lineRule="auto"/>
        <w:jc w:val="center"/>
        <w:rPr>
          <w:rFonts w:ascii="黑体" w:hAnsi="华文中宋" w:eastAsia="黑体" w:cs="宋体"/>
          <w:spacing w:val="6"/>
          <w:kern w:val="0"/>
          <w:szCs w:val="21"/>
        </w:rPr>
      </w:pPr>
      <w:r>
        <w:rPr>
          <w:rFonts w:ascii="宋体" w:hAnsi="宋体"/>
          <w:color w:val="000000"/>
          <w:szCs w:val="21"/>
        </w:rPr>
        <w:br w:type="page"/>
      </w:r>
      <w:bookmarkStart w:id="166" w:name="_Toc22600"/>
      <w:bookmarkStart w:id="167" w:name="_Toc29913969"/>
      <w:bookmarkStart w:id="168" w:name="_Toc4403"/>
      <w:r>
        <w:rPr>
          <w:rFonts w:hint="eastAsia" w:ascii="黑体" w:hAnsi="宋体" w:eastAsia="黑体"/>
          <w:color w:val="000000"/>
          <w:sz w:val="28"/>
          <w:szCs w:val="28"/>
          <w:lang w:val="en-US" w:eastAsia="zh-CN"/>
        </w:rPr>
        <w:t>十、享受政府采购政策优惠的证明资料</w:t>
      </w:r>
      <w:bookmarkEnd w:id="166"/>
      <w:bookmarkEnd w:id="167"/>
      <w:bookmarkEnd w:id="168"/>
    </w:p>
    <w:p w14:paraId="16B826D5">
      <w:pPr>
        <w:adjustRightInd w:val="0"/>
        <w:snapToGrid w:val="0"/>
        <w:spacing w:line="360" w:lineRule="auto"/>
        <w:ind w:firstLine="504" w:firstLineChars="200"/>
        <w:rPr>
          <w:rFonts w:cs="宋体" w:asciiTheme="minorEastAsia" w:hAnsiTheme="minorEastAsia" w:eastAsiaTheme="minorEastAsia"/>
          <w:bCs/>
          <w:spacing w:val="6"/>
          <w:kern w:val="0"/>
          <w:szCs w:val="21"/>
        </w:rPr>
      </w:pPr>
      <w:r>
        <w:rPr>
          <w:rFonts w:hint="eastAsia" w:cs="宋体" w:asciiTheme="minorEastAsia" w:hAnsiTheme="minorEastAsia" w:eastAsiaTheme="minorEastAsia"/>
          <w:bCs/>
          <w:spacing w:val="6"/>
          <w:kern w:val="0"/>
          <w:szCs w:val="21"/>
        </w:rPr>
        <w:t>投标人符合第二章第33.6款要求的，应提供下列证明资料，并填写相关数据。否则，评审时不予以考虑。</w:t>
      </w:r>
    </w:p>
    <w:p w14:paraId="090B2041">
      <w:pPr>
        <w:pStyle w:val="5"/>
        <w:rPr>
          <w:rFonts w:ascii="黑体" w:hAnsi="华文中宋" w:cs="宋体"/>
          <w:b w:val="0"/>
          <w:bCs w:val="0"/>
          <w:spacing w:val="6"/>
          <w:kern w:val="0"/>
          <w:sz w:val="21"/>
          <w:szCs w:val="21"/>
        </w:rPr>
      </w:pPr>
      <w:bookmarkStart w:id="169" w:name="_Toc27894"/>
      <w:bookmarkStart w:id="170" w:name="_Toc29913970"/>
      <w:bookmarkStart w:id="171" w:name="_Toc12389"/>
      <w:r>
        <w:rPr>
          <w:rFonts w:hint="eastAsia" w:ascii="黑体" w:hAnsi="华文中宋" w:cs="宋体"/>
          <w:b w:val="0"/>
          <w:bCs w:val="0"/>
          <w:spacing w:val="6"/>
          <w:kern w:val="0"/>
          <w:sz w:val="21"/>
          <w:szCs w:val="21"/>
        </w:rPr>
        <w:t>附件1</w:t>
      </w:r>
      <w:r>
        <w:rPr>
          <w:rFonts w:hint="eastAsia" w:ascii="黑体" w:hAnsi="华文中宋" w:cs="宋体"/>
          <w:b w:val="0"/>
          <w:bCs w:val="0"/>
          <w:spacing w:val="6"/>
          <w:kern w:val="0"/>
          <w:sz w:val="21"/>
          <w:szCs w:val="21"/>
          <w:lang w:val="en-US" w:eastAsia="zh-CN"/>
        </w:rPr>
        <w:t>0</w:t>
      </w:r>
      <w:r>
        <w:rPr>
          <w:rFonts w:hint="eastAsia" w:ascii="黑体" w:hAnsi="华文中宋" w:cs="宋体"/>
          <w:b w:val="0"/>
          <w:bCs w:val="0"/>
          <w:spacing w:val="6"/>
          <w:kern w:val="0"/>
          <w:sz w:val="21"/>
          <w:szCs w:val="21"/>
        </w:rPr>
        <w:t>-1中小企业声明函</w:t>
      </w:r>
      <w:bookmarkEnd w:id="169"/>
      <w:bookmarkEnd w:id="170"/>
      <w:bookmarkEnd w:id="171"/>
    </w:p>
    <w:p w14:paraId="65E59721">
      <w:pPr>
        <w:widowControl/>
        <w:adjustRightInd w:val="0"/>
        <w:snapToGrid w:val="0"/>
        <w:spacing w:line="360" w:lineRule="auto"/>
        <w:jc w:val="center"/>
        <w:rPr>
          <w:rFonts w:ascii="黑体" w:hAnsi="黑体" w:eastAsia="黑体" w:cs="宋体"/>
          <w:b/>
          <w:bCs/>
          <w:color w:val="000000"/>
          <w:spacing w:val="6"/>
          <w:kern w:val="0"/>
          <w:sz w:val="28"/>
          <w:szCs w:val="28"/>
        </w:rPr>
      </w:pPr>
      <w:bookmarkStart w:id="172" w:name="_Toc29913971"/>
      <w:r>
        <w:rPr>
          <w:rFonts w:hint="eastAsia" w:ascii="黑体" w:hAnsi="黑体" w:eastAsia="黑体" w:cs="宋体"/>
          <w:b/>
          <w:bCs/>
          <w:color w:val="000000"/>
          <w:spacing w:val="6"/>
          <w:kern w:val="0"/>
          <w:sz w:val="28"/>
          <w:szCs w:val="28"/>
        </w:rPr>
        <w:t>中小企业声明函</w:t>
      </w:r>
    </w:p>
    <w:p w14:paraId="643626C0">
      <w:pPr>
        <w:widowControl/>
        <w:adjustRightInd w:val="0"/>
        <w:snapToGrid w:val="0"/>
        <w:spacing w:line="360" w:lineRule="auto"/>
        <w:jc w:val="center"/>
        <w:rPr>
          <w:rFonts w:ascii="黑体" w:hAnsi="黑体" w:eastAsia="黑体" w:cs="宋体"/>
          <w:b/>
          <w:bCs/>
          <w:color w:val="000000"/>
          <w:spacing w:val="6"/>
          <w:kern w:val="0"/>
          <w:sz w:val="28"/>
          <w:szCs w:val="28"/>
        </w:rPr>
      </w:pPr>
      <w:r>
        <w:rPr>
          <w:rFonts w:hint="eastAsia" w:ascii="宋体" w:hAnsi="宋体" w:cs="宋体"/>
          <w:b/>
          <w:color w:val="000000"/>
          <w:spacing w:val="6"/>
          <w:kern w:val="0"/>
          <w:szCs w:val="21"/>
        </w:rPr>
        <w:t>(不满足以下条件的无需填写)</w:t>
      </w:r>
    </w:p>
    <w:p w14:paraId="0CBC8032">
      <w:pPr>
        <w:pStyle w:val="43"/>
        <w:ind w:firstLine="0"/>
      </w:pPr>
    </w:p>
    <w:p w14:paraId="21213DBF">
      <w:pPr>
        <w:pStyle w:val="297"/>
        <w:adjustRightInd w:val="0"/>
        <w:snapToGrid w:val="0"/>
        <w:spacing w:before="50" w:line="360" w:lineRule="auto"/>
        <w:ind w:left="-101" w:leftChars="-42" w:firstLine="420" w:firstLineChars="200"/>
        <w:rPr>
          <w:rFonts w:ascii="宋体" w:hAnsi="宋体"/>
          <w:color w:val="000000"/>
          <w:szCs w:val="21"/>
        </w:rPr>
      </w:pPr>
      <w:r>
        <w:rPr>
          <w:rFonts w:hint="eastAsia" w:ascii="宋体" w:hAnsi="宋体"/>
          <w:color w:val="000000"/>
          <w:szCs w:val="21"/>
        </w:rPr>
        <w:t>本公司（联合体）郑重声明，根据《政府采购促进中小企业发展管理办法》（财库﹝2020﹞46 号）的规定，本公司（联合体）参加 （单位名称） 的 （项目名称） 采购活动，提供的服务全部由符合政策要求的中小企业承接。相关企业（含联合体中的中小企业、签订分包意向协议的中小企业）的具体情况如下：</w:t>
      </w:r>
    </w:p>
    <w:p w14:paraId="4D127CFB">
      <w:pPr>
        <w:pStyle w:val="297"/>
        <w:adjustRightInd w:val="0"/>
        <w:snapToGrid w:val="0"/>
        <w:spacing w:before="50" w:line="360" w:lineRule="auto"/>
        <w:ind w:left="-101" w:leftChars="-42" w:firstLine="420" w:firstLineChars="200"/>
        <w:rPr>
          <w:rFonts w:ascii="宋体" w:hAnsi="宋体"/>
          <w:color w:val="000000"/>
          <w:szCs w:val="21"/>
        </w:rPr>
      </w:pPr>
      <w:r>
        <w:rPr>
          <w:rFonts w:hint="eastAsia" w:ascii="宋体" w:hAnsi="宋体"/>
          <w:color w:val="000000"/>
          <w:szCs w:val="21"/>
        </w:rPr>
        <w:t xml:space="preserve">1. </w:t>
      </w:r>
      <w:r>
        <w:rPr>
          <w:rFonts w:hint="eastAsia" w:ascii="宋体" w:hAnsi="宋体"/>
          <w:color w:val="000000"/>
          <w:szCs w:val="21"/>
          <w:u w:val="single"/>
        </w:rPr>
        <w:t xml:space="preserve">（标的名称） </w:t>
      </w:r>
      <w:r>
        <w:rPr>
          <w:rFonts w:hint="eastAsia" w:ascii="宋体" w:hAnsi="宋体"/>
          <w:color w:val="000000"/>
          <w:szCs w:val="21"/>
        </w:rPr>
        <w:t>，属于</w:t>
      </w:r>
      <w:r>
        <w:rPr>
          <w:rFonts w:hint="eastAsia" w:ascii="宋体" w:hAnsi="宋体"/>
          <w:color w:val="000000"/>
          <w:szCs w:val="21"/>
          <w:u w:val="single"/>
        </w:rPr>
        <w:t xml:space="preserve"> （采购文件中明确的所属行业）</w:t>
      </w:r>
      <w:r>
        <w:rPr>
          <w:rFonts w:hint="eastAsia" w:ascii="宋体" w:hAnsi="宋体"/>
          <w:color w:val="000000"/>
          <w:szCs w:val="21"/>
        </w:rPr>
        <w:t xml:space="preserve">行业 ；承接人为 </w:t>
      </w:r>
      <w:r>
        <w:rPr>
          <w:rFonts w:hint="eastAsia" w:ascii="宋体" w:hAnsi="宋体"/>
          <w:color w:val="000000"/>
          <w:szCs w:val="21"/>
          <w:u w:val="single"/>
        </w:rPr>
        <w:t>（企业名称）</w:t>
      </w:r>
      <w:r>
        <w:rPr>
          <w:rFonts w:hint="eastAsia" w:ascii="宋体" w:hAnsi="宋体"/>
          <w:color w:val="000000"/>
          <w:szCs w:val="21"/>
        </w:rPr>
        <w:t xml:space="preserve"> ，从业人员人，营业收入为万元，资产总额为万元，属于</w:t>
      </w:r>
      <w:r>
        <w:rPr>
          <w:rFonts w:hint="eastAsia" w:ascii="宋体" w:hAnsi="宋体"/>
          <w:color w:val="000000"/>
          <w:szCs w:val="21"/>
          <w:u w:val="single"/>
        </w:rPr>
        <w:t xml:space="preserve"> （中型企业、小型企业、微型企业） </w:t>
      </w:r>
      <w:r>
        <w:rPr>
          <w:rFonts w:hint="eastAsia" w:ascii="宋体" w:hAnsi="宋体"/>
          <w:color w:val="000000"/>
          <w:szCs w:val="21"/>
        </w:rPr>
        <w:t>；</w:t>
      </w:r>
    </w:p>
    <w:p w14:paraId="5417B170">
      <w:pPr>
        <w:pStyle w:val="297"/>
        <w:adjustRightInd w:val="0"/>
        <w:snapToGrid w:val="0"/>
        <w:spacing w:before="50" w:line="360" w:lineRule="auto"/>
        <w:ind w:left="-101" w:leftChars="-42" w:firstLine="420" w:firstLineChars="200"/>
        <w:rPr>
          <w:rFonts w:ascii="宋体" w:hAnsi="宋体"/>
          <w:color w:val="000000"/>
          <w:szCs w:val="21"/>
        </w:rPr>
      </w:pPr>
      <w:r>
        <w:rPr>
          <w:rFonts w:hint="eastAsia" w:ascii="宋体" w:hAnsi="宋体"/>
          <w:color w:val="000000"/>
          <w:szCs w:val="21"/>
        </w:rPr>
        <w:t xml:space="preserve">2. </w:t>
      </w:r>
      <w:r>
        <w:rPr>
          <w:rFonts w:hint="eastAsia" w:ascii="宋体" w:hAnsi="宋体"/>
          <w:color w:val="000000"/>
          <w:szCs w:val="21"/>
          <w:u w:val="single"/>
        </w:rPr>
        <w:t xml:space="preserve">（标的名称） </w:t>
      </w:r>
      <w:r>
        <w:rPr>
          <w:rFonts w:hint="eastAsia" w:ascii="宋体" w:hAnsi="宋体"/>
          <w:color w:val="000000"/>
          <w:szCs w:val="21"/>
        </w:rPr>
        <w:t>，属于</w:t>
      </w:r>
      <w:r>
        <w:rPr>
          <w:rFonts w:hint="eastAsia" w:ascii="宋体" w:hAnsi="宋体"/>
          <w:color w:val="000000"/>
          <w:szCs w:val="21"/>
          <w:u w:val="single"/>
        </w:rPr>
        <w:t xml:space="preserve"> （采购文件中明确的所属行业）</w:t>
      </w:r>
      <w:r>
        <w:rPr>
          <w:rFonts w:hint="eastAsia" w:ascii="宋体" w:hAnsi="宋体"/>
          <w:color w:val="000000"/>
          <w:szCs w:val="21"/>
        </w:rPr>
        <w:t xml:space="preserve">行业 ；承接人为 </w:t>
      </w:r>
      <w:r>
        <w:rPr>
          <w:rFonts w:hint="eastAsia" w:ascii="宋体" w:hAnsi="宋体"/>
          <w:color w:val="000000"/>
          <w:szCs w:val="21"/>
          <w:u w:val="single"/>
        </w:rPr>
        <w:t>（企业名称）</w:t>
      </w:r>
      <w:r>
        <w:rPr>
          <w:rFonts w:hint="eastAsia" w:ascii="宋体" w:hAnsi="宋体"/>
          <w:color w:val="000000"/>
          <w:szCs w:val="21"/>
        </w:rPr>
        <w:t xml:space="preserve"> ，从业人员人，营业收入为万元，资产总额为万元，属于</w:t>
      </w:r>
      <w:r>
        <w:rPr>
          <w:rFonts w:hint="eastAsia" w:ascii="宋体" w:hAnsi="宋体"/>
          <w:color w:val="000000"/>
          <w:szCs w:val="21"/>
          <w:u w:val="single"/>
        </w:rPr>
        <w:t xml:space="preserve"> （中型企业、小型企业、微型企业） </w:t>
      </w:r>
      <w:r>
        <w:rPr>
          <w:rFonts w:hint="eastAsia" w:ascii="宋体" w:hAnsi="宋体"/>
          <w:color w:val="000000"/>
          <w:szCs w:val="21"/>
        </w:rPr>
        <w:t>；</w:t>
      </w:r>
    </w:p>
    <w:p w14:paraId="6504EB96">
      <w:pPr>
        <w:pStyle w:val="297"/>
        <w:adjustRightInd w:val="0"/>
        <w:snapToGrid w:val="0"/>
        <w:spacing w:before="50" w:line="360" w:lineRule="auto"/>
        <w:ind w:left="-101" w:leftChars="-42" w:firstLine="420" w:firstLineChars="200"/>
        <w:rPr>
          <w:rFonts w:ascii="宋体" w:hAnsi="宋体"/>
          <w:color w:val="000000"/>
          <w:szCs w:val="21"/>
        </w:rPr>
      </w:pPr>
      <w:r>
        <w:rPr>
          <w:rFonts w:hint="eastAsia" w:ascii="宋体" w:hAnsi="宋体"/>
          <w:color w:val="000000"/>
          <w:szCs w:val="21"/>
        </w:rPr>
        <w:t>……</w:t>
      </w:r>
    </w:p>
    <w:p w14:paraId="32E7F844">
      <w:pPr>
        <w:pStyle w:val="297"/>
        <w:adjustRightInd w:val="0"/>
        <w:snapToGrid w:val="0"/>
        <w:spacing w:before="50" w:line="360" w:lineRule="auto"/>
        <w:ind w:left="-101" w:leftChars="-42" w:firstLine="420" w:firstLineChars="200"/>
        <w:rPr>
          <w:rFonts w:ascii="宋体" w:hAnsi="宋体"/>
          <w:color w:val="000000"/>
          <w:szCs w:val="21"/>
        </w:rPr>
      </w:pPr>
      <w:r>
        <w:rPr>
          <w:rFonts w:hint="eastAsia" w:ascii="宋体" w:hAnsi="宋体"/>
          <w:color w:val="000000"/>
          <w:szCs w:val="21"/>
        </w:rPr>
        <w:t>以上企业，不属于大企业的分支机构，不存在控股股东为大企业的情形，也不存在与大企业的负责人为同一人的情形。</w:t>
      </w:r>
    </w:p>
    <w:p w14:paraId="1C663D54">
      <w:pPr>
        <w:pStyle w:val="297"/>
        <w:adjustRightInd w:val="0"/>
        <w:snapToGrid w:val="0"/>
        <w:spacing w:before="50" w:line="360" w:lineRule="auto"/>
        <w:ind w:left="-101" w:leftChars="-42" w:firstLine="420" w:firstLineChars="200"/>
        <w:rPr>
          <w:rFonts w:ascii="宋体" w:hAnsi="宋体"/>
          <w:color w:val="000000"/>
          <w:szCs w:val="21"/>
        </w:rPr>
      </w:pPr>
      <w:r>
        <w:rPr>
          <w:rFonts w:hint="eastAsia" w:ascii="宋体" w:hAnsi="宋体"/>
          <w:color w:val="000000"/>
          <w:szCs w:val="21"/>
        </w:rPr>
        <w:t>本企业对上述声明内容的真实性负责。如有虚假，将依法承担相应责任。</w:t>
      </w:r>
    </w:p>
    <w:p w14:paraId="05AFAF20">
      <w:pPr>
        <w:pStyle w:val="297"/>
        <w:adjustRightInd w:val="0"/>
        <w:snapToGrid w:val="0"/>
        <w:spacing w:before="50" w:line="360" w:lineRule="auto"/>
        <w:ind w:left="-101" w:leftChars="-42" w:firstLine="420" w:firstLineChars="200"/>
        <w:rPr>
          <w:rFonts w:ascii="宋体" w:hAnsi="宋体"/>
          <w:color w:val="000000"/>
          <w:szCs w:val="21"/>
        </w:rPr>
      </w:pPr>
      <w:r>
        <w:rPr>
          <w:rFonts w:hint="eastAsia" w:ascii="宋体" w:hAnsi="宋体"/>
          <w:color w:val="000000"/>
          <w:szCs w:val="21"/>
        </w:rPr>
        <w:t>企业名称（盖章）：</w:t>
      </w:r>
      <w:r>
        <w:rPr>
          <w:rFonts w:hint="eastAsia" w:ascii="宋体" w:hAnsi="宋体" w:cs="宋体"/>
          <w:color w:val="000000"/>
          <w:spacing w:val="6"/>
          <w:kern w:val="0"/>
          <w:sz w:val="20"/>
          <w:szCs w:val="21"/>
          <w:u w:val="single"/>
        </w:rPr>
        <w:t xml:space="preserve">         </w:t>
      </w:r>
    </w:p>
    <w:p w14:paraId="1D45EDD5">
      <w:pPr>
        <w:pStyle w:val="297"/>
        <w:widowControl/>
        <w:adjustRightInd w:val="0"/>
        <w:snapToGrid w:val="0"/>
        <w:spacing w:line="360" w:lineRule="auto"/>
        <w:ind w:firstLine="420" w:firstLineChars="200"/>
        <w:rPr>
          <w:rFonts w:ascii="宋体" w:hAnsi="宋体" w:cs="宋体"/>
          <w:color w:val="000000"/>
          <w:spacing w:val="6"/>
          <w:kern w:val="0"/>
          <w:szCs w:val="21"/>
          <w:u w:val="single"/>
        </w:rPr>
      </w:pPr>
      <w:r>
        <w:rPr>
          <w:rFonts w:hint="eastAsia" w:ascii="宋体" w:hAnsi="宋体"/>
          <w:color w:val="000000"/>
          <w:szCs w:val="21"/>
        </w:rPr>
        <w:t>日 期：</w:t>
      </w:r>
      <w:r>
        <w:rPr>
          <w:rFonts w:hint="eastAsia" w:ascii="宋体" w:hAnsi="宋体" w:cs="宋体"/>
          <w:color w:val="000000"/>
          <w:spacing w:val="6"/>
          <w:kern w:val="0"/>
          <w:szCs w:val="21"/>
          <w:u w:val="single"/>
        </w:rPr>
        <w:t xml:space="preserve">         </w:t>
      </w:r>
    </w:p>
    <w:p w14:paraId="001A081A">
      <w:pPr>
        <w:pStyle w:val="297"/>
        <w:adjustRightInd w:val="0"/>
        <w:snapToGrid w:val="0"/>
        <w:spacing w:before="50" w:line="360" w:lineRule="auto"/>
        <w:rPr>
          <w:rFonts w:ascii="Times New Roman" w:hAnsi="Times New Roman"/>
          <w:color w:val="000000"/>
        </w:rPr>
      </w:pPr>
    </w:p>
    <w:p w14:paraId="65298D69">
      <w:pPr>
        <w:adjustRightInd w:val="0"/>
        <w:snapToGrid w:val="0"/>
        <w:spacing w:line="360" w:lineRule="auto"/>
        <w:rPr>
          <w:rFonts w:ascii="宋体" w:hAnsi="宋体"/>
          <w:color w:val="000000"/>
          <w:szCs w:val="21"/>
        </w:rPr>
      </w:pPr>
      <w:r>
        <w:rPr>
          <w:rFonts w:hint="eastAsia" w:ascii="宋体" w:hAnsi="宋体"/>
          <w:color w:val="000000"/>
          <w:szCs w:val="21"/>
        </w:rPr>
        <w:t>说明：</w:t>
      </w:r>
    </w:p>
    <w:p w14:paraId="5843A86D">
      <w:pPr>
        <w:adjustRightInd w:val="0"/>
        <w:snapToGrid w:val="0"/>
        <w:spacing w:line="360" w:lineRule="auto"/>
        <w:rPr>
          <w:rFonts w:ascii="宋体" w:hAnsi="宋体" w:cs="宋体"/>
          <w:color w:val="000000"/>
          <w:spacing w:val="6"/>
          <w:kern w:val="0"/>
          <w:szCs w:val="21"/>
        </w:rPr>
      </w:pPr>
      <w:r>
        <w:rPr>
          <w:rFonts w:hint="eastAsia" w:ascii="宋体" w:hAnsi="宋体"/>
          <w:color w:val="000000"/>
          <w:szCs w:val="21"/>
        </w:rPr>
        <w:t>1、填写前请认真阅读</w:t>
      </w:r>
      <w:r>
        <w:rPr>
          <w:rFonts w:hint="eastAsia" w:ascii="宋体" w:hAnsi="宋体" w:cs="宋体"/>
          <w:color w:val="000000"/>
          <w:spacing w:val="6"/>
          <w:kern w:val="0"/>
          <w:szCs w:val="21"/>
        </w:rPr>
        <w:t>《工业和信息化部、国家统计局、国家发展和改革委员会、财政部关于印发中小企业划型标准规定的通知》（工信部联企业[2011]300号）和《政府采购促进中小企业发展管理办法》(财库[2020]46号)相关规定。</w:t>
      </w:r>
    </w:p>
    <w:p w14:paraId="4CBF184A">
      <w:pPr>
        <w:adjustRightInd w:val="0"/>
        <w:snapToGrid w:val="0"/>
        <w:spacing w:line="360" w:lineRule="auto"/>
        <w:rPr>
          <w:rFonts w:ascii="宋体" w:hAnsi="宋体" w:cs="宋体"/>
          <w:color w:val="000000"/>
          <w:spacing w:val="6"/>
          <w:kern w:val="0"/>
          <w:szCs w:val="21"/>
        </w:rPr>
      </w:pPr>
      <w:r>
        <w:rPr>
          <w:rFonts w:hint="eastAsia" w:ascii="宋体" w:hAnsi="宋体" w:cs="宋体"/>
          <w:color w:val="000000"/>
          <w:spacing w:val="6"/>
          <w:kern w:val="0"/>
          <w:szCs w:val="21"/>
        </w:rPr>
        <w:t>2、从业人员、营业收入、资产总额填报上一年度数据，无上一年度数据的新成立企业可不填报。</w:t>
      </w:r>
    </w:p>
    <w:p w14:paraId="27986D0B">
      <w:pPr>
        <w:rPr>
          <w:rFonts w:ascii="黑体" w:hAnsi="宋体" w:eastAsia="黑体"/>
          <w:bCs/>
          <w:spacing w:val="6"/>
          <w:szCs w:val="21"/>
        </w:rPr>
      </w:pPr>
      <w:r>
        <w:rPr>
          <w:rFonts w:hint="eastAsia" w:ascii="宋体" w:hAnsi="宋体"/>
          <w:color w:val="000000"/>
          <w:szCs w:val="21"/>
        </w:rPr>
        <w:t>3、</w:t>
      </w:r>
      <w:r>
        <w:rPr>
          <w:rFonts w:hint="eastAsia" w:ascii="宋体" w:hAnsi="宋体"/>
          <w:bCs/>
          <w:color w:val="000000"/>
          <w:szCs w:val="21"/>
        </w:rPr>
        <w:t>未按上述要求提供、</w:t>
      </w:r>
      <w:r>
        <w:rPr>
          <w:rFonts w:hint="eastAsia" w:ascii="宋体" w:hAnsi="宋体"/>
          <w:color w:val="000000"/>
          <w:szCs w:val="21"/>
        </w:rPr>
        <w:t>填写</w:t>
      </w:r>
      <w:r>
        <w:rPr>
          <w:rFonts w:hint="eastAsia" w:ascii="宋体" w:hAnsi="宋体"/>
          <w:bCs/>
          <w:color w:val="000000"/>
          <w:szCs w:val="21"/>
        </w:rPr>
        <w:t>的，评审时不予以考虑。</w:t>
      </w:r>
      <w:r>
        <w:rPr>
          <w:rFonts w:hint="eastAsia" w:ascii="黑体" w:hAnsi="宋体" w:eastAsia="黑体"/>
          <w:bCs/>
          <w:spacing w:val="6"/>
          <w:szCs w:val="21"/>
        </w:rPr>
        <w:br w:type="page"/>
      </w:r>
    </w:p>
    <w:bookmarkEnd w:id="172"/>
    <w:p w14:paraId="25D32F32">
      <w:pPr>
        <w:pStyle w:val="5"/>
        <w:rPr>
          <w:rFonts w:ascii="黑体" w:hAnsi="宋体"/>
          <w:b w:val="0"/>
          <w:spacing w:val="6"/>
          <w:sz w:val="21"/>
          <w:szCs w:val="21"/>
        </w:rPr>
      </w:pPr>
      <w:bookmarkStart w:id="173" w:name="_Toc17552"/>
      <w:bookmarkStart w:id="174" w:name="_Toc29913972"/>
      <w:bookmarkStart w:id="175" w:name="_Toc26585"/>
      <w:r>
        <w:rPr>
          <w:rFonts w:hint="eastAsia" w:ascii="黑体" w:hAnsi="华文中宋" w:cs="宋体"/>
          <w:b w:val="0"/>
          <w:bCs w:val="0"/>
          <w:spacing w:val="6"/>
          <w:kern w:val="0"/>
          <w:sz w:val="21"/>
          <w:szCs w:val="21"/>
        </w:rPr>
        <w:t>附件1</w:t>
      </w:r>
      <w:r>
        <w:rPr>
          <w:rFonts w:hint="eastAsia" w:ascii="黑体" w:hAnsi="华文中宋" w:cs="宋体"/>
          <w:b w:val="0"/>
          <w:bCs w:val="0"/>
          <w:spacing w:val="6"/>
          <w:kern w:val="0"/>
          <w:sz w:val="21"/>
          <w:szCs w:val="21"/>
          <w:lang w:val="en-US" w:eastAsia="zh-CN"/>
        </w:rPr>
        <w:t>0</w:t>
      </w:r>
      <w:r>
        <w:rPr>
          <w:rFonts w:hint="eastAsia" w:ascii="黑体" w:hAnsi="华文中宋" w:cs="宋体"/>
          <w:b w:val="0"/>
          <w:bCs w:val="0"/>
          <w:spacing w:val="6"/>
          <w:kern w:val="0"/>
          <w:sz w:val="21"/>
          <w:szCs w:val="21"/>
        </w:rPr>
        <w:t xml:space="preserve">-2 </w:t>
      </w:r>
      <w:r>
        <w:rPr>
          <w:rFonts w:hint="eastAsia" w:ascii="黑体" w:hAnsi="宋体"/>
          <w:b w:val="0"/>
          <w:spacing w:val="6"/>
          <w:sz w:val="21"/>
          <w:szCs w:val="21"/>
        </w:rPr>
        <w:t>残疾人福利性单位声明函</w:t>
      </w:r>
      <w:bookmarkEnd w:id="173"/>
      <w:bookmarkEnd w:id="174"/>
      <w:bookmarkEnd w:id="175"/>
    </w:p>
    <w:p w14:paraId="17F8C9DD">
      <w:pPr>
        <w:adjustRightInd w:val="0"/>
        <w:snapToGrid w:val="0"/>
        <w:spacing w:line="360" w:lineRule="auto"/>
        <w:jc w:val="center"/>
        <w:rPr>
          <w:rFonts w:ascii="黑体" w:hAnsi="黑体" w:eastAsia="黑体"/>
          <w:b/>
          <w:spacing w:val="6"/>
          <w:sz w:val="28"/>
          <w:szCs w:val="28"/>
        </w:rPr>
      </w:pPr>
      <w:r>
        <w:rPr>
          <w:rFonts w:hint="eastAsia" w:ascii="黑体" w:hAnsi="黑体" w:eastAsia="黑体"/>
          <w:b/>
          <w:spacing w:val="6"/>
          <w:sz w:val="28"/>
          <w:szCs w:val="28"/>
        </w:rPr>
        <w:t>残疾人福利性单位声明函</w:t>
      </w:r>
    </w:p>
    <w:p w14:paraId="27591F27">
      <w:pPr>
        <w:adjustRightInd w:val="0"/>
        <w:snapToGrid w:val="0"/>
        <w:spacing w:line="360" w:lineRule="auto"/>
        <w:jc w:val="center"/>
        <w:rPr>
          <w:rFonts w:ascii="宋体" w:hAnsi="宋体"/>
          <w:b/>
          <w:spacing w:val="6"/>
          <w:szCs w:val="21"/>
        </w:rPr>
      </w:pPr>
      <w:r>
        <w:rPr>
          <w:rFonts w:hint="eastAsia" w:ascii="宋体" w:hAnsi="宋体"/>
          <w:b/>
          <w:spacing w:val="6"/>
          <w:szCs w:val="21"/>
        </w:rPr>
        <w:t>(不属于残疾人福利性单位的无需填写)</w:t>
      </w:r>
    </w:p>
    <w:p w14:paraId="28BE9B5D">
      <w:pPr>
        <w:adjustRightInd w:val="0"/>
        <w:snapToGrid w:val="0"/>
        <w:spacing w:line="360" w:lineRule="auto"/>
        <w:ind w:firstLine="504" w:firstLineChars="200"/>
        <w:rPr>
          <w:rFonts w:ascii="宋体" w:hAnsi="宋体"/>
          <w:spacing w:val="6"/>
          <w:szCs w:val="21"/>
        </w:rPr>
      </w:pPr>
    </w:p>
    <w:p w14:paraId="3C0E03E1">
      <w:pPr>
        <w:adjustRightInd w:val="0"/>
        <w:snapToGrid w:val="0"/>
        <w:spacing w:line="360" w:lineRule="auto"/>
        <w:ind w:firstLine="504" w:firstLineChars="200"/>
        <w:rPr>
          <w:rFonts w:ascii="宋体" w:hAnsi="宋体"/>
          <w:spacing w:val="6"/>
          <w:szCs w:val="21"/>
        </w:rPr>
      </w:pPr>
      <w:r>
        <w:rPr>
          <w:rFonts w:hint="eastAsia" w:ascii="宋体" w:hAnsi="宋体"/>
          <w:spacing w:val="6"/>
          <w:szCs w:val="21"/>
        </w:rPr>
        <w:t>本单位郑重声明，根据《财政部 民政部 中国残疾人联合会关于促进残疾人就业政府采购政策的通知》（财库</w:t>
      </w:r>
      <w:r>
        <w:rPr>
          <w:rFonts w:hint="eastAsia" w:ascii="宋体" w:hAnsi="宋体"/>
          <w:szCs w:val="21"/>
        </w:rPr>
        <w:t>〔2017〕141</w:t>
      </w:r>
      <w:r>
        <w:rPr>
          <w:rFonts w:hint="eastAsia" w:ascii="宋体" w:hAnsi="宋体"/>
          <w:spacing w:val="6"/>
          <w:szCs w:val="21"/>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6E0C8C6">
      <w:pPr>
        <w:adjustRightInd w:val="0"/>
        <w:snapToGrid w:val="0"/>
        <w:spacing w:line="360" w:lineRule="auto"/>
        <w:ind w:firstLine="504" w:firstLineChars="200"/>
        <w:rPr>
          <w:rFonts w:ascii="宋体" w:hAnsi="宋体"/>
          <w:spacing w:val="6"/>
          <w:szCs w:val="21"/>
        </w:rPr>
      </w:pPr>
      <w:r>
        <w:rPr>
          <w:rFonts w:hint="eastAsia" w:ascii="宋体" w:hAnsi="宋体"/>
          <w:spacing w:val="6"/>
          <w:szCs w:val="21"/>
        </w:rPr>
        <w:t>本单位对上述声明的真实性负责。如有虚假，将依法承担相应责任。</w:t>
      </w:r>
    </w:p>
    <w:p w14:paraId="1E904B0F">
      <w:pPr>
        <w:adjustRightInd w:val="0"/>
        <w:snapToGrid w:val="0"/>
        <w:spacing w:line="360" w:lineRule="auto"/>
        <w:ind w:firstLine="504" w:firstLineChars="200"/>
        <w:rPr>
          <w:rFonts w:ascii="宋体" w:hAnsi="宋体"/>
          <w:spacing w:val="6"/>
          <w:szCs w:val="21"/>
        </w:rPr>
      </w:pPr>
    </w:p>
    <w:p w14:paraId="1CFE0124">
      <w:pPr>
        <w:adjustRightInd w:val="0"/>
        <w:snapToGrid w:val="0"/>
        <w:spacing w:line="360" w:lineRule="auto"/>
        <w:ind w:firstLine="504" w:firstLineChars="200"/>
        <w:rPr>
          <w:rFonts w:ascii="宋体" w:hAnsi="宋体"/>
          <w:spacing w:val="6"/>
          <w:szCs w:val="21"/>
        </w:rPr>
      </w:pPr>
    </w:p>
    <w:p w14:paraId="6F7AC8D9">
      <w:pPr>
        <w:tabs>
          <w:tab w:val="left" w:pos="4860"/>
        </w:tabs>
        <w:adjustRightInd w:val="0"/>
        <w:snapToGrid w:val="0"/>
        <w:spacing w:line="360" w:lineRule="auto"/>
        <w:ind w:right="1560" w:firstLine="504" w:firstLineChars="200"/>
        <w:jc w:val="center"/>
        <w:rPr>
          <w:rFonts w:ascii="宋体" w:hAnsi="宋体"/>
          <w:spacing w:val="6"/>
          <w:szCs w:val="21"/>
        </w:rPr>
      </w:pPr>
      <w:r>
        <w:rPr>
          <w:rFonts w:hint="eastAsia" w:ascii="宋体" w:hAnsi="宋体"/>
          <w:spacing w:val="6"/>
          <w:szCs w:val="21"/>
        </w:rPr>
        <w:t xml:space="preserve">               单位名称（盖单位章）：</w:t>
      </w:r>
    </w:p>
    <w:p w14:paraId="0394A23C">
      <w:pPr>
        <w:tabs>
          <w:tab w:val="left" w:pos="4860"/>
        </w:tabs>
        <w:adjustRightInd w:val="0"/>
        <w:snapToGrid w:val="0"/>
        <w:spacing w:line="360" w:lineRule="auto"/>
        <w:ind w:right="1560" w:firstLine="504" w:firstLineChars="200"/>
        <w:jc w:val="center"/>
        <w:rPr>
          <w:rFonts w:ascii="宋体" w:hAnsi="宋体"/>
          <w:spacing w:val="6"/>
          <w:szCs w:val="21"/>
        </w:rPr>
      </w:pPr>
      <w:r>
        <w:rPr>
          <w:rFonts w:hint="eastAsia" w:ascii="宋体" w:hAnsi="宋体"/>
          <w:spacing w:val="6"/>
          <w:szCs w:val="21"/>
        </w:rPr>
        <w:t xml:space="preserve">       日  期：</w:t>
      </w:r>
    </w:p>
    <w:p w14:paraId="3B700809">
      <w:pPr>
        <w:widowControl/>
        <w:adjustRightInd w:val="0"/>
        <w:snapToGrid w:val="0"/>
        <w:spacing w:line="360" w:lineRule="auto"/>
        <w:jc w:val="left"/>
        <w:rPr>
          <w:rFonts w:ascii="宋体" w:hAnsi="宋体" w:cs="宋体"/>
          <w:kern w:val="0"/>
          <w:szCs w:val="21"/>
        </w:rPr>
      </w:pPr>
    </w:p>
    <w:p w14:paraId="34253590">
      <w:pPr>
        <w:widowControl/>
        <w:jc w:val="left"/>
        <w:rPr>
          <w:rFonts w:ascii="黑体" w:hAnsi="华文中宋" w:eastAsia="黑体" w:cs="宋体"/>
          <w:spacing w:val="6"/>
          <w:kern w:val="0"/>
          <w:szCs w:val="21"/>
        </w:rPr>
      </w:pPr>
      <w:r>
        <w:rPr>
          <w:rFonts w:ascii="黑体" w:hAnsi="华文中宋" w:cs="宋体"/>
          <w:b/>
          <w:bCs/>
          <w:spacing w:val="6"/>
          <w:kern w:val="0"/>
          <w:szCs w:val="21"/>
        </w:rPr>
        <w:br w:type="page"/>
      </w:r>
    </w:p>
    <w:p w14:paraId="534C180E">
      <w:pPr>
        <w:pStyle w:val="5"/>
        <w:rPr>
          <w:rFonts w:ascii="黑体" w:hAnsi="宋体"/>
          <w:b w:val="0"/>
          <w:sz w:val="21"/>
          <w:szCs w:val="21"/>
        </w:rPr>
      </w:pPr>
      <w:bookmarkStart w:id="176" w:name="_Toc21051"/>
      <w:bookmarkStart w:id="177" w:name="_Toc29207"/>
      <w:bookmarkStart w:id="178" w:name="_Toc29913973"/>
      <w:r>
        <w:rPr>
          <w:rFonts w:hint="eastAsia" w:ascii="黑体" w:hAnsi="宋体" w:cs="宋体"/>
          <w:b w:val="0"/>
          <w:kern w:val="0"/>
          <w:sz w:val="21"/>
          <w:szCs w:val="21"/>
        </w:rPr>
        <w:t>附件1</w:t>
      </w:r>
      <w:r>
        <w:rPr>
          <w:rFonts w:hint="eastAsia" w:ascii="黑体" w:hAnsi="宋体" w:cs="宋体"/>
          <w:b w:val="0"/>
          <w:kern w:val="0"/>
          <w:sz w:val="21"/>
          <w:szCs w:val="21"/>
          <w:lang w:val="en-US" w:eastAsia="zh-CN"/>
        </w:rPr>
        <w:t>0</w:t>
      </w:r>
      <w:r>
        <w:rPr>
          <w:rFonts w:hint="eastAsia" w:ascii="黑体" w:hAnsi="宋体" w:cs="宋体"/>
          <w:b w:val="0"/>
          <w:kern w:val="0"/>
          <w:sz w:val="21"/>
          <w:szCs w:val="21"/>
        </w:rPr>
        <w:t xml:space="preserve">-3 </w:t>
      </w:r>
      <w:r>
        <w:rPr>
          <w:rFonts w:hint="eastAsia" w:ascii="黑体" w:hAnsi="宋体"/>
          <w:b w:val="0"/>
          <w:sz w:val="21"/>
          <w:szCs w:val="21"/>
        </w:rPr>
        <w:t>监狱企业证明资料</w:t>
      </w:r>
      <w:bookmarkEnd w:id="176"/>
      <w:bookmarkEnd w:id="177"/>
      <w:bookmarkEnd w:id="178"/>
    </w:p>
    <w:p w14:paraId="775F1587">
      <w:pPr>
        <w:adjustRightInd w:val="0"/>
        <w:snapToGrid w:val="0"/>
        <w:spacing w:line="360" w:lineRule="auto"/>
        <w:jc w:val="center"/>
        <w:rPr>
          <w:rFonts w:ascii="黑体" w:hAnsi="宋体"/>
          <w:b/>
          <w:sz w:val="28"/>
          <w:szCs w:val="28"/>
        </w:rPr>
      </w:pPr>
      <w:r>
        <w:rPr>
          <w:rFonts w:hint="eastAsia" w:ascii="黑体" w:hAnsi="宋体"/>
          <w:b/>
          <w:sz w:val="28"/>
          <w:szCs w:val="28"/>
        </w:rPr>
        <w:t>监狱企业证明资料</w:t>
      </w:r>
    </w:p>
    <w:p w14:paraId="62618C9F">
      <w:pPr>
        <w:adjustRightInd w:val="0"/>
        <w:snapToGrid w:val="0"/>
        <w:spacing w:line="360" w:lineRule="auto"/>
        <w:jc w:val="center"/>
        <w:rPr>
          <w:rFonts w:ascii="宋体" w:hAnsi="宋体"/>
          <w:b/>
          <w:spacing w:val="6"/>
          <w:szCs w:val="21"/>
        </w:rPr>
      </w:pPr>
      <w:r>
        <w:rPr>
          <w:rFonts w:hint="eastAsia" w:ascii="宋体" w:hAnsi="宋体"/>
          <w:b/>
          <w:spacing w:val="6"/>
          <w:szCs w:val="21"/>
        </w:rPr>
        <w:t>(不属于监狱企业的无需提供)</w:t>
      </w:r>
    </w:p>
    <w:p w14:paraId="3B139A19">
      <w:pPr>
        <w:adjustRightInd w:val="0"/>
        <w:snapToGrid w:val="0"/>
        <w:spacing w:line="360" w:lineRule="auto"/>
        <w:rPr>
          <w:rFonts w:asciiTheme="minorEastAsia" w:hAnsiTheme="minorEastAsia" w:eastAsiaTheme="minorEastAsia"/>
          <w:szCs w:val="21"/>
        </w:rPr>
      </w:pPr>
    </w:p>
    <w:p w14:paraId="4D619232">
      <w:pPr>
        <w:adjustRightInd w:val="0"/>
        <w:snapToGrid w:val="0"/>
        <w:spacing w:line="360" w:lineRule="auto"/>
        <w:ind w:firstLine="504" w:firstLineChars="200"/>
        <w:rPr>
          <w:rFonts w:asciiTheme="minorEastAsia" w:hAnsiTheme="minorEastAsia" w:eastAsiaTheme="minorEastAsia"/>
          <w:szCs w:val="21"/>
        </w:rPr>
      </w:pPr>
      <w:r>
        <w:rPr>
          <w:rFonts w:hint="eastAsia" w:cs="宋体" w:asciiTheme="minorEastAsia" w:hAnsiTheme="minorEastAsia" w:eastAsiaTheme="minorEastAsia"/>
          <w:bCs/>
          <w:spacing w:val="6"/>
          <w:kern w:val="0"/>
          <w:szCs w:val="21"/>
        </w:rPr>
        <w:t>备注：</w:t>
      </w:r>
      <w:r>
        <w:rPr>
          <w:rFonts w:hint="eastAsia" w:asciiTheme="minorEastAsia" w:hAnsiTheme="minorEastAsia" w:eastAsiaTheme="minorEastAsia"/>
          <w:szCs w:val="21"/>
        </w:rPr>
        <w:t>按</w:t>
      </w:r>
      <w:r>
        <w:rPr>
          <w:rFonts w:hint="eastAsia" w:ascii="宋体" w:hAnsi="宋体"/>
          <w:spacing w:val="6"/>
          <w:szCs w:val="21"/>
        </w:rPr>
        <w:t>《</w:t>
      </w:r>
      <w:r>
        <w:rPr>
          <w:rFonts w:hint="eastAsia" w:asciiTheme="minorEastAsia" w:hAnsiTheme="minorEastAsia" w:eastAsiaTheme="minorEastAsia"/>
          <w:szCs w:val="21"/>
        </w:rPr>
        <w:t>财政部 司法部关于政府采购支持监狱企业发展有关问题的通知</w:t>
      </w:r>
      <w:r>
        <w:rPr>
          <w:rFonts w:hint="eastAsia" w:ascii="宋体" w:hAnsi="宋体"/>
          <w:spacing w:val="6"/>
          <w:szCs w:val="21"/>
        </w:rPr>
        <w:t>》</w:t>
      </w:r>
      <w:r>
        <w:rPr>
          <w:rFonts w:hint="eastAsia" w:asciiTheme="minorEastAsia" w:hAnsiTheme="minorEastAsia" w:eastAsiaTheme="minorEastAsia"/>
          <w:szCs w:val="21"/>
        </w:rPr>
        <w:t>(财库〔2014〕68号)文件规定提供证明文件（复印件）。</w:t>
      </w:r>
    </w:p>
    <w:p w14:paraId="0A601B54">
      <w:pPr>
        <w:adjustRightInd w:val="0"/>
        <w:snapToGrid w:val="0"/>
        <w:spacing w:line="360" w:lineRule="auto"/>
        <w:rPr>
          <w:rFonts w:ascii="黑体" w:hAnsi="华文中宋" w:eastAsia="黑体" w:cs="宋体"/>
          <w:bCs/>
          <w:spacing w:val="6"/>
          <w:kern w:val="0"/>
          <w:szCs w:val="21"/>
        </w:rPr>
      </w:pPr>
      <w:r>
        <w:rPr>
          <w:rFonts w:ascii="黑体" w:hAnsi="华文中宋" w:eastAsia="黑体" w:cs="宋体"/>
          <w:bCs/>
          <w:spacing w:val="6"/>
          <w:kern w:val="0"/>
          <w:szCs w:val="21"/>
        </w:rPr>
        <w:br w:type="page"/>
      </w:r>
    </w:p>
    <w:p w14:paraId="3DBA2570">
      <w:pPr>
        <w:pStyle w:val="2"/>
        <w:numPr>
          <w:ilvl w:val="0"/>
          <w:numId w:val="0"/>
        </w:numPr>
        <w:adjustRightInd w:val="0"/>
        <w:snapToGrid w:val="0"/>
        <w:spacing w:before="0" w:after="0" w:line="360" w:lineRule="auto"/>
        <w:jc w:val="center"/>
        <w:rPr>
          <w:rFonts w:ascii="黑体" w:hAnsi="宋体" w:eastAsia="黑体"/>
          <w:sz w:val="28"/>
          <w:szCs w:val="28"/>
        </w:rPr>
      </w:pPr>
      <w:bookmarkStart w:id="179" w:name="_Toc12698"/>
      <w:bookmarkStart w:id="180" w:name="_Toc29913976"/>
      <w:r>
        <w:rPr>
          <w:rFonts w:hint="eastAsia" w:ascii="黑体" w:hAnsi="宋体" w:eastAsia="黑体"/>
          <w:color w:val="000000"/>
          <w:sz w:val="28"/>
          <w:szCs w:val="28"/>
          <w:lang w:val="en-US" w:eastAsia="zh-CN"/>
        </w:rPr>
        <w:t>十一、投标服务符合招标文件规定的证明文件</w:t>
      </w:r>
      <w:bookmarkEnd w:id="179"/>
      <w:bookmarkEnd w:id="180"/>
    </w:p>
    <w:p w14:paraId="5FF98D35">
      <w:pPr>
        <w:adjustRightInd w:val="0"/>
        <w:snapToGrid w:val="0"/>
        <w:spacing w:line="360" w:lineRule="auto"/>
        <w:rPr>
          <w:rFonts w:asciiTheme="minorEastAsia" w:hAnsiTheme="minorEastAsia" w:eastAsiaTheme="minorEastAsia"/>
          <w:szCs w:val="21"/>
        </w:rPr>
      </w:pPr>
    </w:p>
    <w:p w14:paraId="46778C3C">
      <w:pPr>
        <w:adjustRightInd w:val="0"/>
        <w:snapToGrid w:val="0"/>
        <w:spacing w:line="360" w:lineRule="auto"/>
        <w:rPr>
          <w:rFonts w:asciiTheme="minorEastAsia" w:hAnsiTheme="minorEastAsia" w:eastAsiaTheme="minorEastAsia"/>
        </w:rPr>
      </w:pPr>
      <w:r>
        <w:rPr>
          <w:rFonts w:hint="eastAsia" w:asciiTheme="minorEastAsia" w:hAnsiTheme="minorEastAsia" w:eastAsiaTheme="minorEastAsia"/>
          <w:szCs w:val="21"/>
        </w:rPr>
        <w:t>备注：提供第五章规定的证明材料复印件。</w:t>
      </w:r>
    </w:p>
    <w:p w14:paraId="2D16EAE4">
      <w:pPr>
        <w:widowControl/>
        <w:jc w:val="left"/>
        <w:rPr>
          <w:rFonts w:ascii="黑体" w:eastAsia="黑体"/>
          <w:sz w:val="28"/>
          <w:szCs w:val="28"/>
        </w:rPr>
      </w:pPr>
      <w:r>
        <w:rPr>
          <w:rFonts w:ascii="黑体" w:eastAsia="黑体"/>
          <w:b/>
          <w:bCs/>
          <w:sz w:val="28"/>
          <w:szCs w:val="28"/>
        </w:rPr>
        <w:br w:type="page"/>
      </w:r>
    </w:p>
    <w:p w14:paraId="7B5F572F">
      <w:pPr>
        <w:pStyle w:val="2"/>
        <w:numPr>
          <w:ilvl w:val="0"/>
          <w:numId w:val="0"/>
        </w:numPr>
        <w:adjustRightInd w:val="0"/>
        <w:snapToGrid w:val="0"/>
        <w:spacing w:before="0" w:after="0" w:line="360" w:lineRule="auto"/>
        <w:jc w:val="center"/>
        <w:rPr>
          <w:rFonts w:hint="eastAsia" w:ascii="黑体" w:hAnsi="宋体" w:eastAsia="黑体"/>
          <w:color w:val="000000"/>
          <w:sz w:val="28"/>
          <w:szCs w:val="28"/>
          <w:lang w:val="en-US" w:eastAsia="zh-CN"/>
        </w:rPr>
      </w:pPr>
      <w:bookmarkStart w:id="181" w:name="_Toc11152"/>
      <w:bookmarkStart w:id="182" w:name="_Toc29913977"/>
      <w:r>
        <w:rPr>
          <w:rFonts w:hint="eastAsia" w:ascii="黑体" w:hAnsi="宋体" w:eastAsia="黑体"/>
          <w:color w:val="000000"/>
          <w:sz w:val="28"/>
          <w:szCs w:val="28"/>
          <w:lang w:val="en-US" w:eastAsia="zh-CN"/>
        </w:rPr>
        <w:t>十二、投标人认为需提供的其他资料</w:t>
      </w:r>
      <w:bookmarkEnd w:id="181"/>
      <w:bookmarkEnd w:id="182"/>
    </w:p>
    <w:p w14:paraId="10D3EC1F">
      <w:pPr>
        <w:adjustRightInd w:val="0"/>
        <w:snapToGrid w:val="0"/>
        <w:spacing w:beforeLines="50" w:line="360" w:lineRule="auto"/>
        <w:rPr>
          <w:rFonts w:asciiTheme="minorEastAsia" w:hAnsiTheme="minorEastAsia" w:eastAsiaTheme="minorEastAsia"/>
        </w:rPr>
      </w:pPr>
    </w:p>
    <w:p w14:paraId="66111820">
      <w:pPr>
        <w:adjustRightInd w:val="0"/>
        <w:snapToGrid w:val="0"/>
        <w:spacing w:beforeLines="50" w:line="360" w:lineRule="auto"/>
        <w:rPr>
          <w:rFonts w:asciiTheme="minorEastAsia" w:hAnsiTheme="minorEastAsia" w:eastAsiaTheme="minorEastAsia"/>
        </w:rPr>
      </w:pPr>
      <w:r>
        <w:rPr>
          <w:rFonts w:hint="eastAsia" w:asciiTheme="minorEastAsia" w:hAnsiTheme="minorEastAsia" w:eastAsiaTheme="minorEastAsia"/>
        </w:rPr>
        <w:t>备注：投标人认为需提供的其他资料包括：</w:t>
      </w:r>
    </w:p>
    <w:p w14:paraId="5DA1E35B">
      <w:pPr>
        <w:adjustRightInd w:val="0"/>
        <w:snapToGrid w:val="0"/>
        <w:spacing w:beforeLines="50" w:line="360" w:lineRule="auto"/>
        <w:ind w:firstLine="480" w:firstLineChars="200"/>
        <w:rPr>
          <w:rFonts w:asciiTheme="minorEastAsia" w:hAnsiTheme="minorEastAsia" w:eastAsiaTheme="minorEastAsia"/>
        </w:rPr>
      </w:pPr>
      <w:r>
        <w:rPr>
          <w:rFonts w:hint="eastAsia" w:asciiTheme="minorEastAsia" w:hAnsiTheme="minorEastAsia" w:eastAsiaTheme="minorEastAsia"/>
        </w:rPr>
        <w:t>（1）招标文件第五章采购需求要求的其他资料；</w:t>
      </w:r>
    </w:p>
    <w:p w14:paraId="1CB6D9D3">
      <w:pPr>
        <w:widowControl/>
        <w:ind w:firstLine="480" w:firstLineChars="200"/>
        <w:jc w:val="left"/>
        <w:rPr>
          <w:rFonts w:hint="eastAsia" w:asciiTheme="minorEastAsia" w:hAnsiTheme="minorEastAsia" w:eastAsiaTheme="minorEastAsia"/>
        </w:rPr>
      </w:pPr>
      <w:r>
        <w:rPr>
          <w:rFonts w:hint="eastAsia" w:asciiTheme="minorEastAsia" w:hAnsiTheme="minorEastAsia" w:eastAsiaTheme="minorEastAsia"/>
        </w:rPr>
        <w:t>（2）招标文件第四章评标方法及标准要求的其他相关资料。</w:t>
      </w:r>
    </w:p>
    <w:p w14:paraId="623BE8A3">
      <w:pPr>
        <w:pStyle w:val="2"/>
        <w:rPr>
          <w:rFonts w:hint="eastAsia" w:asciiTheme="minorEastAsia" w:hAnsiTheme="minorEastAsia" w:eastAsiaTheme="minorEastAsia"/>
        </w:rPr>
      </w:pPr>
    </w:p>
    <w:p w14:paraId="2C471DCB">
      <w:pPr>
        <w:rPr>
          <w:rFonts w:hint="eastAsia" w:asciiTheme="minorEastAsia" w:hAnsiTheme="minorEastAsia" w:eastAsiaTheme="minorEastAsia"/>
        </w:rPr>
      </w:pPr>
    </w:p>
    <w:p w14:paraId="13CAD34C">
      <w:pPr>
        <w:pStyle w:val="2"/>
        <w:rPr>
          <w:rFonts w:hint="eastAsia" w:asciiTheme="minorEastAsia" w:hAnsiTheme="minorEastAsia" w:eastAsiaTheme="minorEastAsia"/>
        </w:rPr>
      </w:pPr>
    </w:p>
    <w:p w14:paraId="37E98A1C">
      <w:pPr>
        <w:rPr>
          <w:rFonts w:hint="eastAsia" w:asciiTheme="minorEastAsia" w:hAnsiTheme="minorEastAsia" w:eastAsiaTheme="minorEastAsia"/>
        </w:rPr>
      </w:pPr>
    </w:p>
    <w:p w14:paraId="1F1568A8">
      <w:pPr>
        <w:pStyle w:val="2"/>
        <w:rPr>
          <w:rFonts w:hint="eastAsia" w:asciiTheme="minorEastAsia" w:hAnsiTheme="minorEastAsia" w:eastAsiaTheme="minorEastAsia"/>
        </w:rPr>
      </w:pPr>
    </w:p>
    <w:p w14:paraId="6E6C1FA1">
      <w:pPr>
        <w:rPr>
          <w:rFonts w:hint="eastAsia" w:asciiTheme="minorEastAsia" w:hAnsiTheme="minorEastAsia" w:eastAsiaTheme="minorEastAsia"/>
        </w:rPr>
      </w:pPr>
    </w:p>
    <w:p w14:paraId="6143053D">
      <w:pPr>
        <w:pStyle w:val="2"/>
        <w:rPr>
          <w:rFonts w:hint="eastAsia" w:asciiTheme="minorEastAsia" w:hAnsiTheme="minorEastAsia" w:eastAsiaTheme="minorEastAsia"/>
        </w:rPr>
      </w:pPr>
    </w:p>
    <w:p w14:paraId="4FE601E6">
      <w:pPr>
        <w:rPr>
          <w:rFonts w:hint="eastAsia" w:asciiTheme="minorEastAsia" w:hAnsiTheme="minorEastAsia" w:eastAsiaTheme="minorEastAsia"/>
        </w:rPr>
      </w:pPr>
    </w:p>
    <w:p w14:paraId="6DAEB260">
      <w:pPr>
        <w:pStyle w:val="2"/>
        <w:rPr>
          <w:rFonts w:hint="eastAsia" w:asciiTheme="minorEastAsia" w:hAnsiTheme="minorEastAsia" w:eastAsiaTheme="minorEastAsia"/>
        </w:rPr>
      </w:pPr>
    </w:p>
    <w:p w14:paraId="633BF280">
      <w:pPr>
        <w:rPr>
          <w:rFonts w:hint="eastAsia" w:asciiTheme="minorEastAsia" w:hAnsiTheme="minorEastAsia" w:eastAsiaTheme="minorEastAsia"/>
        </w:rPr>
      </w:pPr>
    </w:p>
    <w:p w14:paraId="125491FC">
      <w:pPr>
        <w:pStyle w:val="2"/>
        <w:rPr>
          <w:rFonts w:hint="eastAsia" w:asciiTheme="minorEastAsia" w:hAnsiTheme="minorEastAsia" w:eastAsiaTheme="minorEastAsia"/>
        </w:rPr>
      </w:pPr>
    </w:p>
    <w:p w14:paraId="45CEA9DF">
      <w:pPr>
        <w:pStyle w:val="2"/>
        <w:rPr>
          <w:rFonts w:hint="eastAsia" w:asciiTheme="minorEastAsia" w:hAnsiTheme="minorEastAsia" w:eastAsiaTheme="minorEastAsia"/>
        </w:rPr>
      </w:pPr>
    </w:p>
    <w:p w14:paraId="5F4559BD">
      <w:pPr>
        <w:rPr>
          <w:rFonts w:hint="eastAsia"/>
        </w:rPr>
      </w:pPr>
    </w:p>
    <w:p w14:paraId="09892A05">
      <w:pPr>
        <w:pStyle w:val="2"/>
        <w:numPr>
          <w:ilvl w:val="0"/>
          <w:numId w:val="5"/>
        </w:numPr>
        <w:bidi w:val="0"/>
        <w:jc w:val="center"/>
        <w:rPr>
          <w:rFonts w:hint="eastAsia"/>
          <w:lang w:val="en-US" w:eastAsia="zh-CN"/>
        </w:rPr>
      </w:pPr>
      <w:bookmarkStart w:id="183" w:name="_Toc23201"/>
      <w:r>
        <w:rPr>
          <w:rFonts w:hint="eastAsia"/>
          <w:lang w:val="en-US" w:eastAsia="zh-CN"/>
        </w:rPr>
        <w:t>技术部分</w:t>
      </w:r>
      <w:bookmarkEnd w:id="183"/>
    </w:p>
    <w:p w14:paraId="5A168C5A">
      <w:pPr>
        <w:bidi w:val="0"/>
        <w:rPr>
          <w:rFonts w:hint="eastAsia"/>
          <w:lang w:val="en-US" w:eastAsia="zh-CN"/>
        </w:rPr>
      </w:pPr>
    </w:p>
    <w:p w14:paraId="1D7E573C">
      <w:pPr>
        <w:bidi w:val="0"/>
        <w:rPr>
          <w:rFonts w:hint="default"/>
          <w:lang w:val="en-US" w:eastAsia="zh-CN"/>
        </w:rPr>
      </w:pPr>
      <w:r>
        <w:rPr>
          <w:rFonts w:hint="eastAsia"/>
          <w:lang w:val="en-US" w:eastAsia="zh-CN"/>
        </w:rPr>
        <w:t>备注：包括但不限于整体服务方案、产品质量安全管理方案、卫生管理控制方案、操作规程控制管理方案等。</w:t>
      </w:r>
    </w:p>
    <w:sectPr>
      <w:headerReference r:id="rId12" w:type="default"/>
      <w:footerReference r:id="rId13" w:type="default"/>
      <w:pgSz w:w="11906" w:h="16838"/>
      <w:pgMar w:top="1474" w:right="1474" w:bottom="1474" w:left="1588"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2"/>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Consolas">
    <w:panose1 w:val="020B0609020204030204"/>
    <w:charset w:val="00"/>
    <w:family w:val="modern"/>
    <w:pitch w:val="default"/>
    <w:sig w:usb0="E00006FF" w:usb1="0000FCFF" w:usb2="00000001" w:usb3="00000000" w:csb0="6000019F" w:csb1="DFD70000"/>
  </w:font>
  <w:font w:name="Tahoma">
    <w:panose1 w:val="020B0604030504040204"/>
    <w:charset w:val="00"/>
    <w:family w:val="swiss"/>
    <w:pitch w:val="default"/>
    <w:sig w:usb0="E1002EFF" w:usb1="C000605B" w:usb2="00000029" w:usb3="00000000" w:csb0="200101FF" w:csb1="2028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Cambria">
    <w:panose1 w:val="02040503050406030204"/>
    <w:charset w:val="00"/>
    <w:family w:val="roman"/>
    <w:pitch w:val="default"/>
    <w:sig w:usb0="E00006FF" w:usb1="420024FF" w:usb2="02000000" w:usb3="00000000" w:csb0="2000019F" w:csb1="00000000"/>
  </w:font>
  <w:font w:name="TimesNewRomanPSMT">
    <w:altName w:val="Times New Roman"/>
    <w:panose1 w:val="00000000000000000000"/>
    <w:charset w:val="00"/>
    <w:family w:val="auto"/>
    <w:pitch w:val="default"/>
    <w:sig w:usb0="00000000" w:usb1="00000000" w:usb2="00000000" w:usb3="00000000" w:csb0="00000001" w:csb1="00000000"/>
  </w:font>
  <w:font w:name="微软雅黑">
    <w:panose1 w:val="020B0503020204020204"/>
    <w:charset w:val="86"/>
    <w:family w:val="swiss"/>
    <w:pitch w:val="default"/>
    <w:sig w:usb0="80000287" w:usb1="2ACF3C50" w:usb2="00000016" w:usb3="00000000" w:csb0="0004001F" w:csb1="00000000"/>
  </w:font>
  <w:font w:name="华文中宋">
    <w:altName w:val="宋体"/>
    <w:panose1 w:val="02010600040101010101"/>
    <w:charset w:val="86"/>
    <w:family w:val="auto"/>
    <w:pitch w:val="default"/>
    <w:sig w:usb0="00000000" w:usb1="00000000" w:usb2="00000000" w:usb3="00000000" w:csb0="0004009F" w:csb1="DFD70000"/>
  </w:font>
  <w:font w:name="Wingdings 2">
    <w:altName w:val="Wingdings"/>
    <w:panose1 w:val="05020102010507070707"/>
    <w:charset w:val="02"/>
    <w:family w:val="roman"/>
    <w:pitch w:val="default"/>
    <w:sig w:usb0="00000000" w:usb1="00000000" w:usb2="00000000" w:usb3="00000000" w:csb0="80000000" w:csb1="00000000"/>
  </w:font>
  <w:font w:name="华文宋体">
    <w:altName w:val="宋体"/>
    <w:panose1 w:val="02010600040101010101"/>
    <w:charset w:val="86"/>
    <w:family w:val="auto"/>
    <w:pitch w:val="default"/>
    <w:sig w:usb0="00000000" w:usb1="00000000" w:usb2="00000000" w:usb3="00000000" w:csb0="0004009F" w:csb1="DFD7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 w:name="Helvetica">
    <w:altName w:val="Arial"/>
    <w:panose1 w:val="00000000000000000000"/>
    <w:charset w:val="00"/>
    <w:family w:val="auto"/>
    <w:pitch w:val="default"/>
    <w:sig w:usb0="00000000" w:usb1="00000000" w:usb2="00000000" w:usb3="00000000" w:csb0="00000000" w:csb1="00000000"/>
  </w:font>
  <w:font w:name="Kingsoft UE">
    <w:panose1 w:val="02000100010000000000"/>
    <w:charset w:val="00"/>
    <w:family w:val="auto"/>
    <w:pitch w:val="default"/>
    <w:sig w:usb0="00000001" w:usb1="00004000" w:usb2="00000000" w:usb3="00000000" w:csb0="0000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D29857">
    <w:pPr>
      <w:pStyle w:val="29"/>
      <w:pBdr>
        <w:top w:val="single" w:color="auto" w:sz="4" w:space="1"/>
      </w:pBdr>
      <w:jc w:val="center"/>
      <w:rPr>
        <w:rFonts w:ascii="宋体" w:hAnsi="宋体"/>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95862">
    <w:pPr>
      <w:pStyle w:val="29"/>
      <w:jc w:val="center"/>
    </w:pPr>
  </w:p>
  <w:p w14:paraId="5C7E9A0F">
    <w:pPr>
      <w:pStyle w:val="29"/>
      <w:pBdr>
        <w:top w:val="single" w:color="auto" w:sz="4" w:space="1"/>
      </w:pBdr>
      <w:rPr>
        <w:rFonts w:ascii="宋体" w:hAnsi="宋体"/>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2FB2F4">
    <w:pPr>
      <w:pStyle w:val="29"/>
      <w:pBdr>
        <w:top w:val="single" w:color="auto" w:sz="4" w:space="1"/>
      </w:pBdr>
      <w:jc w:val="center"/>
      <w:rPr>
        <w:rFonts w:ascii="宋体" w:hAnsi="宋体"/>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AEC9D24">
                          <w:pPr>
                            <w:pStyle w:val="29"/>
                          </w:pPr>
                          <w:r>
                            <w:fldChar w:fldCharType="begin"/>
                          </w:r>
                          <w:r>
                            <w:instrText xml:space="preserve"> PAGE  \* MERGEFORMAT </w:instrText>
                          </w:r>
                          <w:r>
                            <w:fldChar w:fldCharType="separate"/>
                          </w:r>
                          <w:r>
                            <w:t>42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vW1mVTICAABjBAAADgAAAAAAAAABACAAAAAfAQAAZHJzL2Uyb0RvYy54bWxQSwUG&#10;AAAAAAYABgBZAQAAwwUAAAAA&#10;">
              <v:fill on="f" focussize="0,0"/>
              <v:stroke on="f" weight="0.5pt"/>
              <v:imagedata o:title=""/>
              <o:lock v:ext="edit" aspectratio="f"/>
              <v:textbox inset="0mm,0mm,0mm,0mm" style="mso-fit-shape-to-text:t;">
                <w:txbxContent>
                  <w:p w14:paraId="5AEC9D24">
                    <w:pPr>
                      <w:pStyle w:val="29"/>
                    </w:pPr>
                    <w:r>
                      <w:fldChar w:fldCharType="begin"/>
                    </w:r>
                    <w:r>
                      <w:instrText xml:space="preserve"> PAGE  \* MERGEFORMAT </w:instrText>
                    </w:r>
                    <w:r>
                      <w:fldChar w:fldCharType="separate"/>
                    </w:r>
                    <w:r>
                      <w:t>42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9781C">
    <w:pPr>
      <w:pStyle w:val="29"/>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6C5A5055">
                          <w:pPr>
                            <w:pStyle w:val="29"/>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wps:txbx>
                    <wps:bodyPr wrap="none" lIns="0" tIns="0" rIns="0" bIns="0" upright="1">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">
              <v:fill on="f" focussize="0,0"/>
              <v:stroke on="f" weight="1.25pt"/>
              <v:imagedata o:title=""/>
              <o:lock v:ext="edit" aspectratio="f"/>
              <v:textbox inset="0mm,0mm,0mm,0mm" style="mso-fit-shape-to-text:t;">
                <w:txbxContent>
                  <w:p w14:paraId="6C5A5055">
                    <w:pPr>
                      <w:pStyle w:val="29"/>
                    </w:pPr>
                    <w:r>
                      <w:rPr>
                        <w:rFonts w:hint="eastAsia"/>
                      </w:rPr>
                      <w:fldChar w:fldCharType="begin"/>
                    </w:r>
                    <w:r>
                      <w:rPr>
                        <w:rFonts w:hint="eastAsia"/>
                      </w:rPr>
                      <w:instrText xml:space="preserve"> PAGE  \* MERGEFORMAT </w:instrText>
                    </w:r>
                    <w:r>
                      <w:rPr>
                        <w:rFonts w:hint="eastAsia"/>
                      </w:rPr>
                      <w:fldChar w:fldCharType="separate"/>
                    </w:r>
                    <w:r>
                      <w:t>41</w:t>
                    </w:r>
                    <w:r>
                      <w:rPr>
                        <w:rFonts w:hint="eastAsia"/>
                      </w:rPr>
                      <w:fldChar w:fldCharType="end"/>
                    </w:r>
                  </w:p>
                </w:txbxContent>
              </v:textbox>
            </v:shape>
          </w:pict>
        </mc:Fallback>
      </mc:AlternateContent>
    </w:r>
  </w:p>
  <w:p w14:paraId="7FC38841">
    <w:pPr>
      <w:pStyle w:val="29"/>
      <w:pBdr>
        <w:top w:val="single" w:color="auto" w:sz="4" w:space="1"/>
      </w:pBdr>
      <w:rPr>
        <w:rFonts w:ascii="宋体" w:hAnsi="宋体"/>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4B967F">
    <w:pPr>
      <w:pStyle w:val="29"/>
      <w:ind w:right="960"/>
      <w:rPr>
        <w:rFonts w:eastAsia="楷体_GB2312"/>
      </w:rP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5529ACC">
                          <w:pPr>
                            <w:pStyle w:val="29"/>
                          </w:pPr>
                          <w:r>
                            <w:fldChar w:fldCharType="begin"/>
                          </w:r>
                          <w:r>
                            <w:instrText xml:space="preserve"> PAGE  \* MERGEFORMAT </w:instrText>
                          </w:r>
                          <w:r>
                            <w:fldChar w:fldCharType="separate"/>
                          </w:r>
                          <w:r>
                            <w:t>94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65529ACC">
                    <w:pPr>
                      <w:pStyle w:val="29"/>
                    </w:pPr>
                    <w:r>
                      <w:fldChar w:fldCharType="begin"/>
                    </w:r>
                    <w:r>
                      <w:instrText xml:space="preserve"> PAGE  \* MERGEFORMAT </w:instrText>
                    </w:r>
                    <w:r>
                      <w:fldChar w:fldCharType="separate"/>
                    </w:r>
                    <w:r>
                      <w:t>94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03C65E">
    <w:pPr>
      <w:pStyle w:val="30"/>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877122">
    <w:pPr>
      <w:pStyle w:val="30"/>
      <w:pBdr>
        <w:bottom w:val="none" w:color="auto" w:sz="0" w:space="0"/>
      </w:pBdr>
      <w:ind w:right="340"/>
      <w:jc w:val="both"/>
      <w:rPr>
        <w:sz w:val="15"/>
        <w:szCs w:val="15"/>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1B11AD">
    <w:pPr>
      <w:pStyle w:val="30"/>
      <w:jc w:val="both"/>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02FAA0">
    <w:pPr>
      <w:pStyle w:val="3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B284430"/>
    <w:multiLevelType w:val="singleLevel"/>
    <w:tmpl w:val="8B284430"/>
    <w:lvl w:ilvl="0" w:tentative="0">
      <w:start w:val="5"/>
      <w:numFmt w:val="decimal"/>
      <w:suff w:val="nothing"/>
      <w:lvlText w:val="%1、"/>
      <w:lvlJc w:val="left"/>
    </w:lvl>
  </w:abstractNum>
  <w:abstractNum w:abstractNumId="1">
    <w:nsid w:val="FB443E9B"/>
    <w:multiLevelType w:val="singleLevel"/>
    <w:tmpl w:val="FB443E9B"/>
    <w:lvl w:ilvl="0" w:tentative="0">
      <w:start w:val="13"/>
      <w:numFmt w:val="chineseCounting"/>
      <w:suff w:val="nothing"/>
      <w:lvlText w:val="%1、"/>
      <w:lvlJc w:val="left"/>
      <w:rPr>
        <w:rFonts w:hint="eastAsia"/>
      </w:rPr>
    </w:lvl>
  </w:abstractNum>
  <w:abstractNum w:abstractNumId="2">
    <w:nsid w:val="0ECD2209"/>
    <w:multiLevelType w:val="singleLevel"/>
    <w:tmpl w:val="0ECD2209"/>
    <w:lvl w:ilvl="0" w:tentative="0">
      <w:start w:val="1"/>
      <w:numFmt w:val="chineseCounting"/>
      <w:pStyle w:val="132"/>
      <w:suff w:val="nothing"/>
      <w:lvlText w:val="%1、"/>
      <w:lvlJc w:val="left"/>
      <w:rPr>
        <w:rFonts w:hint="eastAsia"/>
      </w:rPr>
    </w:lvl>
  </w:abstractNum>
  <w:abstractNum w:abstractNumId="3">
    <w:nsid w:val="32355F81"/>
    <w:multiLevelType w:val="multilevel"/>
    <w:tmpl w:val="32355F81"/>
    <w:lvl w:ilvl="0" w:tentative="0">
      <w:start w:val="1"/>
      <w:numFmt w:val="japaneseCounting"/>
      <w:lvlText w:val="%1、"/>
      <w:lvlJc w:val="left"/>
      <w:pPr>
        <w:ind w:left="945" w:hanging="630"/>
      </w:pPr>
      <w:rPr>
        <w:rFonts w:hint="default" w:ascii="Calibri" w:hAnsi="Calibri" w:cs="Times New Roman"/>
        <w:b/>
        <w:sz w:val="30"/>
      </w:rPr>
    </w:lvl>
    <w:lvl w:ilvl="1" w:tentative="0">
      <w:start w:val="1"/>
      <w:numFmt w:val="lowerLetter"/>
      <w:pStyle w:val="215"/>
      <w:lvlText w:val="%2)"/>
      <w:lvlJc w:val="left"/>
      <w:pPr>
        <w:ind w:left="1155" w:hanging="420"/>
      </w:pPr>
      <w:rPr>
        <w:rFonts w:cs="Times New Roman"/>
      </w:rPr>
    </w:lvl>
    <w:lvl w:ilvl="2" w:tentative="0">
      <w:start w:val="1"/>
      <w:numFmt w:val="lowerRoman"/>
      <w:pStyle w:val="212"/>
      <w:lvlText w:val="%3."/>
      <w:lvlJc w:val="right"/>
      <w:pPr>
        <w:ind w:left="1575" w:hanging="420"/>
      </w:pPr>
      <w:rPr>
        <w:rFonts w:cs="Times New Roman"/>
      </w:rPr>
    </w:lvl>
    <w:lvl w:ilvl="3" w:tentative="0">
      <w:start w:val="1"/>
      <w:numFmt w:val="decimal"/>
      <w:pStyle w:val="211"/>
      <w:lvlText w:val="%4."/>
      <w:lvlJc w:val="left"/>
      <w:pPr>
        <w:ind w:left="1995" w:hanging="420"/>
      </w:pPr>
      <w:rPr>
        <w:rFonts w:cs="Times New Roman"/>
      </w:rPr>
    </w:lvl>
    <w:lvl w:ilvl="4" w:tentative="0">
      <w:start w:val="1"/>
      <w:numFmt w:val="lowerLetter"/>
      <w:pStyle w:val="214"/>
      <w:lvlText w:val="%5)"/>
      <w:lvlJc w:val="left"/>
      <w:pPr>
        <w:ind w:left="2415" w:hanging="420"/>
      </w:pPr>
      <w:rPr>
        <w:rFonts w:cs="Times New Roman"/>
      </w:rPr>
    </w:lvl>
    <w:lvl w:ilvl="5" w:tentative="0">
      <w:start w:val="1"/>
      <w:numFmt w:val="lowerRoman"/>
      <w:lvlText w:val="%6."/>
      <w:lvlJc w:val="right"/>
      <w:pPr>
        <w:ind w:left="2835" w:hanging="420"/>
      </w:pPr>
      <w:rPr>
        <w:rFonts w:cs="Times New Roman"/>
      </w:rPr>
    </w:lvl>
    <w:lvl w:ilvl="6" w:tentative="0">
      <w:start w:val="1"/>
      <w:numFmt w:val="decimal"/>
      <w:lvlText w:val="%7."/>
      <w:lvlJc w:val="left"/>
      <w:pPr>
        <w:ind w:left="3255" w:hanging="420"/>
      </w:pPr>
      <w:rPr>
        <w:rFonts w:cs="Times New Roman"/>
      </w:rPr>
    </w:lvl>
    <w:lvl w:ilvl="7" w:tentative="0">
      <w:start w:val="1"/>
      <w:numFmt w:val="lowerLetter"/>
      <w:lvlText w:val="%8)"/>
      <w:lvlJc w:val="left"/>
      <w:pPr>
        <w:ind w:left="3675" w:hanging="420"/>
      </w:pPr>
      <w:rPr>
        <w:rFonts w:cs="Times New Roman"/>
      </w:rPr>
    </w:lvl>
    <w:lvl w:ilvl="8" w:tentative="0">
      <w:start w:val="1"/>
      <w:numFmt w:val="lowerRoman"/>
      <w:lvlText w:val="%9."/>
      <w:lvlJc w:val="right"/>
      <w:pPr>
        <w:ind w:left="4095" w:hanging="420"/>
      </w:pPr>
      <w:rPr>
        <w:rFonts w:cs="Times New Roman"/>
      </w:rPr>
    </w:lvl>
  </w:abstractNum>
  <w:abstractNum w:abstractNumId="4">
    <w:nsid w:val="484C7524"/>
    <w:multiLevelType w:val="singleLevel"/>
    <w:tmpl w:val="484C7524"/>
    <w:lvl w:ilvl="0" w:tentative="0">
      <w:start w:val="1"/>
      <w:numFmt w:val="chineseCounting"/>
      <w:suff w:val="nothing"/>
      <w:lvlText w:val="%1、"/>
      <w:lvlJc w:val="left"/>
      <w:rPr>
        <w:rFonts w:hint="eastAsia"/>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bordersDoNotSurroundHeader w:val="0"/>
  <w:bordersDoNotSurroundFooter w:val="0"/>
  <w:hideSpellingError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zZDI1YzhlZjQ3NzUxZTNlNzE0NTJjMWRkZjc4Y2UifQ=="/>
  </w:docVars>
  <w:rsids>
    <w:rsidRoot w:val="00B84A4B"/>
    <w:rsid w:val="000015DD"/>
    <w:rsid w:val="00026835"/>
    <w:rsid w:val="00030582"/>
    <w:rsid w:val="0003294F"/>
    <w:rsid w:val="00035D5C"/>
    <w:rsid w:val="00041942"/>
    <w:rsid w:val="00041CD2"/>
    <w:rsid w:val="0004578B"/>
    <w:rsid w:val="00050EEC"/>
    <w:rsid w:val="00057008"/>
    <w:rsid w:val="0006338E"/>
    <w:rsid w:val="000706BB"/>
    <w:rsid w:val="00081D38"/>
    <w:rsid w:val="00091629"/>
    <w:rsid w:val="00095019"/>
    <w:rsid w:val="00096117"/>
    <w:rsid w:val="000B1470"/>
    <w:rsid w:val="000B6712"/>
    <w:rsid w:val="000C059D"/>
    <w:rsid w:val="000C3027"/>
    <w:rsid w:val="000E70AF"/>
    <w:rsid w:val="000F4807"/>
    <w:rsid w:val="00102F42"/>
    <w:rsid w:val="00105184"/>
    <w:rsid w:val="001201E7"/>
    <w:rsid w:val="00121A6F"/>
    <w:rsid w:val="00122417"/>
    <w:rsid w:val="0012271E"/>
    <w:rsid w:val="00132C07"/>
    <w:rsid w:val="0015332D"/>
    <w:rsid w:val="0015519B"/>
    <w:rsid w:val="00161561"/>
    <w:rsid w:val="00163C70"/>
    <w:rsid w:val="00170ECC"/>
    <w:rsid w:val="00180382"/>
    <w:rsid w:val="00181147"/>
    <w:rsid w:val="001835F2"/>
    <w:rsid w:val="00186255"/>
    <w:rsid w:val="00197DCA"/>
    <w:rsid w:val="001A5707"/>
    <w:rsid w:val="001B0D45"/>
    <w:rsid w:val="001F1B4C"/>
    <w:rsid w:val="00212E28"/>
    <w:rsid w:val="002134D3"/>
    <w:rsid w:val="0021427F"/>
    <w:rsid w:val="00245C1D"/>
    <w:rsid w:val="00255A72"/>
    <w:rsid w:val="002609C3"/>
    <w:rsid w:val="002657DD"/>
    <w:rsid w:val="00272B0D"/>
    <w:rsid w:val="00280134"/>
    <w:rsid w:val="00282169"/>
    <w:rsid w:val="002871A7"/>
    <w:rsid w:val="00293EF5"/>
    <w:rsid w:val="002A2229"/>
    <w:rsid w:val="002B07F1"/>
    <w:rsid w:val="002B1DBE"/>
    <w:rsid w:val="002C07C3"/>
    <w:rsid w:val="002D1934"/>
    <w:rsid w:val="002D68B1"/>
    <w:rsid w:val="00303635"/>
    <w:rsid w:val="0030371A"/>
    <w:rsid w:val="00304572"/>
    <w:rsid w:val="0033161E"/>
    <w:rsid w:val="00331647"/>
    <w:rsid w:val="003334ED"/>
    <w:rsid w:val="00335C6B"/>
    <w:rsid w:val="00336804"/>
    <w:rsid w:val="00336AC3"/>
    <w:rsid w:val="00341094"/>
    <w:rsid w:val="0034212E"/>
    <w:rsid w:val="003509DA"/>
    <w:rsid w:val="00354690"/>
    <w:rsid w:val="00354AD9"/>
    <w:rsid w:val="00356889"/>
    <w:rsid w:val="00356A92"/>
    <w:rsid w:val="00357714"/>
    <w:rsid w:val="00361D17"/>
    <w:rsid w:val="00361E03"/>
    <w:rsid w:val="003725BE"/>
    <w:rsid w:val="00375652"/>
    <w:rsid w:val="0038022E"/>
    <w:rsid w:val="00380F84"/>
    <w:rsid w:val="003B74F9"/>
    <w:rsid w:val="003C4CDD"/>
    <w:rsid w:val="003C7FEB"/>
    <w:rsid w:val="003E2E1D"/>
    <w:rsid w:val="00414603"/>
    <w:rsid w:val="00422D04"/>
    <w:rsid w:val="00422E69"/>
    <w:rsid w:val="004237A9"/>
    <w:rsid w:val="004265A8"/>
    <w:rsid w:val="00427CED"/>
    <w:rsid w:val="004305AD"/>
    <w:rsid w:val="0043296A"/>
    <w:rsid w:val="00455762"/>
    <w:rsid w:val="0045705A"/>
    <w:rsid w:val="00457E7C"/>
    <w:rsid w:val="00460409"/>
    <w:rsid w:val="00486E2B"/>
    <w:rsid w:val="00487C0F"/>
    <w:rsid w:val="004A0E19"/>
    <w:rsid w:val="004A5264"/>
    <w:rsid w:val="004C11FC"/>
    <w:rsid w:val="004C7F25"/>
    <w:rsid w:val="004D22F7"/>
    <w:rsid w:val="004D2938"/>
    <w:rsid w:val="004F285C"/>
    <w:rsid w:val="004F3C7A"/>
    <w:rsid w:val="0050153F"/>
    <w:rsid w:val="0051434B"/>
    <w:rsid w:val="00514E85"/>
    <w:rsid w:val="0053128C"/>
    <w:rsid w:val="0053309B"/>
    <w:rsid w:val="00537C28"/>
    <w:rsid w:val="005736D2"/>
    <w:rsid w:val="00576E64"/>
    <w:rsid w:val="00577E0E"/>
    <w:rsid w:val="00584A9B"/>
    <w:rsid w:val="00592783"/>
    <w:rsid w:val="00595646"/>
    <w:rsid w:val="005A0AA8"/>
    <w:rsid w:val="005A2591"/>
    <w:rsid w:val="005B1198"/>
    <w:rsid w:val="005C317C"/>
    <w:rsid w:val="005C49FB"/>
    <w:rsid w:val="005E2E34"/>
    <w:rsid w:val="005F4F42"/>
    <w:rsid w:val="005F5019"/>
    <w:rsid w:val="00620403"/>
    <w:rsid w:val="00620C73"/>
    <w:rsid w:val="00622D2B"/>
    <w:rsid w:val="00633590"/>
    <w:rsid w:val="00641065"/>
    <w:rsid w:val="0064342A"/>
    <w:rsid w:val="00656DD2"/>
    <w:rsid w:val="006729F8"/>
    <w:rsid w:val="00672F50"/>
    <w:rsid w:val="00673DAE"/>
    <w:rsid w:val="00684C44"/>
    <w:rsid w:val="006A0A3E"/>
    <w:rsid w:val="006A65A5"/>
    <w:rsid w:val="006A6753"/>
    <w:rsid w:val="006D2F2D"/>
    <w:rsid w:val="006E3091"/>
    <w:rsid w:val="006F2707"/>
    <w:rsid w:val="006F5181"/>
    <w:rsid w:val="006F5EAE"/>
    <w:rsid w:val="00703362"/>
    <w:rsid w:val="00703809"/>
    <w:rsid w:val="0070642F"/>
    <w:rsid w:val="007366FF"/>
    <w:rsid w:val="00750624"/>
    <w:rsid w:val="00752E1B"/>
    <w:rsid w:val="00755B8D"/>
    <w:rsid w:val="00755FBE"/>
    <w:rsid w:val="00760EAB"/>
    <w:rsid w:val="00766EC5"/>
    <w:rsid w:val="00771C19"/>
    <w:rsid w:val="007819E6"/>
    <w:rsid w:val="00783968"/>
    <w:rsid w:val="00794288"/>
    <w:rsid w:val="00794504"/>
    <w:rsid w:val="00795212"/>
    <w:rsid w:val="007B3121"/>
    <w:rsid w:val="007B4D1C"/>
    <w:rsid w:val="007B5718"/>
    <w:rsid w:val="007C7051"/>
    <w:rsid w:val="007E166D"/>
    <w:rsid w:val="007E48B9"/>
    <w:rsid w:val="007E6402"/>
    <w:rsid w:val="00801138"/>
    <w:rsid w:val="00801E2F"/>
    <w:rsid w:val="00801E47"/>
    <w:rsid w:val="00806267"/>
    <w:rsid w:val="00820C38"/>
    <w:rsid w:val="00825520"/>
    <w:rsid w:val="008334EF"/>
    <w:rsid w:val="0083481E"/>
    <w:rsid w:val="0083685D"/>
    <w:rsid w:val="008544A2"/>
    <w:rsid w:val="008631F8"/>
    <w:rsid w:val="00863427"/>
    <w:rsid w:val="00871835"/>
    <w:rsid w:val="00872E1D"/>
    <w:rsid w:val="008732E1"/>
    <w:rsid w:val="00890285"/>
    <w:rsid w:val="008913CB"/>
    <w:rsid w:val="008A4344"/>
    <w:rsid w:val="008B5979"/>
    <w:rsid w:val="008D104E"/>
    <w:rsid w:val="008D57EE"/>
    <w:rsid w:val="008D5FB1"/>
    <w:rsid w:val="008E321A"/>
    <w:rsid w:val="008F02DF"/>
    <w:rsid w:val="008F17BE"/>
    <w:rsid w:val="008F4C62"/>
    <w:rsid w:val="009060BF"/>
    <w:rsid w:val="009111DA"/>
    <w:rsid w:val="00917D33"/>
    <w:rsid w:val="0092211E"/>
    <w:rsid w:val="00946AD2"/>
    <w:rsid w:val="009B6D07"/>
    <w:rsid w:val="009C063E"/>
    <w:rsid w:val="009C6403"/>
    <w:rsid w:val="009C70C1"/>
    <w:rsid w:val="009D1C63"/>
    <w:rsid w:val="009D552D"/>
    <w:rsid w:val="009E5752"/>
    <w:rsid w:val="009F3A21"/>
    <w:rsid w:val="009F69CE"/>
    <w:rsid w:val="00A1241C"/>
    <w:rsid w:val="00A12AC6"/>
    <w:rsid w:val="00A24588"/>
    <w:rsid w:val="00A24F5E"/>
    <w:rsid w:val="00A32311"/>
    <w:rsid w:val="00A352C4"/>
    <w:rsid w:val="00A41A2E"/>
    <w:rsid w:val="00A41A61"/>
    <w:rsid w:val="00A42294"/>
    <w:rsid w:val="00A448A9"/>
    <w:rsid w:val="00A57ED8"/>
    <w:rsid w:val="00A60505"/>
    <w:rsid w:val="00A70DB5"/>
    <w:rsid w:val="00A727E4"/>
    <w:rsid w:val="00A73664"/>
    <w:rsid w:val="00A7582B"/>
    <w:rsid w:val="00A83EF3"/>
    <w:rsid w:val="00A92F04"/>
    <w:rsid w:val="00AB3BA5"/>
    <w:rsid w:val="00AB762F"/>
    <w:rsid w:val="00AC26BE"/>
    <w:rsid w:val="00AC2D8F"/>
    <w:rsid w:val="00AE08B0"/>
    <w:rsid w:val="00AE444A"/>
    <w:rsid w:val="00AF57FD"/>
    <w:rsid w:val="00B018A4"/>
    <w:rsid w:val="00B0403A"/>
    <w:rsid w:val="00B07B47"/>
    <w:rsid w:val="00B20685"/>
    <w:rsid w:val="00B2752C"/>
    <w:rsid w:val="00B27E66"/>
    <w:rsid w:val="00B42FEE"/>
    <w:rsid w:val="00B53C9B"/>
    <w:rsid w:val="00B70E93"/>
    <w:rsid w:val="00B779B2"/>
    <w:rsid w:val="00B84A4B"/>
    <w:rsid w:val="00B875D9"/>
    <w:rsid w:val="00B942BE"/>
    <w:rsid w:val="00BB10B7"/>
    <w:rsid w:val="00BB6668"/>
    <w:rsid w:val="00BB7429"/>
    <w:rsid w:val="00BC1207"/>
    <w:rsid w:val="00BC757B"/>
    <w:rsid w:val="00BD4068"/>
    <w:rsid w:val="00BD5E0D"/>
    <w:rsid w:val="00BE4A2E"/>
    <w:rsid w:val="00C04B2D"/>
    <w:rsid w:val="00C062A8"/>
    <w:rsid w:val="00C07343"/>
    <w:rsid w:val="00C2727E"/>
    <w:rsid w:val="00C34041"/>
    <w:rsid w:val="00C37DB6"/>
    <w:rsid w:val="00C43ED9"/>
    <w:rsid w:val="00C44338"/>
    <w:rsid w:val="00C444F2"/>
    <w:rsid w:val="00C51A52"/>
    <w:rsid w:val="00C74171"/>
    <w:rsid w:val="00C820C7"/>
    <w:rsid w:val="00C8295F"/>
    <w:rsid w:val="00C8546F"/>
    <w:rsid w:val="00C96347"/>
    <w:rsid w:val="00C96474"/>
    <w:rsid w:val="00C97100"/>
    <w:rsid w:val="00CA3AF3"/>
    <w:rsid w:val="00CC1002"/>
    <w:rsid w:val="00CC134E"/>
    <w:rsid w:val="00CC49C3"/>
    <w:rsid w:val="00CC575D"/>
    <w:rsid w:val="00CE1B5E"/>
    <w:rsid w:val="00CE6D32"/>
    <w:rsid w:val="00CF7126"/>
    <w:rsid w:val="00D00927"/>
    <w:rsid w:val="00D01B9E"/>
    <w:rsid w:val="00D06D69"/>
    <w:rsid w:val="00D16B49"/>
    <w:rsid w:val="00D20FC9"/>
    <w:rsid w:val="00D30BA2"/>
    <w:rsid w:val="00D44D67"/>
    <w:rsid w:val="00D5212B"/>
    <w:rsid w:val="00D66D94"/>
    <w:rsid w:val="00D77E75"/>
    <w:rsid w:val="00D82261"/>
    <w:rsid w:val="00D866B9"/>
    <w:rsid w:val="00D86C9A"/>
    <w:rsid w:val="00D87120"/>
    <w:rsid w:val="00D87ECC"/>
    <w:rsid w:val="00D9245B"/>
    <w:rsid w:val="00D964FE"/>
    <w:rsid w:val="00DA6AD1"/>
    <w:rsid w:val="00DB7F96"/>
    <w:rsid w:val="00DC19C3"/>
    <w:rsid w:val="00DD7F49"/>
    <w:rsid w:val="00DE22A9"/>
    <w:rsid w:val="00DE5BDA"/>
    <w:rsid w:val="00DF0985"/>
    <w:rsid w:val="00DF1D75"/>
    <w:rsid w:val="00DF1F2C"/>
    <w:rsid w:val="00E0121A"/>
    <w:rsid w:val="00E02322"/>
    <w:rsid w:val="00E17158"/>
    <w:rsid w:val="00E24A77"/>
    <w:rsid w:val="00E31CAC"/>
    <w:rsid w:val="00E43E6E"/>
    <w:rsid w:val="00E46A52"/>
    <w:rsid w:val="00E50075"/>
    <w:rsid w:val="00E52271"/>
    <w:rsid w:val="00E6714A"/>
    <w:rsid w:val="00E7770E"/>
    <w:rsid w:val="00E8085E"/>
    <w:rsid w:val="00EA44AC"/>
    <w:rsid w:val="00EA53E7"/>
    <w:rsid w:val="00EA6346"/>
    <w:rsid w:val="00EA7671"/>
    <w:rsid w:val="00EB02D5"/>
    <w:rsid w:val="00EB17D1"/>
    <w:rsid w:val="00EB6910"/>
    <w:rsid w:val="00EC2B7B"/>
    <w:rsid w:val="00EC5961"/>
    <w:rsid w:val="00EC5B4D"/>
    <w:rsid w:val="00EC6939"/>
    <w:rsid w:val="00ED0415"/>
    <w:rsid w:val="00ED4076"/>
    <w:rsid w:val="00EE4369"/>
    <w:rsid w:val="00F01958"/>
    <w:rsid w:val="00F06985"/>
    <w:rsid w:val="00F11E6F"/>
    <w:rsid w:val="00F14637"/>
    <w:rsid w:val="00F259DE"/>
    <w:rsid w:val="00F35C0D"/>
    <w:rsid w:val="00F410B1"/>
    <w:rsid w:val="00F454B7"/>
    <w:rsid w:val="00F46CC1"/>
    <w:rsid w:val="00F506F6"/>
    <w:rsid w:val="00F90D7A"/>
    <w:rsid w:val="00F9570F"/>
    <w:rsid w:val="00F95882"/>
    <w:rsid w:val="00F963F7"/>
    <w:rsid w:val="00F97107"/>
    <w:rsid w:val="00FB487D"/>
    <w:rsid w:val="00FC2E38"/>
    <w:rsid w:val="0118675A"/>
    <w:rsid w:val="01453FC9"/>
    <w:rsid w:val="017B5DB8"/>
    <w:rsid w:val="018B2118"/>
    <w:rsid w:val="01F80A87"/>
    <w:rsid w:val="01FE3729"/>
    <w:rsid w:val="02094718"/>
    <w:rsid w:val="023A65B6"/>
    <w:rsid w:val="024C40A7"/>
    <w:rsid w:val="0297204E"/>
    <w:rsid w:val="029C1412"/>
    <w:rsid w:val="02B26E88"/>
    <w:rsid w:val="02B30F34"/>
    <w:rsid w:val="02C80459"/>
    <w:rsid w:val="02E043CC"/>
    <w:rsid w:val="02E247B7"/>
    <w:rsid w:val="02E46344"/>
    <w:rsid w:val="031511C4"/>
    <w:rsid w:val="03362153"/>
    <w:rsid w:val="036E271B"/>
    <w:rsid w:val="039604AE"/>
    <w:rsid w:val="03D567BD"/>
    <w:rsid w:val="03DB41BC"/>
    <w:rsid w:val="040A1242"/>
    <w:rsid w:val="04167B92"/>
    <w:rsid w:val="043E73FF"/>
    <w:rsid w:val="04402271"/>
    <w:rsid w:val="044E57D2"/>
    <w:rsid w:val="04A70542"/>
    <w:rsid w:val="04D4681F"/>
    <w:rsid w:val="04DA0676"/>
    <w:rsid w:val="04FC1BB6"/>
    <w:rsid w:val="050C5A25"/>
    <w:rsid w:val="054A4AC6"/>
    <w:rsid w:val="05551D4C"/>
    <w:rsid w:val="056401E1"/>
    <w:rsid w:val="05A73B0A"/>
    <w:rsid w:val="05C55124"/>
    <w:rsid w:val="05CC7403"/>
    <w:rsid w:val="05E11832"/>
    <w:rsid w:val="05F55BF1"/>
    <w:rsid w:val="060F6F4E"/>
    <w:rsid w:val="06325EA8"/>
    <w:rsid w:val="067052AE"/>
    <w:rsid w:val="06AB091A"/>
    <w:rsid w:val="06BB5C3F"/>
    <w:rsid w:val="06E26CE1"/>
    <w:rsid w:val="06F832D7"/>
    <w:rsid w:val="06F84D7D"/>
    <w:rsid w:val="073312BA"/>
    <w:rsid w:val="074B3AAB"/>
    <w:rsid w:val="075A189C"/>
    <w:rsid w:val="075A7932"/>
    <w:rsid w:val="075D0068"/>
    <w:rsid w:val="07603356"/>
    <w:rsid w:val="07682A8E"/>
    <w:rsid w:val="07770FCF"/>
    <w:rsid w:val="07A33592"/>
    <w:rsid w:val="07AC578C"/>
    <w:rsid w:val="07E55609"/>
    <w:rsid w:val="080F1CA3"/>
    <w:rsid w:val="08191757"/>
    <w:rsid w:val="08206641"/>
    <w:rsid w:val="08365E65"/>
    <w:rsid w:val="084C4C06"/>
    <w:rsid w:val="087D7F38"/>
    <w:rsid w:val="08935065"/>
    <w:rsid w:val="08962DF4"/>
    <w:rsid w:val="089B216C"/>
    <w:rsid w:val="08B71958"/>
    <w:rsid w:val="08EA137C"/>
    <w:rsid w:val="08F36CD7"/>
    <w:rsid w:val="08FE73FA"/>
    <w:rsid w:val="092231E7"/>
    <w:rsid w:val="096B42BE"/>
    <w:rsid w:val="0971740D"/>
    <w:rsid w:val="098D483B"/>
    <w:rsid w:val="099362FF"/>
    <w:rsid w:val="099A3533"/>
    <w:rsid w:val="09B71227"/>
    <w:rsid w:val="09CE3D6F"/>
    <w:rsid w:val="09F02440"/>
    <w:rsid w:val="09F54765"/>
    <w:rsid w:val="09FC789C"/>
    <w:rsid w:val="09FD2B43"/>
    <w:rsid w:val="0A203553"/>
    <w:rsid w:val="0A356C1A"/>
    <w:rsid w:val="0A501B25"/>
    <w:rsid w:val="0A7113D6"/>
    <w:rsid w:val="0A7923B8"/>
    <w:rsid w:val="0A88392A"/>
    <w:rsid w:val="0AAA48E8"/>
    <w:rsid w:val="0B125667"/>
    <w:rsid w:val="0B2E29C5"/>
    <w:rsid w:val="0B332B30"/>
    <w:rsid w:val="0B381EF4"/>
    <w:rsid w:val="0B533572"/>
    <w:rsid w:val="0B571F49"/>
    <w:rsid w:val="0B5B5CFD"/>
    <w:rsid w:val="0B745622"/>
    <w:rsid w:val="0B8A46A4"/>
    <w:rsid w:val="0BC1319E"/>
    <w:rsid w:val="0BD413AC"/>
    <w:rsid w:val="0BD974DA"/>
    <w:rsid w:val="0BDD0711"/>
    <w:rsid w:val="0BF010AC"/>
    <w:rsid w:val="0BF1721B"/>
    <w:rsid w:val="0C020FC2"/>
    <w:rsid w:val="0C0D3381"/>
    <w:rsid w:val="0C655603"/>
    <w:rsid w:val="0C741652"/>
    <w:rsid w:val="0CC17636"/>
    <w:rsid w:val="0CC660E3"/>
    <w:rsid w:val="0CDA7793"/>
    <w:rsid w:val="0CE340E1"/>
    <w:rsid w:val="0CE3494B"/>
    <w:rsid w:val="0D0A06AF"/>
    <w:rsid w:val="0D341C56"/>
    <w:rsid w:val="0D585753"/>
    <w:rsid w:val="0D605A69"/>
    <w:rsid w:val="0D6E3C47"/>
    <w:rsid w:val="0DAE4FDC"/>
    <w:rsid w:val="0DD673AF"/>
    <w:rsid w:val="0DDA0C7E"/>
    <w:rsid w:val="0DF239BD"/>
    <w:rsid w:val="0E1F1B4C"/>
    <w:rsid w:val="0E2B7950"/>
    <w:rsid w:val="0E330184"/>
    <w:rsid w:val="0E35096D"/>
    <w:rsid w:val="0E5F2B0E"/>
    <w:rsid w:val="0E6359D8"/>
    <w:rsid w:val="0E635E0F"/>
    <w:rsid w:val="0E6F0B34"/>
    <w:rsid w:val="0E9D4E13"/>
    <w:rsid w:val="0EAE4B7F"/>
    <w:rsid w:val="0EB16669"/>
    <w:rsid w:val="0ED42C39"/>
    <w:rsid w:val="0EE632F1"/>
    <w:rsid w:val="0EE8142C"/>
    <w:rsid w:val="0EF577C7"/>
    <w:rsid w:val="0F085DE7"/>
    <w:rsid w:val="0F29227F"/>
    <w:rsid w:val="0F2F567F"/>
    <w:rsid w:val="0F313357"/>
    <w:rsid w:val="0F346DD4"/>
    <w:rsid w:val="0F3477A2"/>
    <w:rsid w:val="0F643C67"/>
    <w:rsid w:val="0F687B07"/>
    <w:rsid w:val="0F692FC4"/>
    <w:rsid w:val="0F7F6343"/>
    <w:rsid w:val="0FA22032"/>
    <w:rsid w:val="0FBD05FC"/>
    <w:rsid w:val="0FC65D20"/>
    <w:rsid w:val="0FD5200D"/>
    <w:rsid w:val="0FEA1AC1"/>
    <w:rsid w:val="0FF4281C"/>
    <w:rsid w:val="100B407B"/>
    <w:rsid w:val="1025656E"/>
    <w:rsid w:val="10274608"/>
    <w:rsid w:val="10410FE8"/>
    <w:rsid w:val="104D63B6"/>
    <w:rsid w:val="105A68A2"/>
    <w:rsid w:val="105B71E6"/>
    <w:rsid w:val="10904705"/>
    <w:rsid w:val="10D8146C"/>
    <w:rsid w:val="10E55340"/>
    <w:rsid w:val="10EB4E5A"/>
    <w:rsid w:val="10F2081B"/>
    <w:rsid w:val="1102547E"/>
    <w:rsid w:val="110411F6"/>
    <w:rsid w:val="11417C1B"/>
    <w:rsid w:val="11436881"/>
    <w:rsid w:val="115874AF"/>
    <w:rsid w:val="116E5EFD"/>
    <w:rsid w:val="117F7B17"/>
    <w:rsid w:val="11B84CE7"/>
    <w:rsid w:val="11CC0F24"/>
    <w:rsid w:val="11DA654F"/>
    <w:rsid w:val="11EA483A"/>
    <w:rsid w:val="123C2AA6"/>
    <w:rsid w:val="12524F46"/>
    <w:rsid w:val="125D5092"/>
    <w:rsid w:val="12721EF0"/>
    <w:rsid w:val="12A01AD2"/>
    <w:rsid w:val="12CA1FD3"/>
    <w:rsid w:val="133E6515"/>
    <w:rsid w:val="1391185C"/>
    <w:rsid w:val="13B81603"/>
    <w:rsid w:val="13CB4909"/>
    <w:rsid w:val="13E217D2"/>
    <w:rsid w:val="13E56991"/>
    <w:rsid w:val="13F95ADC"/>
    <w:rsid w:val="141E0211"/>
    <w:rsid w:val="14525B4B"/>
    <w:rsid w:val="14641890"/>
    <w:rsid w:val="14697BE6"/>
    <w:rsid w:val="146D70B2"/>
    <w:rsid w:val="148D1503"/>
    <w:rsid w:val="14A23E45"/>
    <w:rsid w:val="14C1376F"/>
    <w:rsid w:val="14C634B2"/>
    <w:rsid w:val="14E4386B"/>
    <w:rsid w:val="14EB6229"/>
    <w:rsid w:val="15137E77"/>
    <w:rsid w:val="1514752E"/>
    <w:rsid w:val="15213FF3"/>
    <w:rsid w:val="15240A7D"/>
    <w:rsid w:val="15282FD9"/>
    <w:rsid w:val="153A7FCC"/>
    <w:rsid w:val="15410A7F"/>
    <w:rsid w:val="154C0C82"/>
    <w:rsid w:val="154C6CC8"/>
    <w:rsid w:val="156B78F3"/>
    <w:rsid w:val="15961D78"/>
    <w:rsid w:val="15972A4A"/>
    <w:rsid w:val="15B8435D"/>
    <w:rsid w:val="15BB2B01"/>
    <w:rsid w:val="15E0032C"/>
    <w:rsid w:val="15E51BCB"/>
    <w:rsid w:val="15F3144D"/>
    <w:rsid w:val="15F710B6"/>
    <w:rsid w:val="16007AB2"/>
    <w:rsid w:val="16040B13"/>
    <w:rsid w:val="16113A6D"/>
    <w:rsid w:val="161D2209"/>
    <w:rsid w:val="164200CB"/>
    <w:rsid w:val="164E33D5"/>
    <w:rsid w:val="166743F7"/>
    <w:rsid w:val="166C5148"/>
    <w:rsid w:val="16B74615"/>
    <w:rsid w:val="16C409A8"/>
    <w:rsid w:val="16FC31CB"/>
    <w:rsid w:val="17152505"/>
    <w:rsid w:val="17277AAD"/>
    <w:rsid w:val="175133A3"/>
    <w:rsid w:val="17821343"/>
    <w:rsid w:val="17B80644"/>
    <w:rsid w:val="17F2219D"/>
    <w:rsid w:val="17FC41E9"/>
    <w:rsid w:val="180A72FE"/>
    <w:rsid w:val="18114AE8"/>
    <w:rsid w:val="18300B23"/>
    <w:rsid w:val="18302C42"/>
    <w:rsid w:val="185B02AF"/>
    <w:rsid w:val="187B4034"/>
    <w:rsid w:val="189576A6"/>
    <w:rsid w:val="18AA7E3A"/>
    <w:rsid w:val="18BA663E"/>
    <w:rsid w:val="1904793D"/>
    <w:rsid w:val="1908399E"/>
    <w:rsid w:val="191661C4"/>
    <w:rsid w:val="1920056F"/>
    <w:rsid w:val="19337D29"/>
    <w:rsid w:val="195D6AB4"/>
    <w:rsid w:val="19704F4F"/>
    <w:rsid w:val="198B12DA"/>
    <w:rsid w:val="19915D0D"/>
    <w:rsid w:val="19C04A75"/>
    <w:rsid w:val="19C84D8B"/>
    <w:rsid w:val="19EC2827"/>
    <w:rsid w:val="1A0C4C78"/>
    <w:rsid w:val="1A515AD2"/>
    <w:rsid w:val="1A5D0FA9"/>
    <w:rsid w:val="1A7239E6"/>
    <w:rsid w:val="1A851A1F"/>
    <w:rsid w:val="1A9A1477"/>
    <w:rsid w:val="1A9A2283"/>
    <w:rsid w:val="1AF40879"/>
    <w:rsid w:val="1B2D2AE6"/>
    <w:rsid w:val="1BA60D4B"/>
    <w:rsid w:val="1BC00D35"/>
    <w:rsid w:val="1BCD0283"/>
    <w:rsid w:val="1BFA676A"/>
    <w:rsid w:val="1BFE30EB"/>
    <w:rsid w:val="1C017D68"/>
    <w:rsid w:val="1C2362A8"/>
    <w:rsid w:val="1C2454E8"/>
    <w:rsid w:val="1C422BD3"/>
    <w:rsid w:val="1C742586"/>
    <w:rsid w:val="1C782A98"/>
    <w:rsid w:val="1C8878B7"/>
    <w:rsid w:val="1C921AB0"/>
    <w:rsid w:val="1CB013EF"/>
    <w:rsid w:val="1CBE3F27"/>
    <w:rsid w:val="1CF57C45"/>
    <w:rsid w:val="1CFA1294"/>
    <w:rsid w:val="1CFB6E4A"/>
    <w:rsid w:val="1D0E0C5B"/>
    <w:rsid w:val="1D183AE6"/>
    <w:rsid w:val="1D1C1676"/>
    <w:rsid w:val="1D2E5EB6"/>
    <w:rsid w:val="1D3647ED"/>
    <w:rsid w:val="1D3C7AF9"/>
    <w:rsid w:val="1D412A0F"/>
    <w:rsid w:val="1D7A45EE"/>
    <w:rsid w:val="1D84052E"/>
    <w:rsid w:val="1D8A64E2"/>
    <w:rsid w:val="1D8FB05F"/>
    <w:rsid w:val="1DA674A2"/>
    <w:rsid w:val="1DCC4954"/>
    <w:rsid w:val="1DE17877"/>
    <w:rsid w:val="1DFD18CB"/>
    <w:rsid w:val="1E040E61"/>
    <w:rsid w:val="1E171E3D"/>
    <w:rsid w:val="1E3D6AA8"/>
    <w:rsid w:val="1E65148F"/>
    <w:rsid w:val="1E973C94"/>
    <w:rsid w:val="1E994F6E"/>
    <w:rsid w:val="1F7E6617"/>
    <w:rsid w:val="1FB45B95"/>
    <w:rsid w:val="1FBF453A"/>
    <w:rsid w:val="1FCF0692"/>
    <w:rsid w:val="1FD706C4"/>
    <w:rsid w:val="1FD91AA0"/>
    <w:rsid w:val="1FE16BA6"/>
    <w:rsid w:val="203A38EA"/>
    <w:rsid w:val="203F5F2C"/>
    <w:rsid w:val="20566C4C"/>
    <w:rsid w:val="205E1FA5"/>
    <w:rsid w:val="206C28FE"/>
    <w:rsid w:val="20860308"/>
    <w:rsid w:val="20924B8D"/>
    <w:rsid w:val="209A2F05"/>
    <w:rsid w:val="20B55BEA"/>
    <w:rsid w:val="20B734B4"/>
    <w:rsid w:val="20BA463F"/>
    <w:rsid w:val="21074345"/>
    <w:rsid w:val="214D7168"/>
    <w:rsid w:val="216142A5"/>
    <w:rsid w:val="216F7B69"/>
    <w:rsid w:val="2175353F"/>
    <w:rsid w:val="21786DF7"/>
    <w:rsid w:val="2187594D"/>
    <w:rsid w:val="218D48F0"/>
    <w:rsid w:val="21976786"/>
    <w:rsid w:val="21B81BDF"/>
    <w:rsid w:val="21D20555"/>
    <w:rsid w:val="21D34D91"/>
    <w:rsid w:val="21E14C3C"/>
    <w:rsid w:val="2246529E"/>
    <w:rsid w:val="22590BC0"/>
    <w:rsid w:val="228D371F"/>
    <w:rsid w:val="22AD2F38"/>
    <w:rsid w:val="22C81958"/>
    <w:rsid w:val="22CD140F"/>
    <w:rsid w:val="22DB78DD"/>
    <w:rsid w:val="22FD4067"/>
    <w:rsid w:val="230170DC"/>
    <w:rsid w:val="23076D1C"/>
    <w:rsid w:val="230A5439"/>
    <w:rsid w:val="231D7EF5"/>
    <w:rsid w:val="2323633B"/>
    <w:rsid w:val="232379AD"/>
    <w:rsid w:val="2326760F"/>
    <w:rsid w:val="23305591"/>
    <w:rsid w:val="23331A9D"/>
    <w:rsid w:val="23675642"/>
    <w:rsid w:val="236F7CD9"/>
    <w:rsid w:val="23902475"/>
    <w:rsid w:val="23A542DC"/>
    <w:rsid w:val="23AE0B4E"/>
    <w:rsid w:val="23B02286"/>
    <w:rsid w:val="23B859DC"/>
    <w:rsid w:val="23D66E58"/>
    <w:rsid w:val="23EB1DA2"/>
    <w:rsid w:val="240938E5"/>
    <w:rsid w:val="2409683B"/>
    <w:rsid w:val="240F3CE2"/>
    <w:rsid w:val="241D19DD"/>
    <w:rsid w:val="24305A06"/>
    <w:rsid w:val="243F323B"/>
    <w:rsid w:val="244C2B64"/>
    <w:rsid w:val="247C6E9E"/>
    <w:rsid w:val="24844A2B"/>
    <w:rsid w:val="249B4DA7"/>
    <w:rsid w:val="24D80C0B"/>
    <w:rsid w:val="24F954C4"/>
    <w:rsid w:val="250F7D12"/>
    <w:rsid w:val="251E3C59"/>
    <w:rsid w:val="25504DEA"/>
    <w:rsid w:val="25554388"/>
    <w:rsid w:val="25565CCE"/>
    <w:rsid w:val="25AD3952"/>
    <w:rsid w:val="25C460AF"/>
    <w:rsid w:val="25C83C06"/>
    <w:rsid w:val="25CE197B"/>
    <w:rsid w:val="25E72896"/>
    <w:rsid w:val="25EA5F44"/>
    <w:rsid w:val="25F87EDC"/>
    <w:rsid w:val="26396DF4"/>
    <w:rsid w:val="264377BE"/>
    <w:rsid w:val="264734FD"/>
    <w:rsid w:val="26674F4D"/>
    <w:rsid w:val="267B5FE7"/>
    <w:rsid w:val="26866A53"/>
    <w:rsid w:val="2688227D"/>
    <w:rsid w:val="26A16EB1"/>
    <w:rsid w:val="26A4058D"/>
    <w:rsid w:val="26F15921"/>
    <w:rsid w:val="26F82881"/>
    <w:rsid w:val="274118BB"/>
    <w:rsid w:val="274E7DD9"/>
    <w:rsid w:val="276114BA"/>
    <w:rsid w:val="276854B7"/>
    <w:rsid w:val="276B012A"/>
    <w:rsid w:val="276D14FE"/>
    <w:rsid w:val="277125BE"/>
    <w:rsid w:val="277C7162"/>
    <w:rsid w:val="277F4CDB"/>
    <w:rsid w:val="278829F3"/>
    <w:rsid w:val="278D0AA1"/>
    <w:rsid w:val="2797294F"/>
    <w:rsid w:val="27CC0C59"/>
    <w:rsid w:val="27D5792C"/>
    <w:rsid w:val="281A0827"/>
    <w:rsid w:val="28460DF5"/>
    <w:rsid w:val="2849258F"/>
    <w:rsid w:val="285A12A4"/>
    <w:rsid w:val="285A1E4A"/>
    <w:rsid w:val="28AA2846"/>
    <w:rsid w:val="28B46C06"/>
    <w:rsid w:val="28F80330"/>
    <w:rsid w:val="28FB65E3"/>
    <w:rsid w:val="28FC05AD"/>
    <w:rsid w:val="29003BF9"/>
    <w:rsid w:val="29146F2D"/>
    <w:rsid w:val="292C4C22"/>
    <w:rsid w:val="2951272C"/>
    <w:rsid w:val="29982084"/>
    <w:rsid w:val="29FC62CD"/>
    <w:rsid w:val="2A092882"/>
    <w:rsid w:val="2A3A313B"/>
    <w:rsid w:val="2A4E68EA"/>
    <w:rsid w:val="2A7101CB"/>
    <w:rsid w:val="2A9160E4"/>
    <w:rsid w:val="2AC44FB2"/>
    <w:rsid w:val="2AFD1D93"/>
    <w:rsid w:val="2AFF3E43"/>
    <w:rsid w:val="2B19387F"/>
    <w:rsid w:val="2B295E12"/>
    <w:rsid w:val="2B336ABA"/>
    <w:rsid w:val="2B522E23"/>
    <w:rsid w:val="2B6C1A1A"/>
    <w:rsid w:val="2B764647"/>
    <w:rsid w:val="2B844556"/>
    <w:rsid w:val="2BD870AF"/>
    <w:rsid w:val="2BE46810"/>
    <w:rsid w:val="2BF37A45"/>
    <w:rsid w:val="2BFF2943"/>
    <w:rsid w:val="2C237A9A"/>
    <w:rsid w:val="2C251BC9"/>
    <w:rsid w:val="2C317E40"/>
    <w:rsid w:val="2C5001AC"/>
    <w:rsid w:val="2C5209F6"/>
    <w:rsid w:val="2C562E51"/>
    <w:rsid w:val="2C872D84"/>
    <w:rsid w:val="2CB05936"/>
    <w:rsid w:val="2CB26E8F"/>
    <w:rsid w:val="2CD77367"/>
    <w:rsid w:val="2CE27734"/>
    <w:rsid w:val="2CF0667B"/>
    <w:rsid w:val="2D141BAC"/>
    <w:rsid w:val="2D3B0D02"/>
    <w:rsid w:val="2D60735C"/>
    <w:rsid w:val="2D783662"/>
    <w:rsid w:val="2D795D83"/>
    <w:rsid w:val="2DB45E04"/>
    <w:rsid w:val="2DCD3C14"/>
    <w:rsid w:val="2DDA637B"/>
    <w:rsid w:val="2DF80B12"/>
    <w:rsid w:val="2DFD0375"/>
    <w:rsid w:val="2E1B16B4"/>
    <w:rsid w:val="2E2A7E35"/>
    <w:rsid w:val="2E3A27E5"/>
    <w:rsid w:val="2E524C99"/>
    <w:rsid w:val="2E6C245A"/>
    <w:rsid w:val="2E8F33AC"/>
    <w:rsid w:val="2EC13592"/>
    <w:rsid w:val="2EFF665F"/>
    <w:rsid w:val="2F047853"/>
    <w:rsid w:val="2F4B7B98"/>
    <w:rsid w:val="2F606B0F"/>
    <w:rsid w:val="2F776AE1"/>
    <w:rsid w:val="2F7E15A0"/>
    <w:rsid w:val="2F9028FF"/>
    <w:rsid w:val="2F96379F"/>
    <w:rsid w:val="2FAF45CB"/>
    <w:rsid w:val="2FB90FA6"/>
    <w:rsid w:val="2FC01EEE"/>
    <w:rsid w:val="2FF53C74"/>
    <w:rsid w:val="2FF56B7F"/>
    <w:rsid w:val="2FF7637F"/>
    <w:rsid w:val="2FFA79E1"/>
    <w:rsid w:val="303946F5"/>
    <w:rsid w:val="305A6B4F"/>
    <w:rsid w:val="307028C2"/>
    <w:rsid w:val="309D08C8"/>
    <w:rsid w:val="30B84CFB"/>
    <w:rsid w:val="30C96FC7"/>
    <w:rsid w:val="30E81DDA"/>
    <w:rsid w:val="30EB45DA"/>
    <w:rsid w:val="31004119"/>
    <w:rsid w:val="311F3DC9"/>
    <w:rsid w:val="3126266B"/>
    <w:rsid w:val="312E045E"/>
    <w:rsid w:val="313F54DB"/>
    <w:rsid w:val="314414DD"/>
    <w:rsid w:val="31634756"/>
    <w:rsid w:val="3181008E"/>
    <w:rsid w:val="31EB30E9"/>
    <w:rsid w:val="31F2079F"/>
    <w:rsid w:val="32002B14"/>
    <w:rsid w:val="320C63DA"/>
    <w:rsid w:val="321976F8"/>
    <w:rsid w:val="324E1E79"/>
    <w:rsid w:val="325277CC"/>
    <w:rsid w:val="32853894"/>
    <w:rsid w:val="32A65CCA"/>
    <w:rsid w:val="32B20603"/>
    <w:rsid w:val="32B617CD"/>
    <w:rsid w:val="32BF68D3"/>
    <w:rsid w:val="32E53E60"/>
    <w:rsid w:val="32E70230"/>
    <w:rsid w:val="3307134F"/>
    <w:rsid w:val="3334161F"/>
    <w:rsid w:val="336011D5"/>
    <w:rsid w:val="33616A9F"/>
    <w:rsid w:val="33A564BA"/>
    <w:rsid w:val="33B81BF3"/>
    <w:rsid w:val="33CD6DCE"/>
    <w:rsid w:val="3438334C"/>
    <w:rsid w:val="34784F8C"/>
    <w:rsid w:val="348778C8"/>
    <w:rsid w:val="348E30A7"/>
    <w:rsid w:val="34B00BC9"/>
    <w:rsid w:val="34B2796D"/>
    <w:rsid w:val="34BD6E42"/>
    <w:rsid w:val="34CF5E4D"/>
    <w:rsid w:val="34E104E5"/>
    <w:rsid w:val="34EE6357"/>
    <w:rsid w:val="34FC0B21"/>
    <w:rsid w:val="3502167D"/>
    <w:rsid w:val="35126DD7"/>
    <w:rsid w:val="35431A3E"/>
    <w:rsid w:val="355B43B6"/>
    <w:rsid w:val="35E421F9"/>
    <w:rsid w:val="36016A60"/>
    <w:rsid w:val="36514343"/>
    <w:rsid w:val="36562BDA"/>
    <w:rsid w:val="36573411"/>
    <w:rsid w:val="3658741E"/>
    <w:rsid w:val="365C268B"/>
    <w:rsid w:val="365F0DDD"/>
    <w:rsid w:val="367E644E"/>
    <w:rsid w:val="36883480"/>
    <w:rsid w:val="368A71F8"/>
    <w:rsid w:val="36BB0C95"/>
    <w:rsid w:val="36C22E36"/>
    <w:rsid w:val="36C550B0"/>
    <w:rsid w:val="36FE42BD"/>
    <w:rsid w:val="3709636F"/>
    <w:rsid w:val="3758019E"/>
    <w:rsid w:val="3758440D"/>
    <w:rsid w:val="377B3464"/>
    <w:rsid w:val="37A75B88"/>
    <w:rsid w:val="37CC2099"/>
    <w:rsid w:val="37E62B54"/>
    <w:rsid w:val="3854765D"/>
    <w:rsid w:val="38610DB6"/>
    <w:rsid w:val="386A1230"/>
    <w:rsid w:val="386D692E"/>
    <w:rsid w:val="38A37E06"/>
    <w:rsid w:val="38C573B9"/>
    <w:rsid w:val="38CF4814"/>
    <w:rsid w:val="38DD3EA4"/>
    <w:rsid w:val="390708C7"/>
    <w:rsid w:val="392C4F1C"/>
    <w:rsid w:val="39475874"/>
    <w:rsid w:val="394F51A8"/>
    <w:rsid w:val="39583B80"/>
    <w:rsid w:val="396E1053"/>
    <w:rsid w:val="39803E26"/>
    <w:rsid w:val="39B27192"/>
    <w:rsid w:val="39B91B77"/>
    <w:rsid w:val="39F06BFD"/>
    <w:rsid w:val="3A255683"/>
    <w:rsid w:val="3A4F678F"/>
    <w:rsid w:val="3A6A181A"/>
    <w:rsid w:val="3A762B41"/>
    <w:rsid w:val="3AA80595"/>
    <w:rsid w:val="3AAF12DF"/>
    <w:rsid w:val="3AC70622"/>
    <w:rsid w:val="3AE67477"/>
    <w:rsid w:val="3AFE5AC0"/>
    <w:rsid w:val="3B230436"/>
    <w:rsid w:val="3B3B4F65"/>
    <w:rsid w:val="3B777D97"/>
    <w:rsid w:val="3B82342F"/>
    <w:rsid w:val="3B835BE5"/>
    <w:rsid w:val="3BA77382"/>
    <w:rsid w:val="3BC82C9D"/>
    <w:rsid w:val="3BEA764F"/>
    <w:rsid w:val="3BFE3181"/>
    <w:rsid w:val="3C410508"/>
    <w:rsid w:val="3C432323"/>
    <w:rsid w:val="3C45215F"/>
    <w:rsid w:val="3C6127A9"/>
    <w:rsid w:val="3CC133D5"/>
    <w:rsid w:val="3D257A54"/>
    <w:rsid w:val="3D2866AF"/>
    <w:rsid w:val="3D3A0B83"/>
    <w:rsid w:val="3D3A19D6"/>
    <w:rsid w:val="3D472919"/>
    <w:rsid w:val="3D4A5DD8"/>
    <w:rsid w:val="3D51281E"/>
    <w:rsid w:val="3D977923"/>
    <w:rsid w:val="3DA35937"/>
    <w:rsid w:val="3DB85035"/>
    <w:rsid w:val="3DC6320C"/>
    <w:rsid w:val="3DE6565C"/>
    <w:rsid w:val="3DEE128D"/>
    <w:rsid w:val="3E096CF1"/>
    <w:rsid w:val="3E1026D9"/>
    <w:rsid w:val="3E3B7BE9"/>
    <w:rsid w:val="3E457116"/>
    <w:rsid w:val="3E764461"/>
    <w:rsid w:val="3E7B15A4"/>
    <w:rsid w:val="3E892C78"/>
    <w:rsid w:val="3E8F7AA2"/>
    <w:rsid w:val="3E9729F3"/>
    <w:rsid w:val="3ED656D0"/>
    <w:rsid w:val="3ED75C4E"/>
    <w:rsid w:val="3ED95A51"/>
    <w:rsid w:val="3F171977"/>
    <w:rsid w:val="3F1F7D42"/>
    <w:rsid w:val="3F281CA4"/>
    <w:rsid w:val="3F44125F"/>
    <w:rsid w:val="3F460BC0"/>
    <w:rsid w:val="3F4E21EB"/>
    <w:rsid w:val="3F5D36FC"/>
    <w:rsid w:val="3F7557F2"/>
    <w:rsid w:val="3F79409B"/>
    <w:rsid w:val="3FBE42E2"/>
    <w:rsid w:val="3FC3779C"/>
    <w:rsid w:val="3FEB6F5A"/>
    <w:rsid w:val="400211D7"/>
    <w:rsid w:val="400747A9"/>
    <w:rsid w:val="402E6F2B"/>
    <w:rsid w:val="403340B8"/>
    <w:rsid w:val="406A05F4"/>
    <w:rsid w:val="406A211C"/>
    <w:rsid w:val="410302D3"/>
    <w:rsid w:val="41277CC4"/>
    <w:rsid w:val="412A2779"/>
    <w:rsid w:val="41400D41"/>
    <w:rsid w:val="41924682"/>
    <w:rsid w:val="41BB600D"/>
    <w:rsid w:val="41D23FDA"/>
    <w:rsid w:val="41FD4D22"/>
    <w:rsid w:val="423805B8"/>
    <w:rsid w:val="42756FAE"/>
    <w:rsid w:val="42895A99"/>
    <w:rsid w:val="428C5745"/>
    <w:rsid w:val="42BE3DB0"/>
    <w:rsid w:val="42E31FF0"/>
    <w:rsid w:val="436B215F"/>
    <w:rsid w:val="436B5E9B"/>
    <w:rsid w:val="43754D8C"/>
    <w:rsid w:val="4383047F"/>
    <w:rsid w:val="438D715F"/>
    <w:rsid w:val="43DB36F4"/>
    <w:rsid w:val="43F40958"/>
    <w:rsid w:val="43F7731F"/>
    <w:rsid w:val="443B7D84"/>
    <w:rsid w:val="44507CD3"/>
    <w:rsid w:val="44A843A6"/>
    <w:rsid w:val="44B9344A"/>
    <w:rsid w:val="44C210D8"/>
    <w:rsid w:val="44CA07F0"/>
    <w:rsid w:val="44CD1E32"/>
    <w:rsid w:val="44DA53FC"/>
    <w:rsid w:val="44DD0E3B"/>
    <w:rsid w:val="44EF0D10"/>
    <w:rsid w:val="450512D4"/>
    <w:rsid w:val="450C60FD"/>
    <w:rsid w:val="450D222F"/>
    <w:rsid w:val="451A698D"/>
    <w:rsid w:val="451C52D8"/>
    <w:rsid w:val="4566771C"/>
    <w:rsid w:val="457F1EF2"/>
    <w:rsid w:val="45800549"/>
    <w:rsid w:val="45A22BBD"/>
    <w:rsid w:val="45C762CF"/>
    <w:rsid w:val="45D3248E"/>
    <w:rsid w:val="460536F8"/>
    <w:rsid w:val="466C06C8"/>
    <w:rsid w:val="467D28D5"/>
    <w:rsid w:val="4695114F"/>
    <w:rsid w:val="46A5118B"/>
    <w:rsid w:val="46A8534E"/>
    <w:rsid w:val="46C236BE"/>
    <w:rsid w:val="46CFC4FE"/>
    <w:rsid w:val="46DB28CC"/>
    <w:rsid w:val="46F10BCE"/>
    <w:rsid w:val="46F74A13"/>
    <w:rsid w:val="475F1FDB"/>
    <w:rsid w:val="47645658"/>
    <w:rsid w:val="478406C1"/>
    <w:rsid w:val="47947ED7"/>
    <w:rsid w:val="47B73BC5"/>
    <w:rsid w:val="47C14A44"/>
    <w:rsid w:val="47D40916"/>
    <w:rsid w:val="47D44585"/>
    <w:rsid w:val="47EA519C"/>
    <w:rsid w:val="480145EA"/>
    <w:rsid w:val="48491A36"/>
    <w:rsid w:val="485B2CE0"/>
    <w:rsid w:val="486A550F"/>
    <w:rsid w:val="486D5DD0"/>
    <w:rsid w:val="4882455E"/>
    <w:rsid w:val="48E936F9"/>
    <w:rsid w:val="490948F4"/>
    <w:rsid w:val="49172B6D"/>
    <w:rsid w:val="492F3120"/>
    <w:rsid w:val="494A4D03"/>
    <w:rsid w:val="495A61FC"/>
    <w:rsid w:val="49634005"/>
    <w:rsid w:val="498702B5"/>
    <w:rsid w:val="49B26AE0"/>
    <w:rsid w:val="49B828BC"/>
    <w:rsid w:val="49DB6CF1"/>
    <w:rsid w:val="49DC6C42"/>
    <w:rsid w:val="4A107458"/>
    <w:rsid w:val="4A111FEF"/>
    <w:rsid w:val="4A3D4856"/>
    <w:rsid w:val="4A4079D7"/>
    <w:rsid w:val="4A4C2F78"/>
    <w:rsid w:val="4A887B27"/>
    <w:rsid w:val="4AA2295B"/>
    <w:rsid w:val="4ABB577A"/>
    <w:rsid w:val="4AC919B2"/>
    <w:rsid w:val="4B1C6BD2"/>
    <w:rsid w:val="4B3B2D08"/>
    <w:rsid w:val="4B4149CF"/>
    <w:rsid w:val="4B4E7B82"/>
    <w:rsid w:val="4B780D5F"/>
    <w:rsid w:val="4B9B022A"/>
    <w:rsid w:val="4BB74317"/>
    <w:rsid w:val="4BC207D7"/>
    <w:rsid w:val="4BEC5CFE"/>
    <w:rsid w:val="4C017B05"/>
    <w:rsid w:val="4C3605C6"/>
    <w:rsid w:val="4C6952D3"/>
    <w:rsid w:val="4C71246E"/>
    <w:rsid w:val="4C742483"/>
    <w:rsid w:val="4C76404F"/>
    <w:rsid w:val="4C96024D"/>
    <w:rsid w:val="4CBF5E47"/>
    <w:rsid w:val="4CC9478E"/>
    <w:rsid w:val="4CE162F0"/>
    <w:rsid w:val="4CFF5756"/>
    <w:rsid w:val="4D0253A7"/>
    <w:rsid w:val="4D063625"/>
    <w:rsid w:val="4D1B4BF6"/>
    <w:rsid w:val="4D7311B2"/>
    <w:rsid w:val="4DA61BAA"/>
    <w:rsid w:val="4DBB5BDA"/>
    <w:rsid w:val="4DBE471D"/>
    <w:rsid w:val="4DBF47CD"/>
    <w:rsid w:val="4DC42008"/>
    <w:rsid w:val="4DCC2C28"/>
    <w:rsid w:val="4DF70F35"/>
    <w:rsid w:val="4E3839C3"/>
    <w:rsid w:val="4E704A2F"/>
    <w:rsid w:val="4EBB043F"/>
    <w:rsid w:val="4EBE5F19"/>
    <w:rsid w:val="4EC30082"/>
    <w:rsid w:val="4ECC230F"/>
    <w:rsid w:val="4ECF7517"/>
    <w:rsid w:val="4EE41BA1"/>
    <w:rsid w:val="4EE55131"/>
    <w:rsid w:val="4F302690"/>
    <w:rsid w:val="4F462F44"/>
    <w:rsid w:val="4F552D33"/>
    <w:rsid w:val="4F9D7E6A"/>
    <w:rsid w:val="4FAE7B44"/>
    <w:rsid w:val="4FC155E1"/>
    <w:rsid w:val="4FC5212F"/>
    <w:rsid w:val="4FE23299"/>
    <w:rsid w:val="4FE633A7"/>
    <w:rsid w:val="4FEC63D6"/>
    <w:rsid w:val="5012408F"/>
    <w:rsid w:val="501B265E"/>
    <w:rsid w:val="502B510F"/>
    <w:rsid w:val="50376ABF"/>
    <w:rsid w:val="507C68AE"/>
    <w:rsid w:val="50B56CF8"/>
    <w:rsid w:val="51363DAD"/>
    <w:rsid w:val="513D3E90"/>
    <w:rsid w:val="516224E5"/>
    <w:rsid w:val="51652AA4"/>
    <w:rsid w:val="51D9099E"/>
    <w:rsid w:val="51EE4687"/>
    <w:rsid w:val="51EE5A73"/>
    <w:rsid w:val="52514ED2"/>
    <w:rsid w:val="5251711B"/>
    <w:rsid w:val="52694D68"/>
    <w:rsid w:val="5285471B"/>
    <w:rsid w:val="529B01B6"/>
    <w:rsid w:val="529F1014"/>
    <w:rsid w:val="52A93101"/>
    <w:rsid w:val="52DB4C0C"/>
    <w:rsid w:val="52E82EC7"/>
    <w:rsid w:val="52F15C61"/>
    <w:rsid w:val="53485D1A"/>
    <w:rsid w:val="53672943"/>
    <w:rsid w:val="536B3582"/>
    <w:rsid w:val="53935897"/>
    <w:rsid w:val="539B1E34"/>
    <w:rsid w:val="53AB6CD4"/>
    <w:rsid w:val="53FE5220"/>
    <w:rsid w:val="54041398"/>
    <w:rsid w:val="540B1521"/>
    <w:rsid w:val="5411645D"/>
    <w:rsid w:val="54322F51"/>
    <w:rsid w:val="543C3DD0"/>
    <w:rsid w:val="544D38E7"/>
    <w:rsid w:val="54656DB3"/>
    <w:rsid w:val="546F3DD3"/>
    <w:rsid w:val="54A43689"/>
    <w:rsid w:val="54AA0D3A"/>
    <w:rsid w:val="54AB1879"/>
    <w:rsid w:val="54B020C8"/>
    <w:rsid w:val="54B55930"/>
    <w:rsid w:val="54E05E53"/>
    <w:rsid w:val="550E2318"/>
    <w:rsid w:val="551F0CB5"/>
    <w:rsid w:val="554C0043"/>
    <w:rsid w:val="555870C3"/>
    <w:rsid w:val="55C23FC2"/>
    <w:rsid w:val="55C819A5"/>
    <w:rsid w:val="55D65961"/>
    <w:rsid w:val="55DC1E2D"/>
    <w:rsid w:val="55E0312B"/>
    <w:rsid w:val="55F120F5"/>
    <w:rsid w:val="56032DAA"/>
    <w:rsid w:val="560764DF"/>
    <w:rsid w:val="56076719"/>
    <w:rsid w:val="560C332E"/>
    <w:rsid w:val="562D0D3B"/>
    <w:rsid w:val="56600BB1"/>
    <w:rsid w:val="566C50E8"/>
    <w:rsid w:val="566F7082"/>
    <w:rsid w:val="567E44EA"/>
    <w:rsid w:val="56861391"/>
    <w:rsid w:val="569F0646"/>
    <w:rsid w:val="56D36709"/>
    <w:rsid w:val="56E91A0C"/>
    <w:rsid w:val="56FF3F10"/>
    <w:rsid w:val="57274B20"/>
    <w:rsid w:val="573C65BE"/>
    <w:rsid w:val="578507C0"/>
    <w:rsid w:val="578B4632"/>
    <w:rsid w:val="579A7BCC"/>
    <w:rsid w:val="57A25CD3"/>
    <w:rsid w:val="57A7215B"/>
    <w:rsid w:val="57CD149A"/>
    <w:rsid w:val="57D12A81"/>
    <w:rsid w:val="57E01E2C"/>
    <w:rsid w:val="57FE2B69"/>
    <w:rsid w:val="581B3F0F"/>
    <w:rsid w:val="584047B0"/>
    <w:rsid w:val="584B2951"/>
    <w:rsid w:val="58525EEF"/>
    <w:rsid w:val="587274C0"/>
    <w:rsid w:val="58801DB1"/>
    <w:rsid w:val="5898479B"/>
    <w:rsid w:val="58986B2A"/>
    <w:rsid w:val="58C526F3"/>
    <w:rsid w:val="58D376CA"/>
    <w:rsid w:val="58E93DFA"/>
    <w:rsid w:val="59052746"/>
    <w:rsid w:val="590E3C20"/>
    <w:rsid w:val="591E759F"/>
    <w:rsid w:val="59254E33"/>
    <w:rsid w:val="5935047D"/>
    <w:rsid w:val="595E6596"/>
    <w:rsid w:val="5996188C"/>
    <w:rsid w:val="59BA27B4"/>
    <w:rsid w:val="59D82F1D"/>
    <w:rsid w:val="59EB47F2"/>
    <w:rsid w:val="5A23719E"/>
    <w:rsid w:val="5A29604A"/>
    <w:rsid w:val="5A2A1B16"/>
    <w:rsid w:val="5A59088E"/>
    <w:rsid w:val="5A785436"/>
    <w:rsid w:val="5A7A11AE"/>
    <w:rsid w:val="5ACD132B"/>
    <w:rsid w:val="5ADE1E7A"/>
    <w:rsid w:val="5AEA2B03"/>
    <w:rsid w:val="5B090AE7"/>
    <w:rsid w:val="5B2251E4"/>
    <w:rsid w:val="5B3F10B7"/>
    <w:rsid w:val="5B61390B"/>
    <w:rsid w:val="5B6B6D49"/>
    <w:rsid w:val="5B6F365C"/>
    <w:rsid w:val="5B901375"/>
    <w:rsid w:val="5BA109BC"/>
    <w:rsid w:val="5BB302A8"/>
    <w:rsid w:val="5BD91F40"/>
    <w:rsid w:val="5BE32D83"/>
    <w:rsid w:val="5C272000"/>
    <w:rsid w:val="5C2A2760"/>
    <w:rsid w:val="5C365882"/>
    <w:rsid w:val="5C5B33F1"/>
    <w:rsid w:val="5C830F1D"/>
    <w:rsid w:val="5C9B540C"/>
    <w:rsid w:val="5C9C15F8"/>
    <w:rsid w:val="5CE63072"/>
    <w:rsid w:val="5CFC40FC"/>
    <w:rsid w:val="5D046FE8"/>
    <w:rsid w:val="5D1F7DD2"/>
    <w:rsid w:val="5D2418A5"/>
    <w:rsid w:val="5D3540BA"/>
    <w:rsid w:val="5D7D3CA0"/>
    <w:rsid w:val="5D9C143B"/>
    <w:rsid w:val="5DA017F6"/>
    <w:rsid w:val="5DA17CFD"/>
    <w:rsid w:val="5DAB7CD0"/>
    <w:rsid w:val="5DAF116F"/>
    <w:rsid w:val="5DCD715C"/>
    <w:rsid w:val="5DF30202"/>
    <w:rsid w:val="5DF9231F"/>
    <w:rsid w:val="5E007240"/>
    <w:rsid w:val="5E015742"/>
    <w:rsid w:val="5E021200"/>
    <w:rsid w:val="5E0E40DE"/>
    <w:rsid w:val="5E242068"/>
    <w:rsid w:val="5E3F762C"/>
    <w:rsid w:val="5E47584B"/>
    <w:rsid w:val="5E95598A"/>
    <w:rsid w:val="5EA20CD3"/>
    <w:rsid w:val="5EA96045"/>
    <w:rsid w:val="5EC63E15"/>
    <w:rsid w:val="5EDC648C"/>
    <w:rsid w:val="5F0C6F32"/>
    <w:rsid w:val="5F1D028B"/>
    <w:rsid w:val="5F1E158B"/>
    <w:rsid w:val="5F281E50"/>
    <w:rsid w:val="5F2C4044"/>
    <w:rsid w:val="5F2E2567"/>
    <w:rsid w:val="5F4B66D6"/>
    <w:rsid w:val="5F58732E"/>
    <w:rsid w:val="5F9920D6"/>
    <w:rsid w:val="5F993E84"/>
    <w:rsid w:val="5FB41AF3"/>
    <w:rsid w:val="5FC52ECB"/>
    <w:rsid w:val="5FC83906"/>
    <w:rsid w:val="5FD24A33"/>
    <w:rsid w:val="5FED3759"/>
    <w:rsid w:val="5FF27A39"/>
    <w:rsid w:val="6025343B"/>
    <w:rsid w:val="602B4347"/>
    <w:rsid w:val="602E1B5A"/>
    <w:rsid w:val="602F7A1C"/>
    <w:rsid w:val="604858AA"/>
    <w:rsid w:val="604A1752"/>
    <w:rsid w:val="60651E2E"/>
    <w:rsid w:val="60675D31"/>
    <w:rsid w:val="606A2E60"/>
    <w:rsid w:val="606F7EDF"/>
    <w:rsid w:val="60786190"/>
    <w:rsid w:val="60842F80"/>
    <w:rsid w:val="61174A66"/>
    <w:rsid w:val="61467F5F"/>
    <w:rsid w:val="6157593F"/>
    <w:rsid w:val="615D2AE2"/>
    <w:rsid w:val="61785396"/>
    <w:rsid w:val="61A82AA5"/>
    <w:rsid w:val="61CD250B"/>
    <w:rsid w:val="61CD7278"/>
    <w:rsid w:val="62261C1B"/>
    <w:rsid w:val="6229704E"/>
    <w:rsid w:val="6264621F"/>
    <w:rsid w:val="62685A7C"/>
    <w:rsid w:val="629902C0"/>
    <w:rsid w:val="62BB4EB3"/>
    <w:rsid w:val="62D13CD2"/>
    <w:rsid w:val="62EE2739"/>
    <w:rsid w:val="63114B4B"/>
    <w:rsid w:val="63250BED"/>
    <w:rsid w:val="6372766B"/>
    <w:rsid w:val="63B3709F"/>
    <w:rsid w:val="63ED1B3C"/>
    <w:rsid w:val="641E5244"/>
    <w:rsid w:val="641F73BF"/>
    <w:rsid w:val="642C3C79"/>
    <w:rsid w:val="64395952"/>
    <w:rsid w:val="645671AB"/>
    <w:rsid w:val="64616F3B"/>
    <w:rsid w:val="64665A47"/>
    <w:rsid w:val="64722EF6"/>
    <w:rsid w:val="64820575"/>
    <w:rsid w:val="64A646BB"/>
    <w:rsid w:val="64C80D68"/>
    <w:rsid w:val="64DC1FF7"/>
    <w:rsid w:val="653D3504"/>
    <w:rsid w:val="654C75F6"/>
    <w:rsid w:val="6554084E"/>
    <w:rsid w:val="656E190F"/>
    <w:rsid w:val="657F3A60"/>
    <w:rsid w:val="65C7337C"/>
    <w:rsid w:val="65DD1420"/>
    <w:rsid w:val="65F80F47"/>
    <w:rsid w:val="66083B12"/>
    <w:rsid w:val="66120692"/>
    <w:rsid w:val="66294B6C"/>
    <w:rsid w:val="66296E7C"/>
    <w:rsid w:val="663E3465"/>
    <w:rsid w:val="665C3E5E"/>
    <w:rsid w:val="667C5132"/>
    <w:rsid w:val="66967370"/>
    <w:rsid w:val="66DA6B1E"/>
    <w:rsid w:val="66E856F1"/>
    <w:rsid w:val="66EA1469"/>
    <w:rsid w:val="67307508"/>
    <w:rsid w:val="67363412"/>
    <w:rsid w:val="673E3563"/>
    <w:rsid w:val="675952FD"/>
    <w:rsid w:val="6774176D"/>
    <w:rsid w:val="6778122E"/>
    <w:rsid w:val="679F7AE4"/>
    <w:rsid w:val="67B155B0"/>
    <w:rsid w:val="67B6396A"/>
    <w:rsid w:val="67CD47A8"/>
    <w:rsid w:val="67E1537A"/>
    <w:rsid w:val="680853DA"/>
    <w:rsid w:val="681A32FA"/>
    <w:rsid w:val="684305CC"/>
    <w:rsid w:val="684855A0"/>
    <w:rsid w:val="688A033D"/>
    <w:rsid w:val="68A67B12"/>
    <w:rsid w:val="68A9326B"/>
    <w:rsid w:val="68AA68CB"/>
    <w:rsid w:val="68E91413"/>
    <w:rsid w:val="693115D2"/>
    <w:rsid w:val="693764BC"/>
    <w:rsid w:val="69562DE6"/>
    <w:rsid w:val="69564B94"/>
    <w:rsid w:val="695D620F"/>
    <w:rsid w:val="698E65B1"/>
    <w:rsid w:val="69916D1A"/>
    <w:rsid w:val="69BB2D02"/>
    <w:rsid w:val="69F50060"/>
    <w:rsid w:val="6A4E1D0F"/>
    <w:rsid w:val="6A564E8E"/>
    <w:rsid w:val="6A597DB0"/>
    <w:rsid w:val="6A7C1846"/>
    <w:rsid w:val="6A9774F1"/>
    <w:rsid w:val="6A9863F4"/>
    <w:rsid w:val="6AA638F9"/>
    <w:rsid w:val="6AB54047"/>
    <w:rsid w:val="6ABB2BA8"/>
    <w:rsid w:val="6AC83870"/>
    <w:rsid w:val="6AF86608"/>
    <w:rsid w:val="6AFB66DC"/>
    <w:rsid w:val="6B025744"/>
    <w:rsid w:val="6B061D23"/>
    <w:rsid w:val="6B2F0327"/>
    <w:rsid w:val="6B363AD7"/>
    <w:rsid w:val="6B4C26F3"/>
    <w:rsid w:val="6B686E01"/>
    <w:rsid w:val="6B8425F1"/>
    <w:rsid w:val="6B98396B"/>
    <w:rsid w:val="6BC52540"/>
    <w:rsid w:val="6BFF59B7"/>
    <w:rsid w:val="6C341462"/>
    <w:rsid w:val="6C4922BD"/>
    <w:rsid w:val="6C5C4BB7"/>
    <w:rsid w:val="6C727F37"/>
    <w:rsid w:val="6C7402DA"/>
    <w:rsid w:val="6C7707BD"/>
    <w:rsid w:val="6C7D4B2E"/>
    <w:rsid w:val="6C8B41A1"/>
    <w:rsid w:val="6C8B56E3"/>
    <w:rsid w:val="6CA16F4D"/>
    <w:rsid w:val="6CC158A9"/>
    <w:rsid w:val="6CDF1616"/>
    <w:rsid w:val="6D2D3E5E"/>
    <w:rsid w:val="6D5910F7"/>
    <w:rsid w:val="6D6A6E60"/>
    <w:rsid w:val="6D7A6117"/>
    <w:rsid w:val="6D7B2CD0"/>
    <w:rsid w:val="6D7B2F76"/>
    <w:rsid w:val="6D895481"/>
    <w:rsid w:val="6D8E61F1"/>
    <w:rsid w:val="6DA4006D"/>
    <w:rsid w:val="6DC1343A"/>
    <w:rsid w:val="6DC17AF6"/>
    <w:rsid w:val="6DC24EEE"/>
    <w:rsid w:val="6DD44E29"/>
    <w:rsid w:val="6DDA3A5E"/>
    <w:rsid w:val="6DE45ECC"/>
    <w:rsid w:val="6DEC1F6B"/>
    <w:rsid w:val="6E032E11"/>
    <w:rsid w:val="6E054E72"/>
    <w:rsid w:val="6E4C0EED"/>
    <w:rsid w:val="6E5B18FB"/>
    <w:rsid w:val="6E5D0AC8"/>
    <w:rsid w:val="6E6A16B7"/>
    <w:rsid w:val="6E7E2E43"/>
    <w:rsid w:val="6E965EE2"/>
    <w:rsid w:val="6EA11F65"/>
    <w:rsid w:val="6EA77C40"/>
    <w:rsid w:val="6EC13D6A"/>
    <w:rsid w:val="6EDF2A47"/>
    <w:rsid w:val="6F433206"/>
    <w:rsid w:val="6F47081E"/>
    <w:rsid w:val="6F6B6EC0"/>
    <w:rsid w:val="6F783503"/>
    <w:rsid w:val="6F830805"/>
    <w:rsid w:val="6FA33473"/>
    <w:rsid w:val="7023269E"/>
    <w:rsid w:val="70243BB3"/>
    <w:rsid w:val="702F7D5E"/>
    <w:rsid w:val="70460FEE"/>
    <w:rsid w:val="705E1E1A"/>
    <w:rsid w:val="70761ED4"/>
    <w:rsid w:val="70972930"/>
    <w:rsid w:val="70AC2B86"/>
    <w:rsid w:val="70C6715C"/>
    <w:rsid w:val="714137FB"/>
    <w:rsid w:val="71451B23"/>
    <w:rsid w:val="715144B4"/>
    <w:rsid w:val="7163322D"/>
    <w:rsid w:val="716C614A"/>
    <w:rsid w:val="71772B87"/>
    <w:rsid w:val="7189187F"/>
    <w:rsid w:val="71A07AA1"/>
    <w:rsid w:val="71BE777B"/>
    <w:rsid w:val="71C504AA"/>
    <w:rsid w:val="71F92EA9"/>
    <w:rsid w:val="720E0702"/>
    <w:rsid w:val="721344E8"/>
    <w:rsid w:val="724C4ED7"/>
    <w:rsid w:val="724D3C26"/>
    <w:rsid w:val="72604DDB"/>
    <w:rsid w:val="72807126"/>
    <w:rsid w:val="72864D99"/>
    <w:rsid w:val="728E0759"/>
    <w:rsid w:val="729C5A44"/>
    <w:rsid w:val="730058BB"/>
    <w:rsid w:val="730241D7"/>
    <w:rsid w:val="7311518A"/>
    <w:rsid w:val="7318501D"/>
    <w:rsid w:val="731C6E4F"/>
    <w:rsid w:val="73262097"/>
    <w:rsid w:val="734F1051"/>
    <w:rsid w:val="736F3ACF"/>
    <w:rsid w:val="737E5DC6"/>
    <w:rsid w:val="7388650C"/>
    <w:rsid w:val="74275AAB"/>
    <w:rsid w:val="74381A66"/>
    <w:rsid w:val="743C7FDE"/>
    <w:rsid w:val="743F553E"/>
    <w:rsid w:val="7452064E"/>
    <w:rsid w:val="74742E61"/>
    <w:rsid w:val="74866EE8"/>
    <w:rsid w:val="749874CC"/>
    <w:rsid w:val="74C46829"/>
    <w:rsid w:val="74CC34B0"/>
    <w:rsid w:val="74E064DA"/>
    <w:rsid w:val="750B29B8"/>
    <w:rsid w:val="751F6782"/>
    <w:rsid w:val="75CB690A"/>
    <w:rsid w:val="75D5070A"/>
    <w:rsid w:val="75F0011F"/>
    <w:rsid w:val="760A5684"/>
    <w:rsid w:val="76397D18"/>
    <w:rsid w:val="764865AE"/>
    <w:rsid w:val="764B5A22"/>
    <w:rsid w:val="765C0D05"/>
    <w:rsid w:val="76602C6C"/>
    <w:rsid w:val="766D79C1"/>
    <w:rsid w:val="76B16AD4"/>
    <w:rsid w:val="76BD44A5"/>
    <w:rsid w:val="76BF19AD"/>
    <w:rsid w:val="7720175B"/>
    <w:rsid w:val="772D6C2E"/>
    <w:rsid w:val="77384F0B"/>
    <w:rsid w:val="775E2C2B"/>
    <w:rsid w:val="7770362E"/>
    <w:rsid w:val="77B77F64"/>
    <w:rsid w:val="77BB1834"/>
    <w:rsid w:val="77D10102"/>
    <w:rsid w:val="782EDB21"/>
    <w:rsid w:val="78397C7B"/>
    <w:rsid w:val="784F175E"/>
    <w:rsid w:val="785D3BAC"/>
    <w:rsid w:val="78A02FA0"/>
    <w:rsid w:val="78B5371C"/>
    <w:rsid w:val="78D47723"/>
    <w:rsid w:val="78E21FA1"/>
    <w:rsid w:val="79080B60"/>
    <w:rsid w:val="79142376"/>
    <w:rsid w:val="791C6F52"/>
    <w:rsid w:val="791D327F"/>
    <w:rsid w:val="79515505"/>
    <w:rsid w:val="79647FB4"/>
    <w:rsid w:val="798513DB"/>
    <w:rsid w:val="79A33E26"/>
    <w:rsid w:val="79BA4A61"/>
    <w:rsid w:val="79C913B2"/>
    <w:rsid w:val="7A1B688B"/>
    <w:rsid w:val="7A4007BD"/>
    <w:rsid w:val="7A61505B"/>
    <w:rsid w:val="7A6B246A"/>
    <w:rsid w:val="7AA86067"/>
    <w:rsid w:val="7ADB3D1A"/>
    <w:rsid w:val="7B1235CC"/>
    <w:rsid w:val="7B205002"/>
    <w:rsid w:val="7B3137A6"/>
    <w:rsid w:val="7B4B7ACD"/>
    <w:rsid w:val="7B4F751B"/>
    <w:rsid w:val="7B57638E"/>
    <w:rsid w:val="7B694AFF"/>
    <w:rsid w:val="7B912A5E"/>
    <w:rsid w:val="7B9B0E30"/>
    <w:rsid w:val="7BC260B9"/>
    <w:rsid w:val="7BC73D60"/>
    <w:rsid w:val="7BEF228A"/>
    <w:rsid w:val="7BFF0695"/>
    <w:rsid w:val="7C044924"/>
    <w:rsid w:val="7C0A7918"/>
    <w:rsid w:val="7C120DEF"/>
    <w:rsid w:val="7C13613E"/>
    <w:rsid w:val="7C283298"/>
    <w:rsid w:val="7CD372E6"/>
    <w:rsid w:val="7CDD5BF6"/>
    <w:rsid w:val="7CE47772"/>
    <w:rsid w:val="7CEA3B1A"/>
    <w:rsid w:val="7D09317D"/>
    <w:rsid w:val="7D3F5588"/>
    <w:rsid w:val="7D494CE4"/>
    <w:rsid w:val="7D626810"/>
    <w:rsid w:val="7D657644"/>
    <w:rsid w:val="7D8BD8F8"/>
    <w:rsid w:val="7D921C5C"/>
    <w:rsid w:val="7D9D7A11"/>
    <w:rsid w:val="7DAA3C60"/>
    <w:rsid w:val="7DBF0735"/>
    <w:rsid w:val="7DE44A0D"/>
    <w:rsid w:val="7DE5081A"/>
    <w:rsid w:val="7DEA3972"/>
    <w:rsid w:val="7E264A54"/>
    <w:rsid w:val="7E3A5223"/>
    <w:rsid w:val="7E53749D"/>
    <w:rsid w:val="7E783983"/>
    <w:rsid w:val="7E9332AF"/>
    <w:rsid w:val="7EA803AE"/>
    <w:rsid w:val="7ECD6AE9"/>
    <w:rsid w:val="7ECF1219"/>
    <w:rsid w:val="7F0D1D41"/>
    <w:rsid w:val="7F194F96"/>
    <w:rsid w:val="7F1D657B"/>
    <w:rsid w:val="7F5259A6"/>
    <w:rsid w:val="7F8518D8"/>
    <w:rsid w:val="7F9B45FF"/>
    <w:rsid w:val="7FA02BD3"/>
    <w:rsid w:val="7FAA57E2"/>
    <w:rsid w:val="7FDF5867"/>
    <w:rsid w:val="7FE912DF"/>
    <w:rsid w:val="7FF301DF"/>
    <w:rsid w:val="7FF453E2"/>
    <w:rsid w:val="9BFF09DD"/>
    <w:rsid w:val="AB5E4611"/>
    <w:rsid w:val="ECAF73CD"/>
    <w:rsid w:val="FEDDAB4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0" w:semiHidden="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nhideWhenUsed="0" w:uiPriority="39" w:semiHidden="0" w:name="toc 6"/>
    <w:lsdException w:qFormat="1" w:uiPriority="39" w:semiHidden="0" w:name="toc 7"/>
    <w:lsdException w:qFormat="1" w:uiPriority="39" w:semiHidden="0" w:name="toc 8"/>
    <w:lsdException w:qFormat="1" w:uiPriority="39" w:semiHidden="0" w:name="toc 9"/>
    <w:lsdException w:qFormat="1" w:unhideWhenUsed="0" w:uiPriority="99" w:semiHidden="0" w:name="Normal Indent"/>
    <w:lsdException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qFormat="1" w:unhideWhenUsed="0" w:uiPriority="0" w:semiHidden="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99"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qFormat="1" w:unhideWhenUsed="0" w:uiPriority="0" w:semiHidden="0" w:name="Salutation"/>
    <w:lsdException w:qFormat="1" w:unhideWhenUsed="0" w:uiPriority="99" w:semiHidden="0" w:name="Date"/>
    <w:lsdException w:qFormat="1" w:unhideWhenUsed="0" w:uiPriority="0" w:semiHidden="0" w:name="Body Text First Indent"/>
    <w:lsdException w:qFormat="1" w:unhideWhenUsed="0" w:uiPriority="99" w:semiHidden="0" w:name="Body Text First Indent 2"/>
    <w:lsdException w:uiPriority="0" w:name="Note Heading"/>
    <w:lsdException w:qFormat="1" w:unhideWhenUsed="0" w:uiPriority="99" w:semiHidden="0" w:name="Body Text 2"/>
    <w:lsdException w:uiPriority="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20" w:semiHidden="0" w:name="Emphasis"/>
    <w:lsdException w:qFormat="1" w:unhideWhenUsed="0" w:uiPriority="99" w:name="Document Map"/>
    <w:lsdException w:qFormat="1" w:unhideWhenUsed="0" w:uiPriority="0" w:semiHidden="0" w:name="Plain Text"/>
    <w:lsdException w:uiPriority="0" w:name="E-mail Signature"/>
    <w:lsdException w:qFormat="1" w:unhideWhenUsed="0" w:uiPriority="99" w:semiHidden="0" w:name="Normal (Web)"/>
    <w:lsdException w:uiPriority="0" w:name="HTML Acronym"/>
    <w:lsdException w:uiPriority="0" w:name="HTML Address"/>
    <w:lsdException w:qFormat="1" w:uiPriority="0" w:name="HTML Cite"/>
    <w:lsdException w:qFormat="1" w:uiPriority="0" w:name="HTML Code"/>
    <w:lsdException w:qFormat="1" w:uiPriority="0" w:name="HTML Definition"/>
    <w:lsdException w:qFormat="1" w:uiPriority="0" w:name="HTML Keyboard"/>
    <w:lsdException w:qFormat="1" w:unhideWhenUsed="0" w:uiPriority="99" w:semiHidden="0" w:name="HTML Preformatted"/>
    <w:lsdException w:qFormat="1" w:uiPriority="0" w:name="HTML Sample"/>
    <w:lsdException w:uiPriority="0" w:name="HTML Typewriter"/>
    <w:lsdException w:qFormat="1" w:uiPriority="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spacing w:line="480" w:lineRule="exact"/>
      <w:jc w:val="both"/>
    </w:pPr>
    <w:rPr>
      <w:rFonts w:ascii="Times New Roman" w:hAnsi="Times New Roman" w:eastAsia="宋体" w:cs="Times New Roman"/>
      <w:kern w:val="2"/>
      <w:sz w:val="24"/>
      <w:szCs w:val="24"/>
      <w:lang w:val="en-US" w:eastAsia="zh-CN" w:bidi="ar-SA"/>
    </w:rPr>
  </w:style>
  <w:style w:type="paragraph" w:styleId="3">
    <w:name w:val="heading 1"/>
    <w:basedOn w:val="1"/>
    <w:next w:val="1"/>
    <w:link w:val="94"/>
    <w:autoRedefine/>
    <w:qFormat/>
    <w:uiPriority w:val="99"/>
    <w:pPr>
      <w:keepNext/>
      <w:jc w:val="center"/>
      <w:outlineLvl w:val="0"/>
    </w:pPr>
    <w:rPr>
      <w:b/>
      <w:bCs/>
      <w:sz w:val="24"/>
      <w:szCs w:val="20"/>
    </w:rPr>
  </w:style>
  <w:style w:type="paragraph" w:styleId="4">
    <w:name w:val="heading 2"/>
    <w:basedOn w:val="1"/>
    <w:next w:val="1"/>
    <w:link w:val="95"/>
    <w:autoRedefine/>
    <w:qFormat/>
    <w:uiPriority w:val="0"/>
    <w:pPr>
      <w:keepNext/>
      <w:keepLines/>
      <w:spacing w:line="360" w:lineRule="auto"/>
      <w:outlineLvl w:val="1"/>
    </w:pPr>
    <w:rPr>
      <w:rFonts w:ascii="Arial" w:hAnsi="Arial"/>
      <w:b/>
      <w:bCs/>
      <w:sz w:val="24"/>
      <w:szCs w:val="32"/>
    </w:rPr>
  </w:style>
  <w:style w:type="paragraph" w:styleId="2">
    <w:name w:val="heading 3"/>
    <w:basedOn w:val="1"/>
    <w:next w:val="1"/>
    <w:link w:val="96"/>
    <w:autoRedefine/>
    <w:qFormat/>
    <w:uiPriority w:val="99"/>
    <w:pPr>
      <w:keepNext/>
      <w:keepLines/>
      <w:spacing w:before="260" w:after="260" w:line="416" w:lineRule="auto"/>
      <w:outlineLvl w:val="2"/>
    </w:pPr>
    <w:rPr>
      <w:b/>
      <w:bCs/>
      <w:sz w:val="32"/>
      <w:szCs w:val="32"/>
    </w:rPr>
  </w:style>
  <w:style w:type="paragraph" w:styleId="5">
    <w:name w:val="heading 4"/>
    <w:basedOn w:val="1"/>
    <w:next w:val="1"/>
    <w:link w:val="97"/>
    <w:autoRedefine/>
    <w:qFormat/>
    <w:uiPriority w:val="99"/>
    <w:pPr>
      <w:keepNext/>
      <w:keepLines/>
      <w:spacing w:before="280" w:after="290" w:line="376" w:lineRule="auto"/>
      <w:outlineLvl w:val="3"/>
    </w:pPr>
    <w:rPr>
      <w:rFonts w:ascii="Arial" w:hAnsi="Arial"/>
      <w:b/>
      <w:bCs/>
      <w:sz w:val="28"/>
      <w:szCs w:val="28"/>
    </w:rPr>
  </w:style>
  <w:style w:type="paragraph" w:styleId="6">
    <w:name w:val="heading 5"/>
    <w:basedOn w:val="1"/>
    <w:next w:val="1"/>
    <w:link w:val="98"/>
    <w:autoRedefine/>
    <w:qFormat/>
    <w:uiPriority w:val="99"/>
    <w:pPr>
      <w:keepNext/>
      <w:keepLines/>
      <w:adjustRightInd w:val="0"/>
      <w:spacing w:before="280" w:after="290" w:line="376" w:lineRule="atLeast"/>
      <w:jc w:val="left"/>
      <w:textAlignment w:val="baseline"/>
      <w:outlineLvl w:val="4"/>
    </w:pPr>
    <w:rPr>
      <w:b/>
      <w:bCs/>
      <w:kern w:val="0"/>
      <w:sz w:val="28"/>
      <w:szCs w:val="28"/>
    </w:rPr>
  </w:style>
  <w:style w:type="paragraph" w:styleId="7">
    <w:name w:val="heading 6"/>
    <w:basedOn w:val="1"/>
    <w:next w:val="1"/>
    <w:link w:val="99"/>
    <w:autoRedefine/>
    <w:qFormat/>
    <w:uiPriority w:val="99"/>
    <w:pPr>
      <w:keepNext/>
      <w:keepLines/>
      <w:adjustRightInd w:val="0"/>
      <w:spacing w:before="240" w:after="64" w:line="320" w:lineRule="atLeast"/>
      <w:jc w:val="left"/>
      <w:textAlignment w:val="baseline"/>
      <w:outlineLvl w:val="5"/>
    </w:pPr>
    <w:rPr>
      <w:rFonts w:ascii="Arial" w:hAnsi="Arial" w:eastAsia="黑体"/>
      <w:b/>
      <w:bCs/>
      <w:kern w:val="0"/>
      <w:sz w:val="24"/>
    </w:rPr>
  </w:style>
  <w:style w:type="paragraph" w:styleId="8">
    <w:name w:val="heading 7"/>
    <w:basedOn w:val="1"/>
    <w:next w:val="1"/>
    <w:link w:val="100"/>
    <w:autoRedefine/>
    <w:qFormat/>
    <w:uiPriority w:val="99"/>
    <w:pPr>
      <w:keepNext/>
      <w:keepLines/>
      <w:adjustRightInd w:val="0"/>
      <w:spacing w:before="240" w:after="64" w:line="320" w:lineRule="atLeast"/>
      <w:jc w:val="left"/>
      <w:textAlignment w:val="baseline"/>
      <w:outlineLvl w:val="6"/>
    </w:pPr>
    <w:rPr>
      <w:b/>
      <w:bCs/>
      <w:kern w:val="0"/>
      <w:sz w:val="24"/>
    </w:rPr>
  </w:style>
  <w:style w:type="paragraph" w:styleId="9">
    <w:name w:val="heading 8"/>
    <w:basedOn w:val="1"/>
    <w:next w:val="1"/>
    <w:link w:val="101"/>
    <w:autoRedefine/>
    <w:qFormat/>
    <w:uiPriority w:val="99"/>
    <w:pPr>
      <w:keepNext/>
      <w:keepLines/>
      <w:adjustRightInd w:val="0"/>
      <w:spacing w:before="240" w:after="64" w:line="320" w:lineRule="atLeast"/>
      <w:jc w:val="left"/>
      <w:textAlignment w:val="baseline"/>
      <w:outlineLvl w:val="7"/>
    </w:pPr>
    <w:rPr>
      <w:rFonts w:ascii="Arial" w:hAnsi="Arial" w:eastAsia="黑体"/>
      <w:kern w:val="0"/>
      <w:sz w:val="24"/>
    </w:rPr>
  </w:style>
  <w:style w:type="paragraph" w:styleId="10">
    <w:name w:val="heading 9"/>
    <w:basedOn w:val="1"/>
    <w:next w:val="1"/>
    <w:link w:val="102"/>
    <w:autoRedefine/>
    <w:qFormat/>
    <w:uiPriority w:val="99"/>
    <w:pPr>
      <w:keepNext/>
      <w:keepLines/>
      <w:adjustRightInd w:val="0"/>
      <w:spacing w:before="240" w:after="64" w:line="320" w:lineRule="atLeast"/>
      <w:jc w:val="left"/>
      <w:textAlignment w:val="baseline"/>
      <w:outlineLvl w:val="8"/>
    </w:pPr>
    <w:rPr>
      <w:rFonts w:ascii="Arial" w:hAnsi="Arial" w:eastAsia="黑体"/>
      <w:kern w:val="0"/>
      <w:szCs w:val="21"/>
    </w:r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ind w:left="2520" w:leftChars="1200"/>
    </w:pPr>
    <w:rPr>
      <w:rFonts w:ascii="Calibri" w:hAnsi="Calibri" w:cs="黑体"/>
      <w:szCs w:val="22"/>
    </w:rPr>
  </w:style>
  <w:style w:type="paragraph" w:styleId="12">
    <w:name w:val="Normal Indent"/>
    <w:basedOn w:val="1"/>
    <w:next w:val="13"/>
    <w:link w:val="135"/>
    <w:autoRedefine/>
    <w:qFormat/>
    <w:uiPriority w:val="99"/>
    <w:pPr>
      <w:widowControl/>
      <w:ind w:firstLine="420"/>
      <w:jc w:val="left"/>
    </w:pPr>
    <w:rPr>
      <w:kern w:val="0"/>
      <w:sz w:val="20"/>
      <w:szCs w:val="20"/>
    </w:rPr>
  </w:style>
  <w:style w:type="paragraph" w:customStyle="1" w:styleId="13">
    <w:name w:val="Default"/>
    <w:autoRedefine/>
    <w:qFormat/>
    <w:uiPriority w:val="99"/>
    <w:pPr>
      <w:widowControl w:val="0"/>
      <w:autoSpaceDE w:val="0"/>
      <w:autoSpaceDN w:val="0"/>
      <w:adjustRightInd w:val="0"/>
    </w:pPr>
    <w:rPr>
      <w:rFonts w:ascii="黑体" w:hAnsi="Times New Roman" w:eastAsia="黑体" w:cs="Times New Roman"/>
      <w:lang w:val="en-US" w:eastAsia="zh-CN" w:bidi="ar-SA"/>
    </w:rPr>
  </w:style>
  <w:style w:type="paragraph" w:styleId="14">
    <w:name w:val="caption"/>
    <w:basedOn w:val="1"/>
    <w:next w:val="1"/>
    <w:link w:val="136"/>
    <w:autoRedefine/>
    <w:qFormat/>
    <w:uiPriority w:val="0"/>
    <w:pPr>
      <w:spacing w:before="152" w:afterLines="100" w:line="360" w:lineRule="auto"/>
      <w:ind w:firstLine="200" w:firstLineChars="200"/>
      <w:jc w:val="center"/>
    </w:pPr>
    <w:rPr>
      <w:rFonts w:ascii="Arial" w:hAnsi="Arial" w:cs="Arial"/>
      <w:b/>
      <w:kern w:val="0"/>
      <w:sz w:val="24"/>
      <w:szCs w:val="20"/>
    </w:rPr>
  </w:style>
  <w:style w:type="paragraph" w:styleId="15">
    <w:name w:val="Document Map"/>
    <w:basedOn w:val="1"/>
    <w:link w:val="116"/>
    <w:autoRedefine/>
    <w:semiHidden/>
    <w:qFormat/>
    <w:uiPriority w:val="99"/>
    <w:pPr>
      <w:shd w:val="clear" w:color="auto" w:fill="000080"/>
    </w:pPr>
  </w:style>
  <w:style w:type="paragraph" w:styleId="16">
    <w:name w:val="toa heading"/>
    <w:basedOn w:val="1"/>
    <w:next w:val="1"/>
    <w:autoRedefine/>
    <w:qFormat/>
    <w:uiPriority w:val="0"/>
    <w:rPr>
      <w:rFonts w:ascii="Arial" w:hAnsi="Arial"/>
      <w:sz w:val="24"/>
    </w:rPr>
  </w:style>
  <w:style w:type="paragraph" w:styleId="17">
    <w:name w:val="annotation text"/>
    <w:basedOn w:val="1"/>
    <w:link w:val="108"/>
    <w:autoRedefine/>
    <w:qFormat/>
    <w:uiPriority w:val="99"/>
    <w:pPr>
      <w:jc w:val="left"/>
    </w:pPr>
  </w:style>
  <w:style w:type="paragraph" w:styleId="18">
    <w:name w:val="Salutation"/>
    <w:basedOn w:val="1"/>
    <w:next w:val="1"/>
    <w:link w:val="110"/>
    <w:autoRedefine/>
    <w:qFormat/>
    <w:uiPriority w:val="0"/>
    <w:rPr>
      <w:rFonts w:ascii="仿宋_GB2312" w:eastAsia="仿宋_GB2312"/>
      <w:sz w:val="24"/>
    </w:rPr>
  </w:style>
  <w:style w:type="paragraph" w:styleId="19">
    <w:name w:val="Body Text"/>
    <w:basedOn w:val="1"/>
    <w:link w:val="103"/>
    <w:autoRedefine/>
    <w:qFormat/>
    <w:uiPriority w:val="99"/>
    <w:pPr>
      <w:spacing w:after="120"/>
    </w:pPr>
  </w:style>
  <w:style w:type="paragraph" w:styleId="20">
    <w:name w:val="Body Text Indent"/>
    <w:basedOn w:val="1"/>
    <w:next w:val="21"/>
    <w:link w:val="106"/>
    <w:autoRedefine/>
    <w:qFormat/>
    <w:uiPriority w:val="99"/>
    <w:pPr>
      <w:spacing w:after="120"/>
      <w:ind w:left="420" w:leftChars="200"/>
    </w:pPr>
  </w:style>
  <w:style w:type="paragraph" w:styleId="21">
    <w:name w:val="Body Text Indent 2"/>
    <w:basedOn w:val="1"/>
    <w:link w:val="112"/>
    <w:autoRedefine/>
    <w:qFormat/>
    <w:uiPriority w:val="0"/>
    <w:pPr>
      <w:spacing w:after="120" w:line="480" w:lineRule="auto"/>
      <w:ind w:left="420" w:leftChars="200"/>
    </w:pPr>
  </w:style>
  <w:style w:type="paragraph" w:styleId="22">
    <w:name w:val="Block Text"/>
    <w:basedOn w:val="1"/>
    <w:autoRedefine/>
    <w:qFormat/>
    <w:uiPriority w:val="0"/>
    <w:pPr>
      <w:ind w:left="1171" w:right="91" w:hanging="1080"/>
    </w:pPr>
    <w:rPr>
      <w:rFonts w:eastAsia="楷体_GB2312"/>
      <w:szCs w:val="20"/>
    </w:rPr>
  </w:style>
  <w:style w:type="paragraph" w:styleId="23">
    <w:name w:val="toc 5"/>
    <w:basedOn w:val="1"/>
    <w:next w:val="1"/>
    <w:autoRedefine/>
    <w:unhideWhenUsed/>
    <w:qFormat/>
    <w:uiPriority w:val="39"/>
    <w:pPr>
      <w:ind w:left="1680" w:leftChars="800"/>
    </w:pPr>
    <w:rPr>
      <w:rFonts w:ascii="Calibri" w:hAnsi="Calibri" w:cs="黑体"/>
      <w:szCs w:val="22"/>
    </w:rPr>
  </w:style>
  <w:style w:type="paragraph" w:styleId="24">
    <w:name w:val="toc 3"/>
    <w:basedOn w:val="1"/>
    <w:next w:val="1"/>
    <w:autoRedefine/>
    <w:unhideWhenUsed/>
    <w:qFormat/>
    <w:uiPriority w:val="39"/>
    <w:pPr>
      <w:adjustRightInd w:val="0"/>
      <w:snapToGrid w:val="0"/>
      <w:spacing w:line="360" w:lineRule="auto"/>
      <w:ind w:left="400" w:leftChars="400"/>
    </w:pPr>
    <w:rPr>
      <w:b/>
    </w:rPr>
  </w:style>
  <w:style w:type="paragraph" w:styleId="25">
    <w:name w:val="Plain Text"/>
    <w:basedOn w:val="1"/>
    <w:link w:val="107"/>
    <w:autoRedefine/>
    <w:qFormat/>
    <w:uiPriority w:val="0"/>
    <w:rPr>
      <w:rFonts w:ascii="宋体" w:hAnsi="Courier New" w:cs="Courier New"/>
      <w:szCs w:val="21"/>
    </w:rPr>
  </w:style>
  <w:style w:type="paragraph" w:styleId="26">
    <w:name w:val="toc 8"/>
    <w:basedOn w:val="1"/>
    <w:next w:val="1"/>
    <w:autoRedefine/>
    <w:unhideWhenUsed/>
    <w:qFormat/>
    <w:uiPriority w:val="39"/>
    <w:pPr>
      <w:ind w:left="2940" w:leftChars="1400"/>
    </w:pPr>
    <w:rPr>
      <w:rFonts w:ascii="Calibri" w:hAnsi="Calibri" w:cs="黑体"/>
      <w:szCs w:val="22"/>
    </w:rPr>
  </w:style>
  <w:style w:type="paragraph" w:styleId="27">
    <w:name w:val="Date"/>
    <w:basedOn w:val="1"/>
    <w:next w:val="1"/>
    <w:link w:val="114"/>
    <w:autoRedefine/>
    <w:qFormat/>
    <w:uiPriority w:val="99"/>
    <w:rPr>
      <w:sz w:val="24"/>
      <w:szCs w:val="20"/>
    </w:rPr>
  </w:style>
  <w:style w:type="paragraph" w:styleId="28">
    <w:name w:val="Balloon Text"/>
    <w:basedOn w:val="1"/>
    <w:link w:val="118"/>
    <w:autoRedefine/>
    <w:qFormat/>
    <w:uiPriority w:val="99"/>
    <w:rPr>
      <w:sz w:val="18"/>
      <w:szCs w:val="18"/>
    </w:rPr>
  </w:style>
  <w:style w:type="paragraph" w:styleId="29">
    <w:name w:val="footer"/>
    <w:basedOn w:val="1"/>
    <w:link w:val="104"/>
    <w:autoRedefine/>
    <w:qFormat/>
    <w:uiPriority w:val="0"/>
    <w:pPr>
      <w:tabs>
        <w:tab w:val="center" w:pos="4153"/>
        <w:tab w:val="right" w:pos="8306"/>
      </w:tabs>
      <w:snapToGrid w:val="0"/>
      <w:jc w:val="left"/>
    </w:pPr>
    <w:rPr>
      <w:sz w:val="18"/>
      <w:szCs w:val="18"/>
    </w:rPr>
  </w:style>
  <w:style w:type="paragraph" w:styleId="30">
    <w:name w:val="header"/>
    <w:basedOn w:val="1"/>
    <w:link w:val="105"/>
    <w:autoRedefine/>
    <w:qFormat/>
    <w:uiPriority w:val="0"/>
    <w:pPr>
      <w:pBdr>
        <w:bottom w:val="single" w:color="auto" w:sz="6" w:space="1"/>
      </w:pBdr>
      <w:tabs>
        <w:tab w:val="center" w:pos="4153"/>
        <w:tab w:val="right" w:pos="8306"/>
      </w:tabs>
      <w:snapToGrid w:val="0"/>
      <w:jc w:val="center"/>
    </w:pPr>
    <w:rPr>
      <w:sz w:val="18"/>
      <w:szCs w:val="18"/>
    </w:rPr>
  </w:style>
  <w:style w:type="paragraph" w:styleId="31">
    <w:name w:val="toc 1"/>
    <w:basedOn w:val="1"/>
    <w:next w:val="1"/>
    <w:autoRedefine/>
    <w:qFormat/>
    <w:uiPriority w:val="39"/>
    <w:pPr>
      <w:spacing w:line="360" w:lineRule="auto"/>
    </w:pPr>
    <w:rPr>
      <w:rFonts w:ascii="宋体" w:hAnsi="宋体"/>
      <w:b/>
      <w:sz w:val="24"/>
      <w:szCs w:val="21"/>
    </w:rPr>
  </w:style>
  <w:style w:type="paragraph" w:styleId="32">
    <w:name w:val="toc 4"/>
    <w:basedOn w:val="1"/>
    <w:next w:val="1"/>
    <w:autoRedefine/>
    <w:unhideWhenUsed/>
    <w:qFormat/>
    <w:uiPriority w:val="39"/>
    <w:pPr>
      <w:adjustRightInd w:val="0"/>
      <w:snapToGrid w:val="0"/>
      <w:spacing w:line="360" w:lineRule="auto"/>
      <w:ind w:left="600" w:leftChars="600"/>
    </w:pPr>
    <w:rPr>
      <w:rFonts w:ascii="Calibri" w:hAnsi="Calibri" w:cs="宋体"/>
      <w:b/>
      <w:szCs w:val="22"/>
    </w:rPr>
  </w:style>
  <w:style w:type="paragraph" w:styleId="33">
    <w:name w:val="toc 6"/>
    <w:basedOn w:val="1"/>
    <w:next w:val="1"/>
    <w:autoRedefine/>
    <w:qFormat/>
    <w:uiPriority w:val="39"/>
    <w:pPr>
      <w:ind w:left="2100"/>
    </w:pPr>
    <w:rPr>
      <w:szCs w:val="20"/>
    </w:rPr>
  </w:style>
  <w:style w:type="paragraph" w:styleId="34">
    <w:name w:val="Body Text Indent 3"/>
    <w:basedOn w:val="1"/>
    <w:link w:val="113"/>
    <w:autoRedefine/>
    <w:qFormat/>
    <w:uiPriority w:val="0"/>
    <w:pPr>
      <w:spacing w:after="120"/>
      <w:ind w:left="420" w:leftChars="200"/>
    </w:pPr>
    <w:rPr>
      <w:sz w:val="16"/>
      <w:szCs w:val="16"/>
    </w:rPr>
  </w:style>
  <w:style w:type="paragraph" w:styleId="35">
    <w:name w:val="toc 2"/>
    <w:basedOn w:val="1"/>
    <w:next w:val="1"/>
    <w:autoRedefine/>
    <w:unhideWhenUsed/>
    <w:qFormat/>
    <w:uiPriority w:val="39"/>
    <w:pPr>
      <w:spacing w:line="360" w:lineRule="auto"/>
      <w:ind w:left="200" w:leftChars="200"/>
    </w:pPr>
    <w:rPr>
      <w:b/>
    </w:rPr>
  </w:style>
  <w:style w:type="paragraph" w:styleId="36">
    <w:name w:val="toc 9"/>
    <w:basedOn w:val="1"/>
    <w:next w:val="1"/>
    <w:autoRedefine/>
    <w:unhideWhenUsed/>
    <w:qFormat/>
    <w:uiPriority w:val="39"/>
    <w:pPr>
      <w:ind w:left="3360" w:leftChars="1600"/>
    </w:pPr>
    <w:rPr>
      <w:rFonts w:ascii="Calibri" w:hAnsi="Calibri" w:cs="黑体"/>
      <w:szCs w:val="22"/>
    </w:rPr>
  </w:style>
  <w:style w:type="paragraph" w:styleId="37">
    <w:name w:val="Body Text 2"/>
    <w:basedOn w:val="1"/>
    <w:next w:val="19"/>
    <w:link w:val="111"/>
    <w:autoRedefine/>
    <w:qFormat/>
    <w:uiPriority w:val="99"/>
    <w:pPr>
      <w:spacing w:after="120" w:line="480" w:lineRule="auto"/>
    </w:pPr>
  </w:style>
  <w:style w:type="paragraph" w:styleId="38">
    <w:name w:val="HTML Preformatted"/>
    <w:basedOn w:val="1"/>
    <w:link w:val="109"/>
    <w:autoRedefine/>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paragraph" w:styleId="39">
    <w:name w:val="Normal (Web)"/>
    <w:basedOn w:val="1"/>
    <w:autoRedefine/>
    <w:qFormat/>
    <w:uiPriority w:val="99"/>
    <w:pPr>
      <w:widowControl/>
      <w:spacing w:before="100" w:beforeAutospacing="1" w:after="100" w:afterAutospacing="1"/>
      <w:jc w:val="left"/>
    </w:pPr>
    <w:rPr>
      <w:rFonts w:ascii="宋体" w:hAnsi="宋体" w:cs="宋体"/>
      <w:kern w:val="0"/>
      <w:sz w:val="24"/>
    </w:rPr>
  </w:style>
  <w:style w:type="paragraph" w:styleId="40">
    <w:name w:val="index 1"/>
    <w:basedOn w:val="1"/>
    <w:next w:val="1"/>
    <w:autoRedefine/>
    <w:qFormat/>
    <w:uiPriority w:val="0"/>
    <w:pPr>
      <w:spacing w:line="220" w:lineRule="exact"/>
      <w:jc w:val="center"/>
    </w:pPr>
    <w:rPr>
      <w:rFonts w:ascii="仿宋_GB2312" w:eastAsia="仿宋_GB2312"/>
      <w:szCs w:val="20"/>
    </w:rPr>
  </w:style>
  <w:style w:type="paragraph" w:styleId="41">
    <w:name w:val="Title"/>
    <w:basedOn w:val="1"/>
    <w:next w:val="1"/>
    <w:link w:val="124"/>
    <w:autoRedefine/>
    <w:qFormat/>
    <w:uiPriority w:val="99"/>
    <w:pPr>
      <w:jc w:val="center"/>
      <w:outlineLvl w:val="0"/>
    </w:pPr>
    <w:rPr>
      <w:rFonts w:ascii="Calibri" w:hAnsi="Calibri" w:cs="黑体"/>
      <w:b/>
      <w:sz w:val="32"/>
      <w:szCs w:val="22"/>
    </w:rPr>
  </w:style>
  <w:style w:type="paragraph" w:styleId="42">
    <w:name w:val="annotation subject"/>
    <w:basedOn w:val="17"/>
    <w:next w:val="17"/>
    <w:link w:val="117"/>
    <w:autoRedefine/>
    <w:qFormat/>
    <w:uiPriority w:val="99"/>
    <w:rPr>
      <w:b/>
      <w:bCs/>
    </w:rPr>
  </w:style>
  <w:style w:type="paragraph" w:styleId="43">
    <w:name w:val="Body Text First Indent"/>
    <w:basedOn w:val="19"/>
    <w:autoRedefine/>
    <w:qFormat/>
    <w:uiPriority w:val="0"/>
    <w:pPr>
      <w:adjustRightInd w:val="0"/>
      <w:ind w:firstLine="425"/>
      <w:textAlignment w:val="baseline"/>
    </w:pPr>
    <w:rPr>
      <w:kern w:val="0"/>
      <w:szCs w:val="20"/>
    </w:rPr>
  </w:style>
  <w:style w:type="paragraph" w:styleId="44">
    <w:name w:val="Body Text First Indent 2"/>
    <w:basedOn w:val="20"/>
    <w:next w:val="12"/>
    <w:link w:val="198"/>
    <w:autoRedefine/>
    <w:qFormat/>
    <w:uiPriority w:val="99"/>
    <w:pPr>
      <w:ind w:firstLine="420" w:firstLineChars="200"/>
    </w:pPr>
  </w:style>
  <w:style w:type="table" w:styleId="46">
    <w:name w:val="Table Grid"/>
    <w:basedOn w:val="45"/>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8">
    <w:name w:val="Strong"/>
    <w:autoRedefine/>
    <w:qFormat/>
    <w:uiPriority w:val="99"/>
    <w:rPr>
      <w:b/>
      <w:bCs/>
    </w:rPr>
  </w:style>
  <w:style w:type="character" w:styleId="49">
    <w:name w:val="page number"/>
    <w:basedOn w:val="47"/>
    <w:autoRedefine/>
    <w:qFormat/>
    <w:uiPriority w:val="99"/>
  </w:style>
  <w:style w:type="character" w:styleId="50">
    <w:name w:val="FollowedHyperlink"/>
    <w:basedOn w:val="47"/>
    <w:autoRedefine/>
    <w:qFormat/>
    <w:uiPriority w:val="99"/>
    <w:rPr>
      <w:color w:val="333333"/>
      <w:u w:val="none"/>
    </w:rPr>
  </w:style>
  <w:style w:type="character" w:styleId="51">
    <w:name w:val="Emphasis"/>
    <w:basedOn w:val="47"/>
    <w:autoRedefine/>
    <w:qFormat/>
    <w:uiPriority w:val="20"/>
  </w:style>
  <w:style w:type="character" w:styleId="52">
    <w:name w:val="HTML Definition"/>
    <w:basedOn w:val="47"/>
    <w:autoRedefine/>
    <w:semiHidden/>
    <w:unhideWhenUsed/>
    <w:qFormat/>
    <w:uiPriority w:val="0"/>
  </w:style>
  <w:style w:type="character" w:styleId="53">
    <w:name w:val="HTML Variable"/>
    <w:basedOn w:val="47"/>
    <w:autoRedefine/>
    <w:semiHidden/>
    <w:unhideWhenUsed/>
    <w:qFormat/>
    <w:uiPriority w:val="0"/>
  </w:style>
  <w:style w:type="character" w:styleId="54">
    <w:name w:val="Hyperlink"/>
    <w:basedOn w:val="47"/>
    <w:autoRedefine/>
    <w:qFormat/>
    <w:uiPriority w:val="99"/>
    <w:rPr>
      <w:color w:val="136EC2"/>
      <w:u w:val="single"/>
    </w:rPr>
  </w:style>
  <w:style w:type="character" w:styleId="55">
    <w:name w:val="HTML Code"/>
    <w:basedOn w:val="47"/>
    <w:autoRedefine/>
    <w:semiHidden/>
    <w:unhideWhenUsed/>
    <w:qFormat/>
    <w:uiPriority w:val="0"/>
    <w:rPr>
      <w:rFonts w:hint="default" w:ascii="Consolas" w:hAnsi="Consolas" w:eastAsia="Consolas" w:cs="Consolas"/>
      <w:color w:val="C7254E"/>
      <w:sz w:val="21"/>
      <w:szCs w:val="21"/>
      <w:shd w:val="clear" w:color="auto" w:fill="F9F2F4"/>
    </w:rPr>
  </w:style>
  <w:style w:type="character" w:styleId="56">
    <w:name w:val="annotation reference"/>
    <w:autoRedefine/>
    <w:qFormat/>
    <w:uiPriority w:val="99"/>
    <w:rPr>
      <w:sz w:val="21"/>
      <w:szCs w:val="21"/>
    </w:rPr>
  </w:style>
  <w:style w:type="character" w:styleId="57">
    <w:name w:val="HTML Cite"/>
    <w:basedOn w:val="47"/>
    <w:autoRedefine/>
    <w:semiHidden/>
    <w:unhideWhenUsed/>
    <w:qFormat/>
    <w:uiPriority w:val="0"/>
  </w:style>
  <w:style w:type="character" w:styleId="58">
    <w:name w:val="HTML Keyboard"/>
    <w:basedOn w:val="47"/>
    <w:autoRedefine/>
    <w:semiHidden/>
    <w:unhideWhenUsed/>
    <w:qFormat/>
    <w:uiPriority w:val="0"/>
    <w:rPr>
      <w:rFonts w:hint="default" w:ascii="Consolas" w:hAnsi="Consolas" w:eastAsia="Consolas" w:cs="Consolas"/>
      <w:color w:val="FFFFFF"/>
      <w:sz w:val="21"/>
      <w:szCs w:val="21"/>
      <w:shd w:val="clear" w:color="auto" w:fill="333333"/>
    </w:rPr>
  </w:style>
  <w:style w:type="character" w:styleId="59">
    <w:name w:val="HTML Sample"/>
    <w:basedOn w:val="47"/>
    <w:autoRedefine/>
    <w:semiHidden/>
    <w:unhideWhenUsed/>
    <w:qFormat/>
    <w:uiPriority w:val="0"/>
    <w:rPr>
      <w:rFonts w:ascii="Consolas" w:hAnsi="Consolas" w:eastAsia="Consolas" w:cs="Consolas"/>
      <w:sz w:val="21"/>
      <w:szCs w:val="21"/>
    </w:rPr>
  </w:style>
  <w:style w:type="paragraph" w:styleId="60">
    <w:name w:val="Intense Quote"/>
    <w:next w:val="1"/>
    <w:autoRedefine/>
    <w:qFormat/>
    <w:uiPriority w:val="0"/>
    <w:pPr>
      <w:wordWrap w:val="0"/>
      <w:spacing w:before="360" w:after="360"/>
      <w:ind w:left="950" w:right="950"/>
      <w:jc w:val="center"/>
    </w:pPr>
    <w:rPr>
      <w:rFonts w:ascii="Times New Roman" w:hAnsi="Times New Roman" w:eastAsia="宋体" w:cs="Times New Roman"/>
      <w:i/>
      <w:sz w:val="21"/>
      <w:lang w:val="en-US" w:eastAsia="zh-CN" w:bidi="ar-SA"/>
    </w:rPr>
  </w:style>
  <w:style w:type="paragraph" w:customStyle="1" w:styleId="61">
    <w:name w:val="UserStyle_0"/>
    <w:basedOn w:val="1"/>
    <w:autoRedefine/>
    <w:qFormat/>
    <w:uiPriority w:val="0"/>
    <w:pPr>
      <w:ind w:firstLine="420" w:firstLineChars="200"/>
      <w:textAlignment w:val="baseline"/>
    </w:pPr>
    <w:rPr>
      <w:szCs w:val="22"/>
    </w:rPr>
  </w:style>
  <w:style w:type="paragraph" w:customStyle="1" w:styleId="62">
    <w:name w:val="页脚1"/>
    <w:basedOn w:val="1"/>
    <w:autoRedefine/>
    <w:qFormat/>
    <w:uiPriority w:val="0"/>
    <w:pPr>
      <w:tabs>
        <w:tab w:val="center" w:pos="4153"/>
        <w:tab w:val="right" w:pos="8306"/>
      </w:tabs>
      <w:snapToGrid w:val="0"/>
      <w:jc w:val="left"/>
    </w:pPr>
    <w:rPr>
      <w:sz w:val="18"/>
      <w:szCs w:val="18"/>
    </w:rPr>
  </w:style>
  <w:style w:type="paragraph" w:customStyle="1" w:styleId="63">
    <w:name w:val="列出段落1"/>
    <w:basedOn w:val="64"/>
    <w:link w:val="123"/>
    <w:autoRedefine/>
    <w:qFormat/>
    <w:uiPriority w:val="99"/>
    <w:pPr>
      <w:ind w:firstLine="420" w:firstLineChars="200"/>
    </w:pPr>
  </w:style>
  <w:style w:type="paragraph" w:customStyle="1" w:styleId="64">
    <w:name w:val="正文1"/>
    <w:next w:val="65"/>
    <w:autoRedefine/>
    <w:qFormat/>
    <w:uiPriority w:val="0"/>
    <w:pPr>
      <w:widowControl w:val="0"/>
      <w:jc w:val="both"/>
    </w:pPr>
    <w:rPr>
      <w:rFonts w:hint="default" w:ascii="Times New Roman" w:hAnsi="Times New Roman" w:eastAsia="宋体" w:cs="Times New Roman"/>
      <w:sz w:val="21"/>
      <w:szCs w:val="24"/>
      <w:lang w:val="en-US" w:eastAsia="zh-CN" w:bidi="ar-SA"/>
    </w:rPr>
  </w:style>
  <w:style w:type="paragraph" w:customStyle="1" w:styleId="65">
    <w:name w:val="脚注文本1"/>
    <w:basedOn w:val="64"/>
    <w:next w:val="66"/>
    <w:autoRedefine/>
    <w:qFormat/>
    <w:uiPriority w:val="0"/>
    <w:pPr>
      <w:jc w:val="left"/>
    </w:pPr>
    <w:rPr>
      <w:rFonts w:ascii="宋体" w:eastAsia="Times New Roman"/>
      <w:sz w:val="18"/>
      <w:szCs w:val="18"/>
    </w:rPr>
  </w:style>
  <w:style w:type="paragraph" w:customStyle="1" w:styleId="66">
    <w:name w:val="索引 51"/>
    <w:basedOn w:val="64"/>
    <w:next w:val="64"/>
    <w:autoRedefine/>
    <w:qFormat/>
    <w:uiPriority w:val="0"/>
    <w:pPr>
      <w:ind w:left="798"/>
      <w:jc w:val="left"/>
    </w:pPr>
    <w:rPr>
      <w:rFonts w:ascii="Calibri" w:hAnsi="Calibri"/>
    </w:rPr>
  </w:style>
  <w:style w:type="paragraph" w:customStyle="1" w:styleId="67">
    <w:name w:val="正文_4"/>
    <w:next w:val="68"/>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68">
    <w:name w:val="正文文本_4"/>
    <w:basedOn w:val="67"/>
    <w:autoRedefine/>
    <w:qFormat/>
    <w:uiPriority w:val="0"/>
    <w:pPr>
      <w:spacing w:after="120"/>
    </w:pPr>
  </w:style>
  <w:style w:type="paragraph" w:customStyle="1" w:styleId="69">
    <w:name w:val="表格内容"/>
    <w:basedOn w:val="19"/>
    <w:autoRedefine/>
    <w:qFormat/>
    <w:uiPriority w:val="0"/>
    <w:pPr>
      <w:suppressLineNumbers/>
      <w:suppressAutoHyphens/>
      <w:jc w:val="left"/>
    </w:pPr>
    <w:rPr>
      <w:rFonts w:cs="Tahoma"/>
      <w:kern w:val="0"/>
      <w:sz w:val="24"/>
    </w:rPr>
  </w:style>
  <w:style w:type="paragraph" w:customStyle="1" w:styleId="70">
    <w:name w:val="Char Char Char Char Char Char Char"/>
    <w:basedOn w:val="1"/>
    <w:autoRedefine/>
    <w:qFormat/>
    <w:uiPriority w:val="0"/>
    <w:pPr>
      <w:snapToGrid w:val="0"/>
      <w:spacing w:line="360" w:lineRule="auto"/>
      <w:ind w:firstLine="200" w:firstLineChars="200"/>
    </w:pPr>
    <w:rPr>
      <w:rFonts w:eastAsia="仿宋_GB2312"/>
      <w:sz w:val="24"/>
    </w:rPr>
  </w:style>
  <w:style w:type="paragraph" w:customStyle="1" w:styleId="71">
    <w:name w:val="Char Char Char Char Char Char Char1"/>
    <w:basedOn w:val="1"/>
    <w:autoRedefine/>
    <w:qFormat/>
    <w:uiPriority w:val="0"/>
    <w:pPr>
      <w:snapToGrid w:val="0"/>
      <w:spacing w:line="360" w:lineRule="auto"/>
      <w:ind w:firstLine="200" w:firstLineChars="200"/>
    </w:pPr>
    <w:rPr>
      <w:rFonts w:eastAsia="仿宋_GB2312"/>
      <w:sz w:val="24"/>
    </w:rPr>
  </w:style>
  <w:style w:type="paragraph" w:customStyle="1" w:styleId="72">
    <w:name w:val="Char Char Char"/>
    <w:basedOn w:val="1"/>
    <w:autoRedefine/>
    <w:qFormat/>
    <w:uiPriority w:val="0"/>
    <w:rPr>
      <w:rFonts w:ascii="宋体" w:hAnsi="宋体"/>
      <w:b/>
      <w:sz w:val="28"/>
      <w:szCs w:val="28"/>
    </w:rPr>
  </w:style>
  <w:style w:type="paragraph" w:customStyle="1" w:styleId="73">
    <w:name w:val="Char Char1 Char Char Char Char Char Char Char Char Char Char Char Char Char Char Char"/>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74">
    <w:name w:val="Char"/>
    <w:basedOn w:val="1"/>
    <w:autoRedefine/>
    <w:qFormat/>
    <w:uiPriority w:val="0"/>
    <w:pPr>
      <w:tabs>
        <w:tab w:val="left" w:pos="360"/>
      </w:tabs>
      <w:ind w:left="360" w:hanging="360" w:hangingChars="200"/>
    </w:pPr>
    <w:rPr>
      <w:sz w:val="24"/>
    </w:rPr>
  </w:style>
  <w:style w:type="paragraph" w:customStyle="1" w:styleId="75">
    <w:name w:val="样式1"/>
    <w:basedOn w:val="1"/>
    <w:link w:val="126"/>
    <w:autoRedefine/>
    <w:qFormat/>
    <w:uiPriority w:val="0"/>
    <w:pPr>
      <w:tabs>
        <w:tab w:val="left" w:pos="360"/>
      </w:tabs>
      <w:adjustRightInd w:val="0"/>
      <w:ind w:left="360" w:hanging="360"/>
      <w:textAlignment w:val="baseline"/>
    </w:pPr>
    <w:rPr>
      <w:rFonts w:ascii="宋体" w:hAnsi="宋体"/>
      <w:kern w:val="0"/>
      <w:szCs w:val="21"/>
    </w:rPr>
  </w:style>
  <w:style w:type="paragraph" w:customStyle="1" w:styleId="76">
    <w:name w:val="p0"/>
    <w:basedOn w:val="1"/>
    <w:link w:val="115"/>
    <w:autoRedefine/>
    <w:qFormat/>
    <w:uiPriority w:val="0"/>
    <w:pPr>
      <w:widowControl/>
    </w:pPr>
    <w:rPr>
      <w:rFonts w:ascii="Calibri" w:hAnsi="Calibri" w:cs="黑体"/>
      <w:szCs w:val="21"/>
    </w:rPr>
  </w:style>
  <w:style w:type="paragraph" w:customStyle="1" w:styleId="77">
    <w:name w:val="Char1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78">
    <w:name w:val="Char Char1 Char Char Char Char Char1 Char Char Char Char"/>
    <w:basedOn w:val="15"/>
    <w:autoRedefine/>
    <w:qFormat/>
    <w:uiPriority w:val="0"/>
    <w:rPr>
      <w:rFonts w:ascii="Tahoma" w:hAnsi="Tahoma"/>
    </w:rPr>
  </w:style>
  <w:style w:type="paragraph" w:customStyle="1" w:styleId="79">
    <w:name w:val="样式 样式 样式 样式 标题 2 + 宋体 五号 非加粗 黑色 + 段前: 6 磅 段后: 0 磅 行距: 单倍行距 + 段前:..."/>
    <w:basedOn w:val="1"/>
    <w:autoRedefine/>
    <w:qFormat/>
    <w:uiPriority w:val="0"/>
    <w:pPr>
      <w:keepNext/>
      <w:keepLines/>
      <w:tabs>
        <w:tab w:val="left" w:pos="840"/>
      </w:tabs>
      <w:adjustRightInd w:val="0"/>
      <w:spacing w:before="240"/>
      <w:ind w:left="840" w:hanging="420"/>
      <w:jc w:val="left"/>
      <w:textAlignment w:val="baseline"/>
      <w:outlineLvl w:val="1"/>
    </w:pPr>
    <w:rPr>
      <w:rFonts w:ascii="宋体" w:hAnsi="宋体"/>
      <w:b/>
      <w:bCs/>
      <w:color w:val="000000"/>
      <w:kern w:val="0"/>
      <w:szCs w:val="20"/>
    </w:rPr>
  </w:style>
  <w:style w:type="paragraph" w:customStyle="1" w:styleId="80">
    <w:name w:val="Char1"/>
    <w:basedOn w:val="1"/>
    <w:autoRedefine/>
    <w:qFormat/>
    <w:uiPriority w:val="0"/>
    <w:pPr>
      <w:widowControl/>
      <w:spacing w:after="160" w:line="240" w:lineRule="exact"/>
      <w:jc w:val="left"/>
    </w:pPr>
    <w:rPr>
      <w:rFonts w:ascii="Verdana" w:hAnsi="Verdana"/>
      <w:kern w:val="0"/>
      <w:sz w:val="20"/>
      <w:szCs w:val="20"/>
      <w:lang w:eastAsia="en-US"/>
    </w:rPr>
  </w:style>
  <w:style w:type="paragraph" w:customStyle="1" w:styleId="81">
    <w:name w:val="1"/>
    <w:basedOn w:val="1"/>
    <w:autoRedefine/>
    <w:qFormat/>
    <w:uiPriority w:val="0"/>
    <w:pPr>
      <w:spacing w:afterLines="50" w:line="360" w:lineRule="auto"/>
    </w:pPr>
    <w:rPr>
      <w:rFonts w:ascii="宋体" w:hAnsi="宋体"/>
      <w:b/>
      <w:sz w:val="30"/>
      <w:szCs w:val="21"/>
    </w:rPr>
  </w:style>
  <w:style w:type="paragraph" w:customStyle="1" w:styleId="82">
    <w:name w:val="样式 标题 2 + 宋体 五号 行距: 单倍行距"/>
    <w:basedOn w:val="4"/>
    <w:autoRedefine/>
    <w:qFormat/>
    <w:uiPriority w:val="0"/>
    <w:pPr>
      <w:tabs>
        <w:tab w:val="left" w:pos="2175"/>
      </w:tabs>
      <w:adjustRightInd w:val="0"/>
      <w:spacing w:before="260" w:after="260" w:line="240" w:lineRule="auto"/>
      <w:ind w:left="2175" w:hanging="1275"/>
      <w:jc w:val="left"/>
      <w:textAlignment w:val="baseline"/>
    </w:pPr>
    <w:rPr>
      <w:rFonts w:ascii="宋体" w:hAnsi="宋体"/>
      <w:kern w:val="0"/>
      <w:sz w:val="21"/>
      <w:szCs w:val="20"/>
    </w:rPr>
  </w:style>
  <w:style w:type="paragraph" w:customStyle="1" w:styleId="83">
    <w:name w:val="标题 1 +"/>
    <w:basedOn w:val="3"/>
    <w:next w:val="1"/>
    <w:autoRedefine/>
    <w:qFormat/>
    <w:uiPriority w:val="0"/>
    <w:pPr>
      <w:keepLines/>
      <w:spacing w:line="600" w:lineRule="auto"/>
    </w:pPr>
    <w:rPr>
      <w:rFonts w:eastAsia="黑体"/>
      <w:kern w:val="0"/>
      <w:sz w:val="32"/>
      <w:szCs w:val="32"/>
    </w:rPr>
  </w:style>
  <w:style w:type="paragraph" w:customStyle="1" w:styleId="84">
    <w:name w:val="样式 标题 2 + Times New Roman 四号 非加粗 段前: 5 磅 段后: 0 磅 行距: 固定值 20..."/>
    <w:basedOn w:val="4"/>
    <w:autoRedefine/>
    <w:qFormat/>
    <w:uiPriority w:val="0"/>
    <w:pPr>
      <w:spacing w:before="100" w:line="400" w:lineRule="exact"/>
    </w:pPr>
    <w:rPr>
      <w:rFonts w:ascii="Times New Roman" w:hAnsi="Times New Roman" w:eastAsia="黑体"/>
      <w:b w:val="0"/>
      <w:bCs w:val="0"/>
      <w:sz w:val="28"/>
      <w:szCs w:val="20"/>
    </w:rPr>
  </w:style>
  <w:style w:type="paragraph" w:customStyle="1" w:styleId="85">
    <w:name w:val="p15"/>
    <w:basedOn w:val="1"/>
    <w:autoRedefine/>
    <w:qFormat/>
    <w:uiPriority w:val="0"/>
    <w:pPr>
      <w:widowControl/>
      <w:spacing w:line="220" w:lineRule="atLeast"/>
      <w:jc w:val="center"/>
    </w:pPr>
    <w:rPr>
      <w:rFonts w:ascii="仿宋_GB2312" w:hAnsi="宋体" w:eastAsia="仿宋_GB2312" w:cs="宋体"/>
      <w:kern w:val="0"/>
      <w:szCs w:val="21"/>
    </w:rPr>
  </w:style>
  <w:style w:type="paragraph" w:customStyle="1" w:styleId="86">
    <w:name w:val="Char1 Char Char Char 字元 Char Char 字元 Char 字元 Char1 Char Char Char"/>
    <w:basedOn w:val="1"/>
    <w:autoRedefine/>
    <w:qFormat/>
    <w:uiPriority w:val="0"/>
    <w:rPr>
      <w:szCs w:val="20"/>
    </w:rPr>
  </w:style>
  <w:style w:type="paragraph" w:customStyle="1" w:styleId="87">
    <w:name w:val="p16"/>
    <w:basedOn w:val="1"/>
    <w:autoRedefine/>
    <w:qFormat/>
    <w:uiPriority w:val="0"/>
    <w:pPr>
      <w:widowControl/>
      <w:jc w:val="left"/>
    </w:pPr>
    <w:rPr>
      <w:kern w:val="0"/>
      <w:szCs w:val="21"/>
    </w:rPr>
  </w:style>
  <w:style w:type="paragraph" w:customStyle="1" w:styleId="88">
    <w:name w:val="xl31"/>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paragraph" w:customStyle="1" w:styleId="89">
    <w:name w:val="Blockquote"/>
    <w:basedOn w:val="1"/>
    <w:autoRedefine/>
    <w:qFormat/>
    <w:uiPriority w:val="0"/>
    <w:pPr>
      <w:autoSpaceDE w:val="0"/>
      <w:autoSpaceDN w:val="0"/>
      <w:adjustRightInd w:val="0"/>
      <w:spacing w:before="100" w:after="100"/>
      <w:ind w:left="360" w:right="360"/>
      <w:jc w:val="left"/>
    </w:pPr>
    <w:rPr>
      <w:kern w:val="0"/>
      <w:sz w:val="24"/>
      <w:szCs w:val="20"/>
    </w:rPr>
  </w:style>
  <w:style w:type="paragraph" w:customStyle="1" w:styleId="90">
    <w:name w:val="Char Char"/>
    <w:basedOn w:val="1"/>
    <w:autoRedefine/>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91">
    <w:name w:val="xl25"/>
    <w:basedOn w:val="1"/>
    <w:autoRedefine/>
    <w:qFormat/>
    <w:uiPriority w:val="0"/>
    <w:pPr>
      <w:widowControl/>
      <w:pBdr>
        <w:left w:val="single" w:color="auto" w:sz="4" w:space="0"/>
        <w:bottom w:val="single" w:color="auto" w:sz="4" w:space="0"/>
        <w:right w:val="double" w:color="auto" w:sz="6"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92">
    <w:name w:val="Char Char Char1 Char"/>
    <w:basedOn w:val="1"/>
    <w:autoRedefine/>
    <w:qFormat/>
    <w:uiPriority w:val="0"/>
    <w:pPr>
      <w:tabs>
        <w:tab w:val="left" w:pos="360"/>
      </w:tabs>
      <w:snapToGrid w:val="0"/>
      <w:spacing w:line="360" w:lineRule="auto"/>
    </w:pPr>
    <w:rPr>
      <w:rFonts w:eastAsia="仿宋_GB2312" w:cs="宋体"/>
      <w:sz w:val="24"/>
    </w:rPr>
  </w:style>
  <w:style w:type="paragraph" w:customStyle="1" w:styleId="93">
    <w:name w:val="TOC 标题1"/>
    <w:basedOn w:val="3"/>
    <w:next w:val="1"/>
    <w:autoRedefine/>
    <w:unhideWhenUsed/>
    <w:qFormat/>
    <w:uiPriority w:val="39"/>
    <w:pPr>
      <w:keepLines/>
      <w:widowControl/>
      <w:spacing w:before="480" w:line="276" w:lineRule="auto"/>
      <w:jc w:val="left"/>
      <w:outlineLvl w:val="9"/>
    </w:pPr>
    <w:rPr>
      <w:rFonts w:ascii="Cambria" w:hAnsi="Cambria" w:cs="黑体"/>
      <w:color w:val="365F90"/>
      <w:kern w:val="0"/>
      <w:sz w:val="28"/>
      <w:szCs w:val="28"/>
    </w:rPr>
  </w:style>
  <w:style w:type="character" w:customStyle="1" w:styleId="94">
    <w:name w:val="标题 1 Char"/>
    <w:link w:val="3"/>
    <w:autoRedefine/>
    <w:qFormat/>
    <w:uiPriority w:val="99"/>
    <w:rPr>
      <w:rFonts w:ascii="Times New Roman" w:hAnsi="Times New Roman" w:eastAsia="宋体" w:cs="Times New Roman"/>
      <w:b/>
      <w:bCs/>
      <w:sz w:val="24"/>
      <w:szCs w:val="20"/>
    </w:rPr>
  </w:style>
  <w:style w:type="character" w:customStyle="1" w:styleId="95">
    <w:name w:val="标题 2 Char"/>
    <w:link w:val="4"/>
    <w:autoRedefine/>
    <w:qFormat/>
    <w:uiPriority w:val="0"/>
    <w:rPr>
      <w:rFonts w:ascii="Arial" w:hAnsi="Arial" w:eastAsia="宋体" w:cs="Times New Roman"/>
      <w:b/>
      <w:bCs/>
      <w:sz w:val="24"/>
      <w:szCs w:val="32"/>
    </w:rPr>
  </w:style>
  <w:style w:type="character" w:customStyle="1" w:styleId="96">
    <w:name w:val="标题 3 Char"/>
    <w:link w:val="2"/>
    <w:autoRedefine/>
    <w:qFormat/>
    <w:uiPriority w:val="99"/>
    <w:rPr>
      <w:rFonts w:ascii="Times New Roman" w:hAnsi="Times New Roman" w:eastAsia="宋体" w:cs="Times New Roman"/>
      <w:b/>
      <w:bCs/>
      <w:sz w:val="32"/>
      <w:szCs w:val="32"/>
    </w:rPr>
  </w:style>
  <w:style w:type="character" w:customStyle="1" w:styleId="97">
    <w:name w:val="标题 4 Char"/>
    <w:link w:val="5"/>
    <w:autoRedefine/>
    <w:qFormat/>
    <w:uiPriority w:val="99"/>
    <w:rPr>
      <w:rFonts w:ascii="Arial" w:hAnsi="Arial" w:eastAsia="宋体" w:cs="Times New Roman"/>
      <w:b/>
      <w:bCs/>
      <w:sz w:val="28"/>
      <w:szCs w:val="28"/>
    </w:rPr>
  </w:style>
  <w:style w:type="character" w:customStyle="1" w:styleId="98">
    <w:name w:val="标题 5 Char"/>
    <w:link w:val="6"/>
    <w:autoRedefine/>
    <w:qFormat/>
    <w:uiPriority w:val="99"/>
    <w:rPr>
      <w:rFonts w:ascii="Times New Roman" w:hAnsi="Times New Roman" w:eastAsia="宋体" w:cs="Times New Roman"/>
      <w:b/>
      <w:bCs/>
      <w:kern w:val="0"/>
      <w:sz w:val="28"/>
      <w:szCs w:val="28"/>
    </w:rPr>
  </w:style>
  <w:style w:type="character" w:customStyle="1" w:styleId="99">
    <w:name w:val="标题 6 Char"/>
    <w:link w:val="7"/>
    <w:autoRedefine/>
    <w:qFormat/>
    <w:uiPriority w:val="99"/>
    <w:rPr>
      <w:rFonts w:ascii="Arial" w:hAnsi="Arial" w:eastAsia="黑体" w:cs="Times New Roman"/>
      <w:b/>
      <w:bCs/>
      <w:kern w:val="0"/>
      <w:sz w:val="24"/>
      <w:szCs w:val="24"/>
    </w:rPr>
  </w:style>
  <w:style w:type="character" w:customStyle="1" w:styleId="100">
    <w:name w:val="标题 7 Char"/>
    <w:link w:val="8"/>
    <w:autoRedefine/>
    <w:qFormat/>
    <w:uiPriority w:val="99"/>
    <w:rPr>
      <w:rFonts w:ascii="Times New Roman" w:hAnsi="Times New Roman" w:eastAsia="宋体" w:cs="Times New Roman"/>
      <w:b/>
      <w:bCs/>
      <w:kern w:val="0"/>
      <w:sz w:val="24"/>
      <w:szCs w:val="24"/>
    </w:rPr>
  </w:style>
  <w:style w:type="character" w:customStyle="1" w:styleId="101">
    <w:name w:val="标题 8 Char"/>
    <w:link w:val="9"/>
    <w:autoRedefine/>
    <w:qFormat/>
    <w:uiPriority w:val="99"/>
    <w:rPr>
      <w:rFonts w:ascii="Arial" w:hAnsi="Arial" w:eastAsia="黑体" w:cs="Times New Roman"/>
      <w:kern w:val="0"/>
      <w:sz w:val="24"/>
      <w:szCs w:val="24"/>
    </w:rPr>
  </w:style>
  <w:style w:type="character" w:customStyle="1" w:styleId="102">
    <w:name w:val="标题 9 Char"/>
    <w:link w:val="10"/>
    <w:autoRedefine/>
    <w:qFormat/>
    <w:uiPriority w:val="99"/>
    <w:rPr>
      <w:rFonts w:ascii="Arial" w:hAnsi="Arial" w:eastAsia="黑体" w:cs="Times New Roman"/>
      <w:kern w:val="0"/>
      <w:szCs w:val="21"/>
    </w:rPr>
  </w:style>
  <w:style w:type="character" w:customStyle="1" w:styleId="103">
    <w:name w:val="正文文本 Char"/>
    <w:link w:val="19"/>
    <w:autoRedefine/>
    <w:qFormat/>
    <w:uiPriority w:val="99"/>
    <w:rPr>
      <w:rFonts w:ascii="Times New Roman" w:hAnsi="Times New Roman" w:eastAsia="宋体" w:cs="Times New Roman"/>
      <w:szCs w:val="24"/>
    </w:rPr>
  </w:style>
  <w:style w:type="character" w:customStyle="1" w:styleId="104">
    <w:name w:val="页脚 Char"/>
    <w:link w:val="29"/>
    <w:autoRedefine/>
    <w:qFormat/>
    <w:uiPriority w:val="0"/>
    <w:rPr>
      <w:rFonts w:ascii="Times New Roman" w:hAnsi="Times New Roman" w:eastAsia="宋体" w:cs="Times New Roman"/>
      <w:sz w:val="18"/>
      <w:szCs w:val="18"/>
    </w:rPr>
  </w:style>
  <w:style w:type="character" w:customStyle="1" w:styleId="105">
    <w:name w:val="页眉 Char"/>
    <w:link w:val="30"/>
    <w:autoRedefine/>
    <w:qFormat/>
    <w:uiPriority w:val="0"/>
    <w:rPr>
      <w:rFonts w:ascii="Times New Roman" w:hAnsi="Times New Roman" w:eastAsia="宋体" w:cs="Times New Roman"/>
      <w:sz w:val="18"/>
      <w:szCs w:val="18"/>
    </w:rPr>
  </w:style>
  <w:style w:type="character" w:customStyle="1" w:styleId="106">
    <w:name w:val="正文文本缩进 Char"/>
    <w:link w:val="20"/>
    <w:autoRedefine/>
    <w:qFormat/>
    <w:uiPriority w:val="99"/>
    <w:rPr>
      <w:rFonts w:ascii="Times New Roman" w:hAnsi="Times New Roman" w:eastAsia="宋体" w:cs="Times New Roman"/>
      <w:szCs w:val="24"/>
    </w:rPr>
  </w:style>
  <w:style w:type="character" w:customStyle="1" w:styleId="107">
    <w:name w:val="纯文本 Char"/>
    <w:link w:val="25"/>
    <w:autoRedefine/>
    <w:qFormat/>
    <w:uiPriority w:val="0"/>
    <w:rPr>
      <w:rFonts w:ascii="宋体" w:hAnsi="Courier New" w:eastAsia="宋体" w:cs="Courier New"/>
      <w:szCs w:val="21"/>
    </w:rPr>
  </w:style>
  <w:style w:type="character" w:customStyle="1" w:styleId="108">
    <w:name w:val="批注文字 Char"/>
    <w:link w:val="17"/>
    <w:autoRedefine/>
    <w:semiHidden/>
    <w:qFormat/>
    <w:uiPriority w:val="99"/>
    <w:rPr>
      <w:rFonts w:ascii="Times New Roman" w:hAnsi="Times New Roman" w:eastAsia="宋体" w:cs="Times New Roman"/>
      <w:szCs w:val="24"/>
    </w:rPr>
  </w:style>
  <w:style w:type="character" w:customStyle="1" w:styleId="109">
    <w:name w:val="HTML 预设格式 Char"/>
    <w:link w:val="38"/>
    <w:autoRedefine/>
    <w:qFormat/>
    <w:uiPriority w:val="99"/>
    <w:rPr>
      <w:rFonts w:ascii="Arial" w:hAnsi="Arial" w:eastAsia="宋体" w:cs="Arial"/>
      <w:kern w:val="0"/>
      <w:sz w:val="24"/>
      <w:szCs w:val="24"/>
    </w:rPr>
  </w:style>
  <w:style w:type="character" w:customStyle="1" w:styleId="110">
    <w:name w:val="称呼 Char"/>
    <w:link w:val="18"/>
    <w:autoRedefine/>
    <w:qFormat/>
    <w:uiPriority w:val="0"/>
    <w:rPr>
      <w:rFonts w:ascii="仿宋_GB2312" w:hAnsi="Times New Roman" w:eastAsia="仿宋_GB2312" w:cs="Times New Roman"/>
      <w:sz w:val="24"/>
      <w:szCs w:val="24"/>
    </w:rPr>
  </w:style>
  <w:style w:type="character" w:customStyle="1" w:styleId="111">
    <w:name w:val="正文文本 2 Char"/>
    <w:link w:val="37"/>
    <w:autoRedefine/>
    <w:qFormat/>
    <w:uiPriority w:val="99"/>
    <w:rPr>
      <w:rFonts w:ascii="Times New Roman" w:hAnsi="Times New Roman" w:eastAsia="宋体" w:cs="Times New Roman"/>
      <w:szCs w:val="24"/>
    </w:rPr>
  </w:style>
  <w:style w:type="character" w:customStyle="1" w:styleId="112">
    <w:name w:val="正文文本缩进 2 Char"/>
    <w:link w:val="21"/>
    <w:autoRedefine/>
    <w:qFormat/>
    <w:uiPriority w:val="0"/>
    <w:rPr>
      <w:rFonts w:ascii="Times New Roman" w:hAnsi="Times New Roman" w:eastAsia="宋体" w:cs="Times New Roman"/>
      <w:szCs w:val="24"/>
    </w:rPr>
  </w:style>
  <w:style w:type="character" w:customStyle="1" w:styleId="113">
    <w:name w:val="正文文本缩进 3 Char"/>
    <w:link w:val="34"/>
    <w:autoRedefine/>
    <w:qFormat/>
    <w:uiPriority w:val="0"/>
    <w:rPr>
      <w:rFonts w:ascii="Times New Roman" w:hAnsi="Times New Roman" w:eastAsia="宋体" w:cs="Times New Roman"/>
      <w:sz w:val="16"/>
      <w:szCs w:val="16"/>
    </w:rPr>
  </w:style>
  <w:style w:type="character" w:customStyle="1" w:styleId="114">
    <w:name w:val="日期 Char"/>
    <w:link w:val="27"/>
    <w:autoRedefine/>
    <w:qFormat/>
    <w:uiPriority w:val="99"/>
    <w:rPr>
      <w:rFonts w:ascii="Times New Roman" w:hAnsi="Times New Roman" w:eastAsia="宋体" w:cs="Times New Roman"/>
      <w:sz w:val="24"/>
      <w:szCs w:val="20"/>
    </w:rPr>
  </w:style>
  <w:style w:type="character" w:customStyle="1" w:styleId="115">
    <w:name w:val="p0 Char"/>
    <w:link w:val="76"/>
    <w:autoRedefine/>
    <w:qFormat/>
    <w:uiPriority w:val="0"/>
    <w:rPr>
      <w:rFonts w:eastAsia="宋体"/>
      <w:szCs w:val="21"/>
    </w:rPr>
  </w:style>
  <w:style w:type="character" w:customStyle="1" w:styleId="116">
    <w:name w:val="文档结构图 Char"/>
    <w:link w:val="15"/>
    <w:autoRedefine/>
    <w:semiHidden/>
    <w:qFormat/>
    <w:uiPriority w:val="99"/>
    <w:rPr>
      <w:rFonts w:ascii="Times New Roman" w:hAnsi="Times New Roman" w:eastAsia="宋体" w:cs="Times New Roman"/>
      <w:szCs w:val="24"/>
      <w:shd w:val="clear" w:color="auto" w:fill="000080"/>
    </w:rPr>
  </w:style>
  <w:style w:type="character" w:customStyle="1" w:styleId="117">
    <w:name w:val="批注主题 Char"/>
    <w:link w:val="42"/>
    <w:autoRedefine/>
    <w:qFormat/>
    <w:uiPriority w:val="99"/>
    <w:rPr>
      <w:rFonts w:ascii="Times New Roman" w:hAnsi="Times New Roman" w:eastAsia="宋体" w:cs="Times New Roman"/>
      <w:b/>
      <w:bCs/>
      <w:szCs w:val="24"/>
    </w:rPr>
  </w:style>
  <w:style w:type="character" w:customStyle="1" w:styleId="118">
    <w:name w:val="批注框文本 Char"/>
    <w:link w:val="28"/>
    <w:autoRedefine/>
    <w:qFormat/>
    <w:uiPriority w:val="99"/>
    <w:rPr>
      <w:rFonts w:ascii="Times New Roman" w:hAnsi="Times New Roman" w:eastAsia="宋体" w:cs="Times New Roman"/>
      <w:sz w:val="18"/>
      <w:szCs w:val="18"/>
    </w:rPr>
  </w:style>
  <w:style w:type="character" w:customStyle="1" w:styleId="119">
    <w:name w:val="fontstyle01"/>
    <w:autoRedefine/>
    <w:qFormat/>
    <w:uiPriority w:val="0"/>
    <w:rPr>
      <w:rFonts w:hint="eastAsia" w:ascii="宋体" w:hAnsi="宋体" w:eastAsia="宋体"/>
      <w:color w:val="000000"/>
      <w:sz w:val="24"/>
      <w:szCs w:val="24"/>
    </w:rPr>
  </w:style>
  <w:style w:type="character" w:customStyle="1" w:styleId="120">
    <w:name w:val="fontstyle11"/>
    <w:autoRedefine/>
    <w:qFormat/>
    <w:uiPriority w:val="0"/>
    <w:rPr>
      <w:rFonts w:hint="default" w:ascii="TimesNewRomanPSMT" w:hAnsi="TimesNewRomanPSMT"/>
      <w:color w:val="000000"/>
      <w:sz w:val="24"/>
      <w:szCs w:val="24"/>
    </w:rPr>
  </w:style>
  <w:style w:type="character" w:customStyle="1" w:styleId="121">
    <w:name w:val="fontstyle21"/>
    <w:autoRedefine/>
    <w:qFormat/>
    <w:uiPriority w:val="0"/>
    <w:rPr>
      <w:rFonts w:hint="eastAsia" w:ascii="宋体" w:hAnsi="宋体" w:eastAsia="宋体"/>
      <w:color w:val="993300"/>
      <w:sz w:val="24"/>
      <w:szCs w:val="24"/>
    </w:rPr>
  </w:style>
  <w:style w:type="character" w:customStyle="1" w:styleId="122">
    <w:name w:val="fontstyle31"/>
    <w:autoRedefine/>
    <w:qFormat/>
    <w:uiPriority w:val="0"/>
    <w:rPr>
      <w:rFonts w:hint="default" w:ascii="Arial" w:hAnsi="Arial" w:cs="Arial"/>
      <w:color w:val="993300"/>
      <w:sz w:val="24"/>
      <w:szCs w:val="24"/>
    </w:rPr>
  </w:style>
  <w:style w:type="character" w:customStyle="1" w:styleId="123">
    <w:name w:val="列出段落 Char"/>
    <w:link w:val="63"/>
    <w:autoRedefine/>
    <w:qFormat/>
    <w:uiPriority w:val="99"/>
    <w:rPr>
      <w:rFonts w:ascii="Times New Roman" w:hAnsi="Times New Roman" w:eastAsia="宋体" w:cs="Times New Roman"/>
      <w:szCs w:val="24"/>
    </w:rPr>
  </w:style>
  <w:style w:type="character" w:customStyle="1" w:styleId="124">
    <w:name w:val="标题 Char"/>
    <w:link w:val="41"/>
    <w:autoRedefine/>
    <w:qFormat/>
    <w:uiPriority w:val="99"/>
    <w:rPr>
      <w:b/>
      <w:sz w:val="32"/>
    </w:rPr>
  </w:style>
  <w:style w:type="character" w:customStyle="1" w:styleId="125">
    <w:name w:val="标题 Char1"/>
    <w:autoRedefine/>
    <w:qFormat/>
    <w:uiPriority w:val="10"/>
    <w:rPr>
      <w:rFonts w:ascii="Cambria" w:hAnsi="Cambria" w:eastAsia="宋体" w:cs="黑体"/>
      <w:b/>
      <w:bCs/>
      <w:sz w:val="32"/>
      <w:szCs w:val="32"/>
    </w:rPr>
  </w:style>
  <w:style w:type="character" w:customStyle="1" w:styleId="126">
    <w:name w:val="样式1 Char Char"/>
    <w:link w:val="75"/>
    <w:autoRedefine/>
    <w:qFormat/>
    <w:uiPriority w:val="0"/>
    <w:rPr>
      <w:rFonts w:ascii="宋体" w:hAnsi="宋体" w:eastAsia="宋体" w:cs="Times New Roman"/>
      <w:kern w:val="0"/>
      <w:szCs w:val="21"/>
    </w:rPr>
  </w:style>
  <w:style w:type="character" w:customStyle="1" w:styleId="127">
    <w:name w:val="font21"/>
    <w:basedOn w:val="47"/>
    <w:autoRedefine/>
    <w:qFormat/>
    <w:uiPriority w:val="99"/>
    <w:rPr>
      <w:rFonts w:hint="eastAsia" w:ascii="宋体" w:hAnsi="宋体" w:eastAsia="宋体" w:cs="宋体"/>
      <w:color w:val="000000"/>
      <w:sz w:val="22"/>
      <w:szCs w:val="22"/>
      <w:u w:val="none"/>
    </w:rPr>
  </w:style>
  <w:style w:type="character" w:customStyle="1" w:styleId="128">
    <w:name w:val="NormalCharacter"/>
    <w:link w:val="129"/>
    <w:autoRedefine/>
    <w:semiHidden/>
    <w:qFormat/>
    <w:uiPriority w:val="99"/>
    <w:rPr>
      <w:rFonts w:ascii="Times New Roman" w:hAnsi="Times New Roman" w:eastAsia="宋体" w:cs="Times New Roman"/>
      <w:kern w:val="2"/>
      <w:sz w:val="21"/>
      <w:szCs w:val="24"/>
      <w:lang w:val="en-US" w:eastAsia="zh-CN" w:bidi="ar-SA"/>
    </w:rPr>
  </w:style>
  <w:style w:type="paragraph" w:customStyle="1" w:styleId="129">
    <w:name w:val="UserStyle_1"/>
    <w:basedOn w:val="1"/>
    <w:link w:val="128"/>
    <w:autoRedefine/>
    <w:qFormat/>
    <w:uiPriority w:val="99"/>
    <w:pPr>
      <w:widowControl/>
      <w:snapToGrid w:val="0"/>
      <w:spacing w:line="360" w:lineRule="auto"/>
      <w:ind w:firstLine="200" w:firstLineChars="200"/>
      <w:textAlignment w:val="baseline"/>
    </w:pPr>
    <w:rPr>
      <w:kern w:val="0"/>
      <w:sz w:val="20"/>
      <w:szCs w:val="20"/>
    </w:rPr>
  </w:style>
  <w:style w:type="character" w:customStyle="1" w:styleId="130">
    <w:name w:val="DMT-正文样式1 字符"/>
    <w:link w:val="131"/>
    <w:autoRedefine/>
    <w:qFormat/>
    <w:uiPriority w:val="0"/>
    <w:rPr>
      <w:sz w:val="28"/>
    </w:rPr>
  </w:style>
  <w:style w:type="paragraph" w:customStyle="1" w:styleId="131">
    <w:name w:val="DMT-正文样式1"/>
    <w:basedOn w:val="1"/>
    <w:link w:val="130"/>
    <w:autoRedefine/>
    <w:qFormat/>
    <w:uiPriority w:val="0"/>
    <w:pPr>
      <w:spacing w:beforeLines="50" w:afterLines="50" w:line="360" w:lineRule="auto"/>
      <w:ind w:firstLine="200" w:firstLineChars="200"/>
    </w:pPr>
    <w:rPr>
      <w:kern w:val="0"/>
      <w:sz w:val="28"/>
      <w:szCs w:val="20"/>
    </w:rPr>
  </w:style>
  <w:style w:type="paragraph" w:customStyle="1" w:styleId="132">
    <w:name w:val="样式 标题 1正文一级标题H1L1 Heading 1h11st levelh111st level1headi..."/>
    <w:basedOn w:val="3"/>
    <w:autoRedefine/>
    <w:qFormat/>
    <w:uiPriority w:val="0"/>
    <w:pPr>
      <w:keepLines/>
      <w:numPr>
        <w:ilvl w:val="0"/>
        <w:numId w:val="1"/>
      </w:numPr>
      <w:spacing w:before="340" w:after="330" w:line="360" w:lineRule="auto"/>
      <w:jc w:val="both"/>
    </w:pPr>
    <w:rPr>
      <w:rFonts w:eastAsia="黑体" w:cs="宋体"/>
      <w:kern w:val="44"/>
      <w:sz w:val="44"/>
    </w:rPr>
  </w:style>
  <w:style w:type="paragraph" w:customStyle="1" w:styleId="133">
    <w:name w:val="列出段落2"/>
    <w:basedOn w:val="1"/>
    <w:autoRedefine/>
    <w:qFormat/>
    <w:uiPriority w:val="99"/>
    <w:pPr>
      <w:ind w:firstLine="420" w:firstLineChars="200"/>
    </w:pPr>
    <w:rPr>
      <w:rFonts w:ascii="Arial" w:hAnsi="Arial" w:eastAsia="微软雅黑"/>
      <w:szCs w:val="22"/>
    </w:rPr>
  </w:style>
  <w:style w:type="table" w:customStyle="1" w:styleId="134">
    <w:name w:val="网格型1"/>
    <w:basedOn w:val="4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35">
    <w:name w:val="正文缩进 Char"/>
    <w:link w:val="12"/>
    <w:autoRedefine/>
    <w:qFormat/>
    <w:uiPriority w:val="0"/>
  </w:style>
  <w:style w:type="character" w:customStyle="1" w:styleId="136">
    <w:name w:val="题注 Char"/>
    <w:link w:val="14"/>
    <w:autoRedefine/>
    <w:qFormat/>
    <w:uiPriority w:val="0"/>
    <w:rPr>
      <w:rFonts w:ascii="Arial" w:hAnsi="Arial" w:cs="Arial"/>
      <w:b/>
      <w:sz w:val="24"/>
    </w:rPr>
  </w:style>
  <w:style w:type="character" w:customStyle="1" w:styleId="137">
    <w:name w:val="标题 2 Char1"/>
    <w:autoRedefine/>
    <w:qFormat/>
    <w:uiPriority w:val="9"/>
    <w:rPr>
      <w:rFonts w:ascii="Cambria" w:hAnsi="Cambria"/>
      <w:b/>
      <w:bCs/>
      <w:sz w:val="32"/>
      <w:szCs w:val="32"/>
      <w:lang w:bidi="ar-SA"/>
    </w:rPr>
  </w:style>
  <w:style w:type="character" w:customStyle="1" w:styleId="138">
    <w:name w:val="表格 Char Char"/>
    <w:link w:val="139"/>
    <w:autoRedefine/>
    <w:qFormat/>
    <w:uiPriority w:val="0"/>
  </w:style>
  <w:style w:type="paragraph" w:customStyle="1" w:styleId="139">
    <w:name w:val="表格"/>
    <w:basedOn w:val="1"/>
    <w:link w:val="138"/>
    <w:autoRedefine/>
    <w:qFormat/>
    <w:uiPriority w:val="0"/>
    <w:pPr>
      <w:adjustRightInd w:val="0"/>
      <w:spacing w:line="360" w:lineRule="atLeast"/>
      <w:textAlignment w:val="baseline"/>
    </w:pPr>
    <w:rPr>
      <w:kern w:val="0"/>
      <w:sz w:val="20"/>
      <w:szCs w:val="20"/>
    </w:rPr>
  </w:style>
  <w:style w:type="table" w:customStyle="1" w:styleId="140">
    <w:name w:val="网格型2"/>
    <w:basedOn w:val="45"/>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
    <w:name w:val="网格型3"/>
    <w:basedOn w:val="45"/>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
    <w:name w:val="网格型4"/>
    <w:basedOn w:val="45"/>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
    <w:name w:val="网格型5"/>
    <w:basedOn w:val="45"/>
    <w:autoRedefine/>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144">
    <w:name w:val="列出段落11"/>
    <w:basedOn w:val="1"/>
    <w:autoRedefine/>
    <w:qFormat/>
    <w:uiPriority w:val="34"/>
    <w:pPr>
      <w:ind w:firstLine="420" w:firstLineChars="200"/>
    </w:pPr>
  </w:style>
  <w:style w:type="paragraph" w:customStyle="1" w:styleId="145">
    <w:name w:val="font5"/>
    <w:basedOn w:val="1"/>
    <w:autoRedefine/>
    <w:qFormat/>
    <w:uiPriority w:val="99"/>
    <w:pPr>
      <w:widowControl/>
      <w:spacing w:before="100" w:beforeAutospacing="1" w:after="100" w:afterAutospacing="1"/>
      <w:jc w:val="left"/>
    </w:pPr>
    <w:rPr>
      <w:rFonts w:ascii="宋体" w:hAnsi="宋体" w:cs="宋体"/>
      <w:kern w:val="0"/>
      <w:sz w:val="18"/>
      <w:szCs w:val="18"/>
    </w:rPr>
  </w:style>
  <w:style w:type="paragraph" w:customStyle="1" w:styleId="146">
    <w:name w:val="xl69"/>
    <w:basedOn w:val="1"/>
    <w:autoRedefine/>
    <w:qFormat/>
    <w:uiPriority w:val="0"/>
    <w:pPr>
      <w:widowControl/>
      <w:spacing w:before="100" w:beforeAutospacing="1" w:after="100" w:afterAutospacing="1"/>
      <w:jc w:val="center"/>
    </w:pPr>
    <w:rPr>
      <w:rFonts w:ascii="宋体" w:hAnsi="宋体" w:cs="宋体"/>
      <w:b/>
      <w:bCs/>
      <w:kern w:val="0"/>
      <w:sz w:val="24"/>
    </w:rPr>
  </w:style>
  <w:style w:type="paragraph" w:customStyle="1" w:styleId="147">
    <w:name w:val="xl70"/>
    <w:basedOn w:val="1"/>
    <w:autoRedefine/>
    <w:qFormat/>
    <w:uiPriority w:val="0"/>
    <w:pPr>
      <w:widowControl/>
      <w:spacing w:before="100" w:beforeAutospacing="1" w:after="100" w:afterAutospacing="1"/>
      <w:jc w:val="center"/>
    </w:pPr>
    <w:rPr>
      <w:rFonts w:ascii="宋体" w:hAnsi="宋体" w:cs="宋体"/>
      <w:kern w:val="0"/>
      <w:sz w:val="20"/>
      <w:szCs w:val="20"/>
    </w:rPr>
  </w:style>
  <w:style w:type="paragraph" w:customStyle="1" w:styleId="148">
    <w:name w:val="xl71"/>
    <w:basedOn w:val="1"/>
    <w:autoRedefine/>
    <w:qFormat/>
    <w:uiPriority w:val="0"/>
    <w:pPr>
      <w:widowControl/>
      <w:spacing w:before="100" w:beforeAutospacing="1" w:after="100" w:afterAutospacing="1"/>
      <w:jc w:val="left"/>
    </w:pPr>
    <w:rPr>
      <w:rFonts w:ascii="宋体" w:hAnsi="宋体" w:cs="宋体"/>
      <w:kern w:val="0"/>
      <w:sz w:val="24"/>
    </w:rPr>
  </w:style>
  <w:style w:type="paragraph" w:customStyle="1" w:styleId="149">
    <w:name w:val="xl72"/>
    <w:basedOn w:val="1"/>
    <w:autoRedefine/>
    <w:qFormat/>
    <w:uiPriority w:val="0"/>
    <w:pPr>
      <w:widowControl/>
      <w:spacing w:before="100" w:beforeAutospacing="1" w:after="100" w:afterAutospacing="1"/>
      <w:jc w:val="left"/>
    </w:pPr>
    <w:rPr>
      <w:rFonts w:ascii="宋体" w:hAnsi="宋体" w:cs="宋体"/>
      <w:kern w:val="0"/>
      <w:sz w:val="20"/>
      <w:szCs w:val="20"/>
    </w:rPr>
  </w:style>
  <w:style w:type="paragraph" w:customStyle="1" w:styleId="150">
    <w:name w:val="xl73"/>
    <w:basedOn w:val="1"/>
    <w:autoRedefine/>
    <w:qFormat/>
    <w:uiPriority w:val="0"/>
    <w:pPr>
      <w:widowControl/>
      <w:spacing w:before="100" w:beforeAutospacing="1" w:after="100" w:afterAutospacing="1"/>
      <w:jc w:val="center"/>
    </w:pPr>
    <w:rPr>
      <w:rFonts w:ascii="宋体" w:hAnsi="宋体" w:cs="宋体"/>
      <w:kern w:val="0"/>
      <w:sz w:val="22"/>
      <w:szCs w:val="22"/>
    </w:rPr>
  </w:style>
  <w:style w:type="paragraph" w:customStyle="1" w:styleId="151">
    <w:name w:val="xl74"/>
    <w:basedOn w:val="1"/>
    <w:autoRedefine/>
    <w:qFormat/>
    <w:uiPriority w:val="0"/>
    <w:pPr>
      <w:widowControl/>
      <w:spacing w:before="100" w:beforeAutospacing="1" w:after="100" w:afterAutospacing="1"/>
      <w:jc w:val="left"/>
    </w:pPr>
    <w:rPr>
      <w:rFonts w:ascii="宋体" w:hAnsi="宋体" w:cs="宋体"/>
      <w:kern w:val="0"/>
      <w:sz w:val="22"/>
      <w:szCs w:val="22"/>
    </w:rPr>
  </w:style>
  <w:style w:type="paragraph" w:customStyle="1" w:styleId="152">
    <w:name w:val="xl75"/>
    <w:basedOn w:val="1"/>
    <w:autoRedefine/>
    <w:qFormat/>
    <w:uiPriority w:val="0"/>
    <w:pPr>
      <w:widowControl/>
      <w:spacing w:before="100" w:beforeAutospacing="1" w:after="100" w:afterAutospacing="1"/>
      <w:jc w:val="left"/>
    </w:pPr>
    <w:rPr>
      <w:rFonts w:ascii="宋体" w:hAnsi="宋体" w:cs="宋体"/>
      <w:kern w:val="0"/>
      <w:sz w:val="22"/>
      <w:szCs w:val="22"/>
    </w:rPr>
  </w:style>
  <w:style w:type="paragraph" w:customStyle="1" w:styleId="153">
    <w:name w:val="xl76"/>
    <w:basedOn w:val="1"/>
    <w:autoRedefine/>
    <w:qFormat/>
    <w:uiPriority w:val="0"/>
    <w:pPr>
      <w:widowControl/>
      <w:spacing w:before="100" w:beforeAutospacing="1" w:after="100" w:afterAutospacing="1"/>
      <w:jc w:val="left"/>
    </w:pPr>
    <w:rPr>
      <w:rFonts w:ascii="宋体" w:hAnsi="宋体" w:cs="宋体"/>
      <w:kern w:val="0"/>
      <w:sz w:val="22"/>
      <w:szCs w:val="22"/>
    </w:rPr>
  </w:style>
  <w:style w:type="paragraph" w:customStyle="1" w:styleId="154">
    <w:name w:val="xl7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5">
    <w:name w:val="xl7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4"/>
    </w:rPr>
  </w:style>
  <w:style w:type="paragraph" w:customStyle="1" w:styleId="156">
    <w:name w:val="xl7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57">
    <w:name w:val="xl8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58">
    <w:name w:val="xl8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59">
    <w:name w:val="xl8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0">
    <w:name w:val="xl8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1">
    <w:name w:val="xl84"/>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62">
    <w:name w:val="xl8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63">
    <w:name w:val="xl8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64">
    <w:name w:val="xl8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165">
    <w:name w:val="xl8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66">
    <w:name w:val="xl8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b/>
      <w:bCs/>
      <w:kern w:val="0"/>
      <w:sz w:val="24"/>
    </w:rPr>
  </w:style>
  <w:style w:type="paragraph" w:customStyle="1" w:styleId="167">
    <w:name w:val="xl9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24"/>
    </w:rPr>
  </w:style>
  <w:style w:type="paragraph" w:customStyle="1" w:styleId="168">
    <w:name w:val="xl9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b/>
      <w:bCs/>
      <w:kern w:val="0"/>
      <w:sz w:val="24"/>
    </w:rPr>
  </w:style>
  <w:style w:type="paragraph" w:customStyle="1" w:styleId="169">
    <w:name w:val="xl9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4"/>
    </w:rPr>
  </w:style>
  <w:style w:type="paragraph" w:customStyle="1" w:styleId="170">
    <w:name w:val="xl93"/>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1">
    <w:name w:val="xl9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2">
    <w:name w:val="xl95"/>
    <w:basedOn w:val="1"/>
    <w:autoRedefine/>
    <w:qFormat/>
    <w:uiPriority w:val="0"/>
    <w:pPr>
      <w:widowControl/>
      <w:pBdr>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73">
    <w:name w:val="xl9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74">
    <w:name w:val="xl9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75">
    <w:name w:val="xl98"/>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176">
    <w:name w:val="xl9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4"/>
    </w:rPr>
  </w:style>
  <w:style w:type="paragraph" w:customStyle="1" w:styleId="177">
    <w:name w:val="xl10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8">
    <w:name w:val="xl101"/>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rPr>
  </w:style>
  <w:style w:type="paragraph" w:customStyle="1" w:styleId="179">
    <w:name w:val="xl102"/>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0">
    <w:name w:val="xl10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1">
    <w:name w:val="xl10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82">
    <w:name w:val="xl10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183">
    <w:name w:val="xl10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84">
    <w:name w:val="xl10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color w:val="000000"/>
      <w:kern w:val="0"/>
      <w:sz w:val="20"/>
      <w:szCs w:val="20"/>
    </w:rPr>
  </w:style>
  <w:style w:type="paragraph" w:customStyle="1" w:styleId="185">
    <w:name w:val="xl108"/>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color w:val="000000"/>
      <w:kern w:val="0"/>
      <w:sz w:val="20"/>
      <w:szCs w:val="20"/>
    </w:rPr>
  </w:style>
  <w:style w:type="paragraph" w:customStyle="1" w:styleId="186">
    <w:name w:val="xl109"/>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b/>
      <w:bCs/>
      <w:kern w:val="0"/>
      <w:sz w:val="24"/>
    </w:rPr>
  </w:style>
  <w:style w:type="paragraph" w:customStyle="1" w:styleId="187">
    <w:name w:val="xl110"/>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188">
    <w:name w:val="xl111"/>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color w:val="000000"/>
      <w:kern w:val="0"/>
      <w:sz w:val="20"/>
      <w:szCs w:val="20"/>
    </w:rPr>
  </w:style>
  <w:style w:type="paragraph" w:customStyle="1" w:styleId="189">
    <w:name w:val="xl11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color w:val="000000"/>
      <w:kern w:val="0"/>
      <w:sz w:val="20"/>
      <w:szCs w:val="20"/>
    </w:rPr>
  </w:style>
  <w:style w:type="paragraph" w:customStyle="1" w:styleId="190">
    <w:name w:val="xl113"/>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91">
    <w:name w:val="xl11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2">
    <w:name w:val="xl115"/>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93">
    <w:name w:val="xl116"/>
    <w:basedOn w:val="1"/>
    <w:autoRedefine/>
    <w:qFormat/>
    <w:uiPriority w:val="0"/>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left"/>
    </w:pPr>
    <w:rPr>
      <w:rFonts w:ascii="宋体" w:hAnsi="宋体" w:cs="宋体"/>
      <w:kern w:val="0"/>
      <w:sz w:val="20"/>
      <w:szCs w:val="20"/>
    </w:rPr>
  </w:style>
  <w:style w:type="paragraph" w:customStyle="1" w:styleId="194">
    <w:name w:val="xl11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195">
    <w:name w:val="xl118"/>
    <w:basedOn w:val="1"/>
    <w:autoRedefine/>
    <w:qFormat/>
    <w:uiPriority w:val="0"/>
    <w:pPr>
      <w:widowControl/>
      <w:spacing w:before="100" w:beforeAutospacing="1" w:after="100" w:afterAutospacing="1"/>
      <w:jc w:val="center"/>
    </w:pPr>
    <w:rPr>
      <w:rFonts w:ascii="宋体" w:hAnsi="宋体" w:cs="宋体"/>
      <w:b/>
      <w:bCs/>
      <w:kern w:val="0"/>
      <w:sz w:val="32"/>
      <w:szCs w:val="32"/>
    </w:rPr>
  </w:style>
  <w:style w:type="paragraph" w:customStyle="1" w:styleId="196">
    <w:name w:val="xl119"/>
    <w:basedOn w:val="1"/>
    <w:autoRedefine/>
    <w:qFormat/>
    <w:uiPriority w:val="0"/>
    <w:pPr>
      <w:widowControl/>
      <w:spacing w:before="100" w:beforeAutospacing="1" w:after="100" w:afterAutospacing="1"/>
      <w:jc w:val="left"/>
    </w:pPr>
    <w:rPr>
      <w:rFonts w:ascii="宋体" w:hAnsi="宋体" w:cs="宋体"/>
      <w:b/>
      <w:bCs/>
      <w:kern w:val="0"/>
      <w:sz w:val="32"/>
      <w:szCs w:val="32"/>
    </w:rPr>
  </w:style>
  <w:style w:type="paragraph" w:customStyle="1" w:styleId="197">
    <w:name w:val="xl120"/>
    <w:basedOn w:val="1"/>
    <w:autoRedefine/>
    <w:qFormat/>
    <w:uiPriority w:val="0"/>
    <w:pPr>
      <w:widowControl/>
      <w:spacing w:before="100" w:beforeAutospacing="1" w:after="100" w:afterAutospacing="1"/>
      <w:jc w:val="center"/>
    </w:pPr>
    <w:rPr>
      <w:rFonts w:ascii="宋体" w:hAnsi="宋体" w:cs="宋体"/>
      <w:b/>
      <w:bCs/>
      <w:kern w:val="0"/>
      <w:sz w:val="32"/>
      <w:szCs w:val="32"/>
    </w:rPr>
  </w:style>
  <w:style w:type="character" w:customStyle="1" w:styleId="198">
    <w:name w:val="正文首行缩进 2 Char"/>
    <w:basedOn w:val="106"/>
    <w:link w:val="44"/>
    <w:autoRedefine/>
    <w:qFormat/>
    <w:uiPriority w:val="99"/>
    <w:rPr>
      <w:rFonts w:ascii="Times New Roman" w:hAnsi="Times New Roman" w:eastAsia="宋体" w:cs="Times New Roman"/>
      <w:kern w:val="2"/>
      <w:sz w:val="21"/>
      <w:szCs w:val="24"/>
    </w:rPr>
  </w:style>
  <w:style w:type="paragraph" w:styleId="199">
    <w:name w:val="List Paragraph"/>
    <w:basedOn w:val="1"/>
    <w:autoRedefine/>
    <w:unhideWhenUsed/>
    <w:qFormat/>
    <w:uiPriority w:val="99"/>
    <w:pPr>
      <w:ind w:firstLine="420" w:firstLineChars="200"/>
    </w:pPr>
  </w:style>
  <w:style w:type="character" w:customStyle="1" w:styleId="200">
    <w:name w:val="Heading 3 Char"/>
    <w:basedOn w:val="47"/>
    <w:autoRedefine/>
    <w:semiHidden/>
    <w:qFormat/>
    <w:uiPriority w:val="9"/>
    <w:rPr>
      <w:rFonts w:ascii="Calibri" w:hAnsi="Calibri"/>
      <w:b/>
      <w:bCs/>
      <w:sz w:val="32"/>
      <w:szCs w:val="32"/>
    </w:rPr>
  </w:style>
  <w:style w:type="character" w:customStyle="1" w:styleId="201">
    <w:name w:val="Heading 4 Char"/>
    <w:basedOn w:val="47"/>
    <w:autoRedefine/>
    <w:semiHidden/>
    <w:qFormat/>
    <w:uiPriority w:val="9"/>
    <w:rPr>
      <w:rFonts w:ascii="Cambria" w:hAnsi="Cambria" w:eastAsia="宋体" w:cs="Times New Roman"/>
      <w:b/>
      <w:bCs/>
      <w:sz w:val="28"/>
      <w:szCs w:val="28"/>
    </w:rPr>
  </w:style>
  <w:style w:type="character" w:customStyle="1" w:styleId="202">
    <w:name w:val="Heading 5 Char"/>
    <w:basedOn w:val="47"/>
    <w:autoRedefine/>
    <w:semiHidden/>
    <w:qFormat/>
    <w:uiPriority w:val="9"/>
    <w:rPr>
      <w:rFonts w:ascii="Calibri" w:hAnsi="Calibri"/>
      <w:b/>
      <w:bCs/>
      <w:sz w:val="28"/>
      <w:szCs w:val="28"/>
    </w:rPr>
  </w:style>
  <w:style w:type="character" w:customStyle="1" w:styleId="203">
    <w:name w:val="Heading 6 Char"/>
    <w:basedOn w:val="47"/>
    <w:autoRedefine/>
    <w:semiHidden/>
    <w:qFormat/>
    <w:uiPriority w:val="9"/>
    <w:rPr>
      <w:rFonts w:ascii="Cambria" w:hAnsi="Cambria" w:eastAsia="宋体" w:cs="Times New Roman"/>
      <w:b/>
      <w:bCs/>
      <w:sz w:val="24"/>
      <w:szCs w:val="24"/>
    </w:rPr>
  </w:style>
  <w:style w:type="character" w:customStyle="1" w:styleId="204">
    <w:name w:val="Heading 7 Char"/>
    <w:basedOn w:val="47"/>
    <w:autoRedefine/>
    <w:semiHidden/>
    <w:qFormat/>
    <w:uiPriority w:val="9"/>
    <w:rPr>
      <w:rFonts w:ascii="Calibri" w:hAnsi="Calibri"/>
      <w:b/>
      <w:bCs/>
      <w:sz w:val="24"/>
      <w:szCs w:val="24"/>
    </w:rPr>
  </w:style>
  <w:style w:type="character" w:customStyle="1" w:styleId="205">
    <w:name w:val="Heading 8 Char"/>
    <w:basedOn w:val="47"/>
    <w:autoRedefine/>
    <w:semiHidden/>
    <w:qFormat/>
    <w:uiPriority w:val="9"/>
    <w:rPr>
      <w:rFonts w:ascii="Cambria" w:hAnsi="Cambria" w:eastAsia="宋体" w:cs="Times New Roman"/>
      <w:sz w:val="24"/>
      <w:szCs w:val="24"/>
    </w:rPr>
  </w:style>
  <w:style w:type="character" w:customStyle="1" w:styleId="206">
    <w:name w:val="Heading 9 Char"/>
    <w:basedOn w:val="47"/>
    <w:autoRedefine/>
    <w:semiHidden/>
    <w:qFormat/>
    <w:uiPriority w:val="9"/>
    <w:rPr>
      <w:rFonts w:ascii="Cambria" w:hAnsi="Cambria" w:eastAsia="宋体" w:cs="Times New Roman"/>
      <w:szCs w:val="21"/>
    </w:rPr>
  </w:style>
  <w:style w:type="table" w:customStyle="1" w:styleId="207">
    <w:name w:val="网格型6"/>
    <w:basedOn w:val="45"/>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08">
    <w:name w:val="Normal_3"/>
    <w:autoRedefine/>
    <w:qFormat/>
    <w:uiPriority w:val="99"/>
    <w:pPr>
      <w:spacing w:before="120" w:after="240"/>
      <w:jc w:val="both"/>
    </w:pPr>
    <w:rPr>
      <w:rFonts w:ascii="Times New Roman" w:hAnsi="Times New Roman" w:eastAsia="宋体" w:cs="Times New Roman"/>
      <w:sz w:val="22"/>
      <w:szCs w:val="22"/>
      <w:lang w:val="en-US" w:eastAsia="en-US" w:bidi="ar-SA"/>
    </w:rPr>
  </w:style>
  <w:style w:type="paragraph" w:styleId="209">
    <w:name w:val="No Spacing"/>
    <w:autoRedefine/>
    <w:qFormat/>
    <w:uiPriority w:val="99"/>
    <w:pPr>
      <w:widowControl w:val="0"/>
      <w:jc w:val="both"/>
    </w:pPr>
    <w:rPr>
      <w:rFonts w:ascii="Times New Roman" w:hAnsi="Times New Roman" w:eastAsia="微软雅黑" w:cs="Times New Roman"/>
      <w:kern w:val="2"/>
      <w:sz w:val="18"/>
      <w:szCs w:val="22"/>
      <w:lang w:val="en-US" w:eastAsia="zh-CN" w:bidi="ar-SA"/>
    </w:rPr>
  </w:style>
  <w:style w:type="character" w:customStyle="1" w:styleId="210">
    <w:name w:val="列出段落 字符"/>
    <w:autoRedefine/>
    <w:qFormat/>
    <w:locked/>
    <w:uiPriority w:val="99"/>
    <w:rPr>
      <w:kern w:val="2"/>
      <w:sz w:val="24"/>
    </w:rPr>
  </w:style>
  <w:style w:type="paragraph" w:customStyle="1" w:styleId="211">
    <w:name w:val="二级条标题"/>
    <w:basedOn w:val="212"/>
    <w:next w:val="213"/>
    <w:autoRedefine/>
    <w:qFormat/>
    <w:uiPriority w:val="99"/>
    <w:pPr>
      <w:numPr>
        <w:ilvl w:val="3"/>
      </w:numPr>
      <w:outlineLvl w:val="3"/>
    </w:pPr>
  </w:style>
  <w:style w:type="paragraph" w:customStyle="1" w:styleId="212">
    <w:name w:val="一级条标题"/>
    <w:next w:val="213"/>
    <w:autoRedefine/>
    <w:qFormat/>
    <w:uiPriority w:val="99"/>
    <w:pPr>
      <w:numPr>
        <w:ilvl w:val="2"/>
        <w:numId w:val="2"/>
      </w:numPr>
      <w:outlineLvl w:val="2"/>
    </w:pPr>
    <w:rPr>
      <w:rFonts w:ascii="Times New Roman" w:hAnsi="Times New Roman" w:eastAsia="黑体" w:cs="Times New Roman"/>
      <w:sz w:val="21"/>
      <w:lang w:val="en-US" w:eastAsia="zh-CN" w:bidi="ar-SA"/>
    </w:rPr>
  </w:style>
  <w:style w:type="paragraph" w:customStyle="1" w:styleId="213">
    <w:name w:val="段"/>
    <w:autoRedefine/>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14">
    <w:name w:val="三级条标题"/>
    <w:basedOn w:val="211"/>
    <w:next w:val="213"/>
    <w:autoRedefine/>
    <w:qFormat/>
    <w:uiPriority w:val="99"/>
    <w:pPr>
      <w:numPr>
        <w:ilvl w:val="4"/>
      </w:numPr>
      <w:outlineLvl w:val="4"/>
    </w:pPr>
  </w:style>
  <w:style w:type="paragraph" w:customStyle="1" w:styleId="215">
    <w:name w:val="章标题"/>
    <w:next w:val="213"/>
    <w:autoRedefine/>
    <w:qFormat/>
    <w:uiPriority w:val="99"/>
    <w:pPr>
      <w:numPr>
        <w:ilvl w:val="1"/>
        <w:numId w:val="2"/>
      </w:numPr>
      <w:spacing w:beforeLines="50" w:afterLines="50"/>
      <w:jc w:val="both"/>
      <w:outlineLvl w:val="1"/>
    </w:pPr>
    <w:rPr>
      <w:rFonts w:ascii="黑体" w:hAnsi="Times New Roman" w:eastAsia="黑体" w:cs="Times New Roman"/>
      <w:sz w:val="21"/>
      <w:lang w:val="en-US" w:eastAsia="zh-CN" w:bidi="ar-SA"/>
    </w:rPr>
  </w:style>
  <w:style w:type="character" w:customStyle="1" w:styleId="216">
    <w:name w:val="font11"/>
    <w:basedOn w:val="47"/>
    <w:autoRedefine/>
    <w:qFormat/>
    <w:uiPriority w:val="99"/>
    <w:rPr>
      <w:rFonts w:ascii="宋体" w:hAnsi="宋体" w:eastAsia="宋体" w:cs="宋体"/>
      <w:color w:val="000000"/>
      <w:sz w:val="22"/>
      <w:szCs w:val="22"/>
      <w:u w:val="none"/>
    </w:rPr>
  </w:style>
  <w:style w:type="character" w:customStyle="1" w:styleId="217">
    <w:name w:val="font01"/>
    <w:basedOn w:val="47"/>
    <w:autoRedefine/>
    <w:qFormat/>
    <w:uiPriority w:val="99"/>
    <w:rPr>
      <w:rFonts w:ascii="Tahoma" w:hAnsi="Tahoma" w:cs="Tahoma"/>
      <w:color w:val="000000"/>
      <w:sz w:val="22"/>
      <w:szCs w:val="22"/>
      <w:u w:val="none"/>
    </w:rPr>
  </w:style>
  <w:style w:type="character" w:customStyle="1" w:styleId="218">
    <w:name w:val="列表段落 字符"/>
    <w:link w:val="219"/>
    <w:autoRedefine/>
    <w:qFormat/>
    <w:locked/>
    <w:uiPriority w:val="99"/>
    <w:rPr>
      <w:sz w:val="21"/>
    </w:rPr>
  </w:style>
  <w:style w:type="paragraph" w:customStyle="1" w:styleId="219">
    <w:name w:val="列表段落"/>
    <w:basedOn w:val="1"/>
    <w:link w:val="218"/>
    <w:autoRedefine/>
    <w:qFormat/>
    <w:uiPriority w:val="99"/>
    <w:pPr>
      <w:spacing w:line="360" w:lineRule="auto"/>
      <w:ind w:firstLine="420" w:firstLineChars="200"/>
    </w:pPr>
    <w:rPr>
      <w:kern w:val="0"/>
      <w:szCs w:val="20"/>
    </w:rPr>
  </w:style>
  <w:style w:type="character" w:customStyle="1" w:styleId="220">
    <w:name w:val="Comment Text Char1"/>
    <w:autoRedefine/>
    <w:qFormat/>
    <w:locked/>
    <w:uiPriority w:val="99"/>
    <w:rPr>
      <w:rFonts w:eastAsia="宋体"/>
      <w:sz w:val="21"/>
    </w:rPr>
  </w:style>
  <w:style w:type="character" w:customStyle="1" w:styleId="221">
    <w:name w:val="批注文字 Char1"/>
    <w:basedOn w:val="47"/>
    <w:autoRedefine/>
    <w:semiHidden/>
    <w:qFormat/>
    <w:locked/>
    <w:uiPriority w:val="99"/>
    <w:rPr>
      <w:rFonts w:ascii="Calibri" w:hAnsi="Calibri" w:cs="Times New Roman"/>
    </w:rPr>
  </w:style>
  <w:style w:type="character" w:customStyle="1" w:styleId="222">
    <w:name w:val="批注文字 字符"/>
    <w:autoRedefine/>
    <w:qFormat/>
    <w:uiPriority w:val="99"/>
    <w:rPr>
      <w:rFonts w:eastAsia="宋体"/>
      <w:sz w:val="21"/>
    </w:rPr>
  </w:style>
  <w:style w:type="character" w:customStyle="1" w:styleId="223">
    <w:name w:val="页脚 字符"/>
    <w:autoRedefine/>
    <w:qFormat/>
    <w:uiPriority w:val="99"/>
    <w:rPr>
      <w:rFonts w:eastAsia="宋体"/>
      <w:sz w:val="18"/>
    </w:rPr>
  </w:style>
  <w:style w:type="character" w:customStyle="1" w:styleId="224">
    <w:name w:val="页眉 字符"/>
    <w:autoRedefine/>
    <w:qFormat/>
    <w:uiPriority w:val="99"/>
    <w:rPr>
      <w:rFonts w:eastAsia="宋体"/>
      <w:sz w:val="18"/>
    </w:rPr>
  </w:style>
  <w:style w:type="character" w:customStyle="1" w:styleId="225">
    <w:name w:val="标题 1 字符"/>
    <w:autoRedefine/>
    <w:qFormat/>
    <w:uiPriority w:val="99"/>
    <w:rPr>
      <w:rFonts w:eastAsia="宋体"/>
      <w:b/>
      <w:kern w:val="44"/>
      <w:sz w:val="44"/>
    </w:rPr>
  </w:style>
  <w:style w:type="character" w:customStyle="1" w:styleId="226">
    <w:name w:val="标题 2 字符"/>
    <w:autoRedefine/>
    <w:qFormat/>
    <w:uiPriority w:val="99"/>
    <w:rPr>
      <w:rFonts w:ascii="宋体" w:eastAsia="宋体"/>
      <w:b/>
      <w:color w:val="000000"/>
      <w:kern w:val="2"/>
      <w:sz w:val="32"/>
    </w:rPr>
  </w:style>
  <w:style w:type="paragraph" w:customStyle="1" w:styleId="227">
    <w:name w:val="xl35461"/>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28">
    <w:name w:val="xl3543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29">
    <w:name w:val="xl3545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30">
    <w:name w:val="xl3544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31">
    <w:name w:val="xl3544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32">
    <w:name w:val="xl3546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3">
    <w:name w:val="xl3545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34">
    <w:name w:val="xl3544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35">
    <w:name w:val="xl35453"/>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36">
    <w:name w:val="xl35433"/>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37">
    <w:name w:val="xl35471"/>
    <w:basedOn w:val="1"/>
    <w:autoRedefine/>
    <w:qFormat/>
    <w:uiPriority w:val="99"/>
    <w:pPr>
      <w:widowControl/>
      <w:spacing w:before="100" w:beforeAutospacing="1" w:after="100" w:afterAutospacing="1"/>
      <w:jc w:val="center"/>
    </w:pPr>
    <w:rPr>
      <w:rFonts w:ascii="宋体" w:hAnsi="宋体" w:cs="宋体"/>
      <w:kern w:val="0"/>
      <w:sz w:val="20"/>
      <w:szCs w:val="20"/>
    </w:rPr>
  </w:style>
  <w:style w:type="paragraph" w:customStyle="1" w:styleId="238">
    <w:name w:val="xl35441"/>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39">
    <w:name w:val="xl3543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character" w:customStyle="1" w:styleId="240">
    <w:name w:val="Comment Subject Char"/>
    <w:basedOn w:val="221"/>
    <w:autoRedefine/>
    <w:semiHidden/>
    <w:qFormat/>
    <w:uiPriority w:val="99"/>
    <w:rPr>
      <w:rFonts w:ascii="Calibri" w:hAnsi="Calibri" w:cs="Times New Roman"/>
      <w:b/>
      <w:bCs/>
    </w:rPr>
  </w:style>
  <w:style w:type="paragraph" w:customStyle="1" w:styleId="241">
    <w:name w:val="xl3545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42">
    <w:name w:val="xl3544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43">
    <w:name w:val="4"/>
    <w:basedOn w:val="1"/>
    <w:next w:val="219"/>
    <w:autoRedefine/>
    <w:qFormat/>
    <w:uiPriority w:val="99"/>
    <w:pPr>
      <w:ind w:firstLine="420" w:firstLineChars="200"/>
    </w:pPr>
    <w:rPr>
      <w:rFonts w:ascii="Calibri" w:hAnsi="Calibri"/>
      <w:szCs w:val="22"/>
    </w:rPr>
  </w:style>
  <w:style w:type="paragraph" w:customStyle="1" w:styleId="244">
    <w:name w:val="xl3546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45">
    <w:name w:val="修订1"/>
    <w:autoRedefine/>
    <w:qFormat/>
    <w:uiPriority w:val="99"/>
    <w:rPr>
      <w:rFonts w:ascii="Calibri" w:hAnsi="Calibri" w:eastAsia="宋体" w:cs="Times New Roman"/>
      <w:kern w:val="2"/>
      <w:sz w:val="24"/>
      <w:szCs w:val="21"/>
      <w:lang w:val="en-US" w:eastAsia="zh-CN" w:bidi="ar-SA"/>
    </w:rPr>
  </w:style>
  <w:style w:type="paragraph" w:customStyle="1" w:styleId="246">
    <w:name w:val="xl3544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47">
    <w:name w:val="xl3546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48">
    <w:name w:val="xl3545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49">
    <w:name w:val="USE 1"/>
    <w:basedOn w:val="1"/>
    <w:autoRedefine/>
    <w:qFormat/>
    <w:uiPriority w:val="99"/>
    <w:pPr>
      <w:spacing w:line="200" w:lineRule="atLeast"/>
      <w:jc w:val="left"/>
    </w:pPr>
    <w:rPr>
      <w:rFonts w:ascii="宋体" w:hAnsi="宋体"/>
      <w:b/>
      <w:sz w:val="24"/>
      <w:szCs w:val="28"/>
    </w:rPr>
  </w:style>
  <w:style w:type="paragraph" w:customStyle="1" w:styleId="250">
    <w:name w:val="xl3545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1">
    <w:name w:val="xl3546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2">
    <w:name w:val="xl3543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3">
    <w:name w:val="xl35439"/>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4">
    <w:name w:val="xl35470"/>
    <w:basedOn w:val="1"/>
    <w:autoRedefine/>
    <w:qFormat/>
    <w:uiPriority w:val="99"/>
    <w:pPr>
      <w:widowControl/>
      <w:spacing w:before="100" w:beforeAutospacing="1" w:after="100" w:afterAutospacing="1"/>
      <w:jc w:val="left"/>
    </w:pPr>
    <w:rPr>
      <w:rFonts w:ascii="宋体" w:hAnsi="宋体" w:cs="宋体"/>
      <w:kern w:val="0"/>
      <w:sz w:val="20"/>
      <w:szCs w:val="20"/>
    </w:rPr>
  </w:style>
  <w:style w:type="paragraph" w:customStyle="1" w:styleId="255">
    <w:name w:val="标准文本"/>
    <w:basedOn w:val="1"/>
    <w:autoRedefine/>
    <w:qFormat/>
    <w:uiPriority w:val="99"/>
    <w:pPr>
      <w:spacing w:line="360" w:lineRule="auto"/>
      <w:ind w:firstLine="480" w:firstLineChars="200"/>
    </w:pPr>
    <w:rPr>
      <w:rFonts w:ascii="Calibri" w:hAnsi="Calibri" w:cs="Calibri"/>
      <w:kern w:val="0"/>
      <w:sz w:val="24"/>
    </w:rPr>
  </w:style>
  <w:style w:type="character" w:customStyle="1" w:styleId="256">
    <w:name w:val="Balloon Text Char"/>
    <w:basedOn w:val="47"/>
    <w:autoRedefine/>
    <w:semiHidden/>
    <w:qFormat/>
    <w:uiPriority w:val="99"/>
    <w:rPr>
      <w:rFonts w:ascii="Calibri" w:hAnsi="Calibri"/>
      <w:sz w:val="0"/>
      <w:szCs w:val="0"/>
    </w:rPr>
  </w:style>
  <w:style w:type="character" w:customStyle="1" w:styleId="257">
    <w:name w:val="Title Char"/>
    <w:basedOn w:val="47"/>
    <w:autoRedefine/>
    <w:qFormat/>
    <w:uiPriority w:val="10"/>
    <w:rPr>
      <w:rFonts w:ascii="Cambria" w:hAnsi="Cambria" w:cs="Times New Roman"/>
      <w:b/>
      <w:bCs/>
      <w:sz w:val="32"/>
      <w:szCs w:val="32"/>
    </w:rPr>
  </w:style>
  <w:style w:type="paragraph" w:customStyle="1" w:styleId="258">
    <w:name w:val="xl35430"/>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59">
    <w:name w:val="xl3545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0">
    <w:name w:val="xl3543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1">
    <w:name w:val="xl35469"/>
    <w:basedOn w:val="1"/>
    <w:autoRedefine/>
    <w:qFormat/>
    <w:uiPriority w:val="99"/>
    <w:pPr>
      <w:widowControl/>
      <w:spacing w:before="100" w:beforeAutospacing="1" w:after="100" w:afterAutospacing="1"/>
      <w:jc w:val="center"/>
    </w:pPr>
    <w:rPr>
      <w:rFonts w:ascii="宋体" w:hAnsi="宋体" w:cs="宋体"/>
      <w:kern w:val="0"/>
      <w:sz w:val="20"/>
      <w:szCs w:val="20"/>
    </w:rPr>
  </w:style>
  <w:style w:type="paragraph" w:customStyle="1" w:styleId="262">
    <w:name w:val="xl3546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3">
    <w:name w:val="xl35451"/>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4">
    <w:name w:val="xl3544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5">
    <w:name w:val="xl35449"/>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6">
    <w:name w:val="xl35429"/>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b/>
      <w:bCs/>
      <w:kern w:val="0"/>
      <w:sz w:val="20"/>
      <w:szCs w:val="20"/>
    </w:rPr>
  </w:style>
  <w:style w:type="paragraph" w:customStyle="1" w:styleId="267">
    <w:name w:val="xl35473"/>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8">
    <w:name w:val="xl3547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69">
    <w:name w:val="列表段落1"/>
    <w:basedOn w:val="1"/>
    <w:autoRedefine/>
    <w:qFormat/>
    <w:uiPriority w:val="99"/>
    <w:pPr>
      <w:ind w:firstLine="420" w:firstLineChars="200"/>
    </w:pPr>
    <w:rPr>
      <w:szCs w:val="20"/>
    </w:rPr>
  </w:style>
  <w:style w:type="paragraph" w:customStyle="1" w:styleId="270">
    <w:name w:val="xl35452"/>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71">
    <w:name w:val="xl35448"/>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72">
    <w:name w:val="xl35431"/>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73">
    <w:name w:val="xl35463"/>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74">
    <w:name w:val="xl35437"/>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75">
    <w:name w:val="xl35459"/>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76">
    <w:name w:val="xl3546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77">
    <w:name w:val="xl35443"/>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78">
    <w:name w:val="默认段落字体 Para Char Char Char1 Char Char Char Char Char Char Char"/>
    <w:basedOn w:val="1"/>
    <w:autoRedefine/>
    <w:qFormat/>
    <w:uiPriority w:val="99"/>
    <w:pPr>
      <w:widowControl/>
      <w:adjustRightInd w:val="0"/>
      <w:spacing w:line="360" w:lineRule="auto"/>
      <w:jc w:val="left"/>
    </w:pPr>
  </w:style>
  <w:style w:type="paragraph" w:customStyle="1" w:styleId="279">
    <w:name w:val="xl35477"/>
    <w:basedOn w:val="1"/>
    <w:autoRedefine/>
    <w:qFormat/>
    <w:uiPriority w:val="99"/>
    <w:pPr>
      <w:widowControl/>
      <w:pBdr>
        <w:top w:val="single" w:color="auto" w:sz="4" w:space="0"/>
        <w:left w:val="single" w:color="auto" w:sz="4" w:space="0"/>
        <w:bottom w:val="single" w:color="auto" w:sz="4" w:space="0"/>
        <w:right w:val="single" w:color="auto" w:sz="4" w:space="0"/>
      </w:pBdr>
      <w:shd w:val="clear" w:color="000000" w:fill="FFFFFF"/>
      <w:spacing w:before="100" w:beforeAutospacing="1" w:after="100" w:afterAutospacing="1"/>
      <w:jc w:val="center"/>
    </w:pPr>
    <w:rPr>
      <w:rFonts w:ascii="宋体" w:hAnsi="宋体" w:cs="宋体"/>
      <w:kern w:val="0"/>
      <w:sz w:val="20"/>
      <w:szCs w:val="20"/>
    </w:rPr>
  </w:style>
  <w:style w:type="paragraph" w:customStyle="1" w:styleId="280">
    <w:name w:val="xl35475"/>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0"/>
      <w:szCs w:val="20"/>
    </w:rPr>
  </w:style>
  <w:style w:type="paragraph" w:customStyle="1" w:styleId="281">
    <w:name w:val="xl3547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2">
    <w:name w:val="xl3547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3">
    <w:name w:val="xl35436"/>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4">
    <w:name w:val="xl35464"/>
    <w:basedOn w:val="1"/>
    <w:autoRedefine/>
    <w:qFormat/>
    <w:uiPriority w:val="99"/>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s="宋体"/>
      <w:kern w:val="0"/>
      <w:sz w:val="20"/>
      <w:szCs w:val="20"/>
    </w:rPr>
  </w:style>
  <w:style w:type="paragraph" w:customStyle="1" w:styleId="285">
    <w:name w:val="UserStyle_11"/>
    <w:basedOn w:val="1"/>
    <w:autoRedefine/>
    <w:qFormat/>
    <w:uiPriority w:val="0"/>
    <w:pPr>
      <w:ind w:firstLine="420" w:firstLineChars="200"/>
    </w:pPr>
    <w:rPr>
      <w:kern w:val="0"/>
      <w:sz w:val="20"/>
    </w:rPr>
  </w:style>
  <w:style w:type="paragraph" w:customStyle="1" w:styleId="286">
    <w:name w:val="xl55"/>
    <w:basedOn w:val="1"/>
    <w:autoRedefine/>
    <w:qFormat/>
    <w:uiPriority w:val="0"/>
    <w:pPr>
      <w:widowControl/>
      <w:spacing w:before="100" w:beforeAutospacing="1" w:after="100" w:afterAutospacing="1"/>
      <w:jc w:val="center"/>
      <w:textAlignment w:val="center"/>
    </w:pPr>
    <w:rPr>
      <w:rFonts w:ascii="Arial Unicode MS" w:hAnsi="Arial Unicode MS"/>
      <w:kern w:val="0"/>
      <w:sz w:val="24"/>
    </w:rPr>
  </w:style>
  <w:style w:type="paragraph" w:customStyle="1" w:styleId="287">
    <w:name w:val="xl38"/>
    <w:basedOn w:val="1"/>
    <w:autoRedefine/>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kern w:val="0"/>
      <w:sz w:val="24"/>
    </w:rPr>
  </w:style>
  <w:style w:type="character" w:customStyle="1" w:styleId="288">
    <w:name w:val="btn-print"/>
    <w:basedOn w:val="47"/>
    <w:autoRedefine/>
    <w:qFormat/>
    <w:uiPriority w:val="0"/>
    <w:rPr>
      <w:rFonts w:ascii="微软雅黑" w:hAnsi="微软雅黑" w:eastAsia="微软雅黑" w:cs="微软雅黑"/>
      <w:color w:val="3A3A3A"/>
      <w:sz w:val="19"/>
      <w:szCs w:val="19"/>
      <w:bdr w:val="outset" w:color="FFFFFF" w:sz="6" w:space="0"/>
      <w:shd w:val="clear" w:color="auto" w:fill="FFFFFF"/>
    </w:rPr>
  </w:style>
  <w:style w:type="paragraph" w:customStyle="1" w:styleId="289">
    <w:name w:val="Table Paragraph"/>
    <w:basedOn w:val="1"/>
    <w:autoRedefine/>
    <w:qFormat/>
    <w:uiPriority w:val="1"/>
    <w:pPr>
      <w:jc w:val="left"/>
    </w:pPr>
    <w:rPr>
      <w:kern w:val="0"/>
      <w:sz w:val="22"/>
      <w:lang w:eastAsia="en-US"/>
    </w:rPr>
  </w:style>
  <w:style w:type="paragraph" w:customStyle="1" w:styleId="290">
    <w:name w:val="PlainText"/>
    <w:basedOn w:val="1"/>
    <w:autoRedefine/>
    <w:qFormat/>
    <w:uiPriority w:val="0"/>
    <w:rPr>
      <w:rFonts w:ascii="宋体" w:hAnsi="Courier New"/>
      <w:szCs w:val="20"/>
    </w:rPr>
  </w:style>
  <w:style w:type="character" w:customStyle="1" w:styleId="291">
    <w:name w:val="font31"/>
    <w:basedOn w:val="47"/>
    <w:autoRedefine/>
    <w:qFormat/>
    <w:uiPriority w:val="0"/>
    <w:rPr>
      <w:rFonts w:hint="eastAsia" w:ascii="宋体" w:hAnsi="宋体" w:eastAsia="宋体" w:cs="宋体"/>
      <w:b/>
      <w:bCs/>
      <w:color w:val="000000"/>
      <w:sz w:val="21"/>
      <w:szCs w:val="21"/>
      <w:u w:val="none"/>
    </w:rPr>
  </w:style>
  <w:style w:type="character" w:customStyle="1" w:styleId="292">
    <w:name w:val="font51"/>
    <w:basedOn w:val="47"/>
    <w:autoRedefine/>
    <w:qFormat/>
    <w:uiPriority w:val="0"/>
    <w:rPr>
      <w:rFonts w:hint="eastAsia" w:ascii="宋体" w:hAnsi="宋体" w:eastAsia="宋体" w:cs="宋体"/>
      <w:b/>
      <w:bCs/>
      <w:color w:val="000000"/>
      <w:sz w:val="21"/>
      <w:szCs w:val="21"/>
      <w:u w:val="single"/>
    </w:rPr>
  </w:style>
  <w:style w:type="character" w:customStyle="1" w:styleId="293">
    <w:name w:val="font41"/>
    <w:basedOn w:val="47"/>
    <w:autoRedefine/>
    <w:qFormat/>
    <w:uiPriority w:val="0"/>
    <w:rPr>
      <w:rFonts w:hint="eastAsia" w:ascii="宋体" w:hAnsi="宋体" w:eastAsia="宋体" w:cs="宋体"/>
      <w:b/>
      <w:bCs/>
      <w:color w:val="000000"/>
      <w:sz w:val="21"/>
      <w:szCs w:val="21"/>
      <w:u w:val="none"/>
    </w:rPr>
  </w:style>
  <w:style w:type="paragraph" w:customStyle="1" w:styleId="294">
    <w:name w:val="正文_0"/>
    <w:autoRedefine/>
    <w:qFormat/>
    <w:uiPriority w:val="0"/>
    <w:pPr>
      <w:widowControl w:val="0"/>
      <w:spacing w:line="360" w:lineRule="auto"/>
      <w:jc w:val="both"/>
    </w:pPr>
    <w:rPr>
      <w:rFonts w:ascii="Times New Roman" w:hAnsi="Times New Roman" w:eastAsia="宋体" w:cs="Times New Roman"/>
      <w:kern w:val="2"/>
      <w:sz w:val="21"/>
      <w:szCs w:val="24"/>
      <w:lang w:val="en-US" w:eastAsia="zh-CN" w:bidi="ar-SA"/>
    </w:rPr>
  </w:style>
  <w:style w:type="paragraph" w:customStyle="1" w:styleId="295">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296">
    <w:name w:val="Normal_14"/>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7">
    <w:name w:val="Normal_3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98">
    <w:name w:val="正文_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99">
    <w:name w:val="正文_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0">
    <w:name w:val="正文_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1">
    <w:name w:val="正文_8"/>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2">
    <w:name w:val="正文_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3">
    <w:name w:val="正文_1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4">
    <w:name w:val="正文_1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5">
    <w:name w:val="正文_1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6">
    <w:name w:val="正文_1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7">
    <w:name w:val="正文_1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8">
    <w:name w:val="正文_1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09">
    <w:name w:val="正文_16"/>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10">
    <w:name w:val="超链接_0"/>
    <w:basedOn w:val="47"/>
    <w:autoRedefine/>
    <w:unhideWhenUsed/>
    <w:qFormat/>
    <w:uiPriority w:val="99"/>
    <w:rPr>
      <w:color w:val="0000FF"/>
      <w:u w:val="single"/>
    </w:rPr>
  </w:style>
  <w:style w:type="paragraph" w:customStyle="1" w:styleId="311">
    <w:name w:val="正文_1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2">
    <w:name w:val="正文_18"/>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3">
    <w:name w:val="正文_19"/>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4">
    <w:name w:val="正文_2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5">
    <w:name w:val="正文_2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6">
    <w:name w:val="正文_2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7">
    <w:name w:val="正文_2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8">
    <w:name w:val="正文_2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19">
    <w:name w:val="正文_2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0">
    <w:name w:val="正文_2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1">
    <w:name w:val="正文_2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2">
    <w:name w:val="正文_28"/>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3">
    <w:name w:val="正文_29"/>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4">
    <w:name w:val="正文_3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5">
    <w:name w:val="正文_3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6">
    <w:name w:val="正文_3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7">
    <w:name w:val="正文_3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8">
    <w:name w:val="正文_3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29">
    <w:name w:val="正文_3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0">
    <w:name w:val="正文_3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1">
    <w:name w:val="正文首行缩进 2_0"/>
    <w:basedOn w:val="332"/>
    <w:autoRedefine/>
    <w:unhideWhenUsed/>
    <w:qFormat/>
    <w:uiPriority w:val="99"/>
    <w:pPr>
      <w:spacing w:before="100" w:beforeAutospacing="1"/>
      <w:ind w:firstLine="420" w:firstLineChars="200"/>
    </w:pPr>
    <w:rPr>
      <w:rFonts w:ascii="Calibri" w:hAnsi="Calibri" w:cs="宋体"/>
      <w:szCs w:val="21"/>
    </w:rPr>
  </w:style>
  <w:style w:type="paragraph" w:customStyle="1" w:styleId="332">
    <w:name w:val="正文文本缩进_1"/>
    <w:basedOn w:val="333"/>
    <w:autoRedefine/>
    <w:semiHidden/>
    <w:unhideWhenUsed/>
    <w:qFormat/>
    <w:uiPriority w:val="99"/>
    <w:pPr>
      <w:spacing w:after="120"/>
      <w:ind w:left="420" w:leftChars="200"/>
    </w:pPr>
  </w:style>
  <w:style w:type="paragraph" w:customStyle="1" w:styleId="333">
    <w:name w:val="正文_3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4">
    <w:name w:val="正文_38"/>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5">
    <w:name w:val="正文_39"/>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6">
    <w:name w:val="正文_4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7">
    <w:name w:val="正文_4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8">
    <w:name w:val="正文_4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39">
    <w:name w:val="正文_4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0">
    <w:name w:val="正文_4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1">
    <w:name w:val="正文_45"/>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2">
    <w:name w:val="正文_4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3">
    <w:name w:val="正文_4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4">
    <w:name w:val="正文_48"/>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5">
    <w:name w:val="正文_49"/>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6">
    <w:name w:val="正文_5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7">
    <w:name w:val="正文_5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8">
    <w:name w:val="正文_5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49">
    <w:name w:val="正文_53"/>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0">
    <w:name w:val="正文_54"/>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1">
    <w:name w:val="正文_5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2">
    <w:name w:val="正文_5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3">
    <w:name w:val="正文_57"/>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4">
    <w:name w:val="正文_58"/>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5">
    <w:name w:val="正文_59"/>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6">
    <w:name w:val="正文_60"/>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7">
    <w:name w:val="正文_61"/>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8">
    <w:name w:val="正文_6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59">
    <w:name w:val="正文_63"/>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0">
    <w:name w:val="正文_64"/>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1">
    <w:name w:val="正文_65"/>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2">
    <w:name w:val="正文_66"/>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3">
    <w:name w:val="正文_67"/>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364">
    <w:name w:val="Normal_8"/>
    <w:autoRedefine/>
    <w:qFormat/>
    <w:uiPriority w:val="0"/>
    <w:rPr>
      <w:rFonts w:ascii="Times New Roman" w:hAnsi="Times New Roman" w:eastAsia="Times New Roman" w:cs="Times New Roman"/>
      <w:sz w:val="24"/>
      <w:szCs w:val="24"/>
      <w:lang w:val="en-US" w:eastAsia="zh-CN" w:bidi="ar-SA"/>
    </w:rPr>
  </w:style>
  <w:style w:type="paragraph" w:customStyle="1" w:styleId="365">
    <w:name w:val="HtmlNormal"/>
    <w:basedOn w:val="1"/>
    <w:autoRedefine/>
    <w:qFormat/>
    <w:uiPriority w:val="0"/>
    <w:pPr>
      <w:spacing w:before="100" w:beforeAutospacing="1" w:after="100" w:afterAutospacing="1"/>
      <w:jc w:val="left"/>
    </w:pPr>
    <w:rPr>
      <w:rFonts w:ascii="宋体" w:hAnsi="宋体"/>
      <w:kern w:val="0"/>
      <w:sz w:val="24"/>
    </w:rPr>
  </w:style>
  <w:style w:type="paragraph" w:customStyle="1" w:styleId="366">
    <w:name w:val="无间隔1"/>
    <w:autoRedefine/>
    <w:qFormat/>
    <w:uiPriority w:val="99"/>
    <w:pPr>
      <w:widowControl w:val="0"/>
      <w:jc w:val="both"/>
    </w:pPr>
    <w:rPr>
      <w:rFonts w:ascii="Calibri" w:hAnsi="Calibri" w:eastAsia="宋体" w:cs="Calibri"/>
      <w:kern w:val="2"/>
      <w:sz w:val="21"/>
      <w:szCs w:val="21"/>
      <w:lang w:val="en-US" w:eastAsia="zh-CN" w:bidi="ar-SA"/>
    </w:rPr>
  </w:style>
  <w:style w:type="paragraph" w:customStyle="1" w:styleId="367">
    <w:name w:val="正文2"/>
    <w:autoRedefine/>
    <w:qFormat/>
    <w:uiPriority w:val="0"/>
    <w:pPr>
      <w:jc w:val="both"/>
    </w:pPr>
    <w:rPr>
      <w:rFonts w:ascii="Calibri" w:hAnsi="Calibri" w:eastAsia="宋体" w:cs="Calibri"/>
      <w:kern w:val="2"/>
      <w:sz w:val="21"/>
      <w:szCs w:val="21"/>
      <w:lang w:val="en-US" w:eastAsia="zh-CN" w:bidi="ar-SA"/>
    </w:rPr>
  </w:style>
  <w:style w:type="paragraph" w:customStyle="1" w:styleId="368">
    <w:name w:val="正文（缩进）"/>
    <w:basedOn w:val="1"/>
    <w:qFormat/>
    <w:uiPriority w:val="0"/>
    <w:pPr>
      <w:widowControl/>
      <w:spacing w:before="156" w:after="156" w:line="240" w:lineRule="auto"/>
      <w:ind w:firstLine="480" w:firstLineChars="200"/>
      <w:jc w:val="left"/>
    </w:pPr>
    <w:rPr>
      <w:rFonts w:ascii="仿宋_GB2312"/>
    </w:rPr>
  </w:style>
  <w:style w:type="paragraph" w:customStyle="1" w:styleId="369">
    <w:name w:val="正文格式"/>
    <w:basedOn w:val="1"/>
    <w:qFormat/>
    <w:uiPriority w:val="0"/>
    <w:pPr>
      <w:widowControl/>
      <w:adjustRightInd w:val="0"/>
      <w:snapToGrid w:val="0"/>
      <w:spacing w:line="400" w:lineRule="atLeast"/>
      <w:ind w:firstLine="482"/>
      <w:textAlignment w:val="baseline"/>
    </w:pPr>
    <w:rPr>
      <w:kern w:val="0"/>
      <w:sz w:val="24"/>
    </w:rPr>
  </w:style>
  <w:style w:type="paragraph" w:customStyle="1" w:styleId="370">
    <w:name w:val="Plain Text"/>
    <w:basedOn w:val="1"/>
    <w:qFormat/>
    <w:uiPriority w:val="0"/>
    <w:rPr>
      <w:rFonts w:ascii="Arial" w:hAnsi="黑体" w:eastAsia="Arial"/>
      <w:kern w:val="2"/>
      <w:sz w:val="21"/>
      <w:lang w:val="en-US" w:eastAsia="zh-CN"/>
    </w:rPr>
  </w:style>
  <w:style w:type="paragraph" w:customStyle="1" w:styleId="371">
    <w:name w:val="样式2"/>
    <w:next w:val="1"/>
    <w:qFormat/>
    <w:uiPriority w:val="0"/>
    <w:pPr>
      <w:widowControl w:val="0"/>
      <w:spacing w:line="480" w:lineRule="exact"/>
      <w:ind w:firstLine="420" w:firstLineChars="200"/>
      <w:jc w:val="left"/>
    </w:pPr>
    <w:rPr>
      <w:rFonts w:ascii="Times New Roman" w:hAnsi="Times New Roman" w:eastAsia="宋体" w:cs="Times New Roman"/>
      <w:kern w:val="2"/>
      <w:sz w:val="28"/>
      <w:szCs w:val="21"/>
      <w:lang w:val="en-US" w:eastAsia="zh-CN" w:bidi="ar-SA"/>
    </w:rPr>
  </w:style>
  <w:style w:type="table" w:customStyle="1" w:styleId="372">
    <w:name w:val="Table Normal"/>
    <w:unhideWhenUsed/>
    <w:qFormat/>
    <w:uiPriority w:val="0"/>
    <w:tblPr>
      <w:tblCellMar>
        <w:top w:w="0" w:type="dxa"/>
        <w:left w:w="0" w:type="dxa"/>
        <w:bottom w:w="0" w:type="dxa"/>
        <w:right w:w="0" w:type="dxa"/>
      </w:tblCellMar>
    </w:tblPr>
  </w:style>
  <w:style w:type="paragraph" w:customStyle="1" w:styleId="373">
    <w:name w:val="BodyText1I2"/>
    <w:qFormat/>
    <w:uiPriority w:val="0"/>
    <w:pPr>
      <w:widowControl/>
      <w:spacing w:after="120"/>
      <w:ind w:left="420" w:leftChars="200" w:firstLine="420" w:firstLineChars="200"/>
      <w:jc w:val="both"/>
      <w:textAlignment w:val="baseline"/>
    </w:pPr>
    <w:rPr>
      <w:rFonts w:ascii="Times New Roman" w:hAnsi="Times New Roman" w:eastAsia="宋体" w:cs="Times New Roman"/>
      <w:kern w:val="2"/>
      <w:sz w:val="21"/>
      <w:szCs w:val="24"/>
      <w:lang w:val="en-US" w:eastAsia="zh-CN" w:bidi="ar-SA"/>
    </w:rPr>
  </w:style>
  <w:style w:type="paragraph" w:customStyle="1" w:styleId="374">
    <w:name w:val="BodyTextIndent"/>
    <w:qFormat/>
    <w:uiPriority w:val="0"/>
    <w:pPr>
      <w:widowControl w:val="0"/>
      <w:spacing w:after="120"/>
      <w:ind w:left="420" w:leftChars="200"/>
      <w:jc w:val="both"/>
      <w:textAlignment w:val="baseline"/>
    </w:pPr>
    <w:rPr>
      <w:rFonts w:ascii="Times New Roman" w:hAnsi="Times New Roman" w:eastAsia="宋体" w:cs="Times New Roman"/>
      <w:kern w:val="2"/>
      <w:sz w:val="21"/>
      <w:szCs w:val="24"/>
      <w:lang w:val="en-US" w:eastAsia="zh-CN" w:bidi="ar-SA"/>
    </w:rPr>
  </w:style>
  <w:style w:type="paragraph" w:customStyle="1" w:styleId="375">
    <w:name w:val="Body Text Indent"/>
    <w:qFormat/>
    <w:uiPriority w:val="0"/>
    <w:pPr>
      <w:widowControl w:val="0"/>
      <w:spacing w:after="120" w:afterLines="0" w:afterAutospacing="0"/>
      <w:ind w:left="420" w:leftChars="200"/>
      <w:jc w:val="both"/>
    </w:pPr>
    <w:rPr>
      <w:rFonts w:ascii="Times New Roman" w:hAnsi="Times New Roman" w:eastAsia="宋体" w:cs="Times New Roman"/>
      <w:kern w:val="2"/>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user</Company>
  <Pages>98</Pages>
  <Words>24799</Words>
  <Characters>26100</Characters>
  <Lines>387</Lines>
  <Paragraphs>109</Paragraphs>
  <TotalTime>1</TotalTime>
  <ScaleCrop>false</ScaleCrop>
  <LinksUpToDate>false</LinksUpToDate>
  <CharactersWithSpaces>26676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2023-08-29T07:04:00Z</dcterms:created>
  <dc:creator>Windows 用户</dc:creator>
  <cp:lastModifiedBy>pc</cp:lastModifiedBy>
  <cp:lastPrinted>2026-06-26T02:38:00Z</cp:lastPrinted>
  <dcterms:modified xsi:type="dcterms:W3CDTF">2026-06-29T07:10:37Z</dcterms:modified>
  <dc:title>政府采购</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D954AB656A8E4A369F721E4E2C92AC26_13</vt:lpwstr>
  </property>
  <property fmtid="{D5CDD505-2E9C-101B-9397-08002B2CF9AE}" pid="4" name="KSOTemplateDocerSaveRecord">
    <vt:lpwstr>eyJoZGlkIjoiOWUzZDI1YzhlZjQ3NzUxZTNlNzE0NTJjMWRkZjc4Y2UiLCJ1c2VySWQiOiI1NjM4OTMyMzMifQ==</vt:lpwstr>
  </property>
</Properties>
</file>