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83541">
      <w:pPr>
        <w:pStyle w:val="2"/>
        <w:keepNext w:val="0"/>
        <w:pageBreakBefore w:val="0"/>
        <w:shd w:val="clear"/>
        <w:wordWrap/>
        <w:overflowPunct/>
        <w:topLinePunct w:val="0"/>
        <w:bidi w:val="0"/>
        <w:adjustRightInd w:val="0"/>
        <w:snapToGrid w:val="0"/>
        <w:spacing w:before="156" w:beforeLines="50" w:line="360" w:lineRule="auto"/>
        <w:rPr>
          <w:rFonts w:hint="eastAsia"/>
          <w:highlight w:val="red"/>
        </w:rPr>
      </w:pPr>
      <w:bookmarkStart w:id="0" w:name="_Toc256000037"/>
      <w:r>
        <w:rPr>
          <w:rFonts w:hint="eastAsia" w:ascii="黑体" w:hAnsi="华文中宋" w:eastAsia="黑体"/>
          <w:sz w:val="32"/>
          <w:szCs w:val="32"/>
          <w:highlight w:val="none"/>
          <w:shd w:val="clear" w:color="auto" w:fill="auto"/>
        </w:rPr>
        <w:t>采购需求</w:t>
      </w:r>
      <w:bookmarkEnd w:id="0"/>
    </w:p>
    <w:p w14:paraId="6E84BA5E">
      <w:pPr>
        <w:pStyle w:val="13"/>
        <w:keepNext/>
        <w:keepLines/>
        <w:pageBreakBefore w:val="0"/>
        <w:widowControl w:val="0"/>
        <w:wordWrap/>
        <w:overflowPunct/>
        <w:topLinePunct w:val="0"/>
        <w:bidi w:val="0"/>
        <w:adjustRightInd w:val="0"/>
        <w:snapToGrid w:val="0"/>
        <w:spacing w:before="156" w:beforeLines="50" w:line="360" w:lineRule="auto"/>
        <w:jc w:val="center"/>
        <w:outlineLvl w:val="1"/>
        <w:rPr>
          <w:rStyle w:val="12"/>
          <w:rFonts w:hint="eastAsia" w:ascii="黑体" w:hAnsi="黑体" w:eastAsia="黑体" w:cs="Times New Roman"/>
          <w:b/>
          <w:bCs/>
          <w:color w:val="auto"/>
          <w:kern w:val="2"/>
          <w:sz w:val="28"/>
          <w:szCs w:val="28"/>
          <w:highlight w:val="none"/>
          <w:lang w:val="en-US" w:eastAsia="zh-CN" w:bidi="ar-SA"/>
        </w:rPr>
      </w:pPr>
      <w:bookmarkStart w:id="1" w:name="_Toc29913942"/>
      <w:bookmarkStart w:id="2" w:name="_Toc26524"/>
      <w:bookmarkStart w:id="3" w:name="_Toc16505"/>
      <w:bookmarkStart w:id="4" w:name="_Toc31421"/>
      <w:bookmarkStart w:id="5" w:name="_Toc20858"/>
      <w:bookmarkStart w:id="6" w:name="_Toc9803"/>
      <w:bookmarkStart w:id="7" w:name="_Toc19306"/>
      <w:bookmarkStart w:id="8" w:name="_Toc17709"/>
      <w:bookmarkStart w:id="9" w:name="_Toc256000038"/>
      <w:bookmarkStart w:id="10" w:name="_Toc11626"/>
      <w:r>
        <w:rPr>
          <w:rStyle w:val="12"/>
          <w:rFonts w:hint="eastAsia" w:ascii="黑体" w:hAnsi="黑体" w:eastAsia="黑体" w:cs="Times New Roman"/>
          <w:b/>
          <w:bCs/>
          <w:color w:val="auto"/>
          <w:kern w:val="2"/>
          <w:sz w:val="28"/>
          <w:szCs w:val="28"/>
          <w:highlight w:val="none"/>
          <w:lang w:val="en-US" w:eastAsia="zh-CN" w:bidi="ar-SA"/>
        </w:rPr>
        <w:t>第一节 采购清单一览表</w:t>
      </w:r>
      <w:bookmarkEnd w:id="1"/>
      <w:bookmarkEnd w:id="2"/>
      <w:bookmarkEnd w:id="3"/>
      <w:bookmarkEnd w:id="4"/>
      <w:bookmarkEnd w:id="5"/>
      <w:bookmarkEnd w:id="6"/>
      <w:bookmarkEnd w:id="7"/>
      <w:bookmarkEnd w:id="8"/>
      <w:bookmarkEnd w:id="9"/>
      <w:bookmarkEnd w:id="10"/>
    </w:p>
    <w:tbl>
      <w:tblPr>
        <w:tblStyle w:val="11"/>
        <w:tblW w:w="8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540"/>
        <w:gridCol w:w="2736"/>
        <w:gridCol w:w="551"/>
        <w:gridCol w:w="561"/>
        <w:gridCol w:w="929"/>
        <w:gridCol w:w="954"/>
        <w:gridCol w:w="976"/>
      </w:tblGrid>
      <w:tr w14:paraId="3233E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tcBorders>
              <w:tl2br w:val="nil"/>
              <w:tr2bl w:val="nil"/>
            </w:tcBorders>
            <w:noWrap w:val="0"/>
            <w:vAlign w:val="center"/>
          </w:tcPr>
          <w:p w14:paraId="3DB22743">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bookmarkStart w:id="11" w:name="_Toc29913943"/>
            <w:r>
              <w:rPr>
                <w:rStyle w:val="12"/>
                <w:rFonts w:hint="default" w:ascii="Times New Roman" w:hAnsi="Times New Roman" w:eastAsia="宋体" w:cs="Times New Roman"/>
                <w:b/>
                <w:color w:val="auto"/>
                <w:kern w:val="0"/>
                <w:sz w:val="21"/>
                <w:szCs w:val="21"/>
                <w:highlight w:val="none"/>
                <w:lang w:val="en-US" w:eastAsia="zh-CN" w:bidi="ar-SA"/>
              </w:rPr>
              <w:t>包名称</w:t>
            </w:r>
          </w:p>
        </w:tc>
        <w:tc>
          <w:tcPr>
            <w:tcW w:w="540" w:type="dxa"/>
            <w:tcBorders>
              <w:tl2br w:val="nil"/>
              <w:tr2bl w:val="nil"/>
            </w:tcBorders>
            <w:noWrap w:val="0"/>
            <w:vAlign w:val="center"/>
          </w:tcPr>
          <w:p w14:paraId="2397F410">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bCs/>
                <w:color w:val="auto"/>
                <w:kern w:val="2"/>
                <w:sz w:val="21"/>
                <w:szCs w:val="21"/>
                <w:highlight w:val="none"/>
                <w:lang w:val="en-US" w:eastAsia="zh-CN" w:bidi="ar-SA"/>
              </w:rPr>
              <w:t>品目</w:t>
            </w:r>
          </w:p>
        </w:tc>
        <w:tc>
          <w:tcPr>
            <w:tcW w:w="2736" w:type="dxa"/>
            <w:tcBorders>
              <w:tl2br w:val="nil"/>
              <w:tr2bl w:val="nil"/>
            </w:tcBorders>
            <w:noWrap w:val="0"/>
            <w:vAlign w:val="center"/>
          </w:tcPr>
          <w:p w14:paraId="61718E48">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分项项目名称</w:t>
            </w:r>
          </w:p>
          <w:p w14:paraId="3948D58E">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（条目号/品目名称）</w:t>
            </w:r>
          </w:p>
        </w:tc>
        <w:tc>
          <w:tcPr>
            <w:tcW w:w="551" w:type="dxa"/>
            <w:tcBorders>
              <w:tl2br w:val="nil"/>
              <w:tr2bl w:val="nil"/>
            </w:tcBorders>
            <w:noWrap w:val="0"/>
            <w:vAlign w:val="center"/>
          </w:tcPr>
          <w:p w14:paraId="322C32DC">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0"/>
                <w:sz w:val="21"/>
                <w:szCs w:val="21"/>
                <w:highlight w:val="none"/>
                <w:lang w:val="en-US" w:eastAsia="zh-CN" w:bidi="ar"/>
              </w:rPr>
              <w:t>数量</w:t>
            </w:r>
          </w:p>
        </w:tc>
        <w:tc>
          <w:tcPr>
            <w:tcW w:w="561" w:type="dxa"/>
            <w:tcBorders>
              <w:tl2br w:val="nil"/>
              <w:tr2bl w:val="nil"/>
            </w:tcBorders>
            <w:noWrap w:val="0"/>
            <w:vAlign w:val="center"/>
          </w:tcPr>
          <w:p w14:paraId="64A203D7">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单位</w:t>
            </w:r>
          </w:p>
        </w:tc>
        <w:tc>
          <w:tcPr>
            <w:tcW w:w="929" w:type="dxa"/>
            <w:tcBorders>
              <w:tl2br w:val="nil"/>
              <w:tr2bl w:val="nil"/>
            </w:tcBorders>
            <w:noWrap w:val="0"/>
            <w:vAlign w:val="center"/>
          </w:tcPr>
          <w:p w14:paraId="2FA4996C">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eastAsia" w:ascii="宋体" w:hAnsi="宋体" w:cs="宋体"/>
                <w:b/>
                <w:bCs/>
                <w:color w:val="auto"/>
                <w:szCs w:val="21"/>
                <w:highlight w:val="none"/>
              </w:rPr>
              <w:t>是否为强制节能产品</w:t>
            </w:r>
          </w:p>
        </w:tc>
        <w:tc>
          <w:tcPr>
            <w:tcW w:w="954" w:type="dxa"/>
            <w:tcBorders>
              <w:tl2br w:val="nil"/>
              <w:tr2bl w:val="nil"/>
            </w:tcBorders>
            <w:noWrap w:val="0"/>
            <w:vAlign w:val="center"/>
          </w:tcPr>
          <w:p w14:paraId="38E13696">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是否接受进口设备</w:t>
            </w:r>
          </w:p>
        </w:tc>
        <w:tc>
          <w:tcPr>
            <w:tcW w:w="976" w:type="dxa"/>
            <w:tcBorders>
              <w:tl2br w:val="nil"/>
              <w:tr2bl w:val="nil"/>
            </w:tcBorders>
            <w:noWrap w:val="0"/>
            <w:vAlign w:val="center"/>
          </w:tcPr>
          <w:p w14:paraId="18A5376A">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bCs/>
                <w:color w:val="auto"/>
                <w:kern w:val="2"/>
                <w:sz w:val="21"/>
                <w:szCs w:val="21"/>
                <w:highlight w:val="none"/>
                <w:lang w:val="en-US" w:eastAsia="zh-CN" w:bidi="ar-SA"/>
              </w:rPr>
            </w:pPr>
            <w:r>
              <w:rPr>
                <w:rStyle w:val="12"/>
                <w:rFonts w:hint="default" w:ascii="Times New Roman" w:hAnsi="Times New Roman" w:eastAsia="宋体" w:cs="Times New Roman"/>
                <w:b/>
                <w:bCs/>
                <w:color w:val="auto"/>
                <w:kern w:val="2"/>
                <w:sz w:val="21"/>
                <w:szCs w:val="21"/>
                <w:highlight w:val="none"/>
                <w:lang w:val="en-US" w:eastAsia="zh-CN" w:bidi="ar-SA"/>
              </w:rPr>
              <w:t>总价最高限价（元）</w:t>
            </w:r>
          </w:p>
        </w:tc>
      </w:tr>
      <w:tr w14:paraId="7A336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8" w:type="dxa"/>
            <w:vMerge w:val="restart"/>
            <w:tcBorders>
              <w:tl2br w:val="nil"/>
              <w:tr2bl w:val="nil"/>
            </w:tcBorders>
            <w:noWrap w:val="0"/>
            <w:vAlign w:val="center"/>
          </w:tcPr>
          <w:p w14:paraId="24CAD394">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r>
              <w:rPr>
                <w:rStyle w:val="12"/>
                <w:rFonts w:hint="eastAsia" w:asciiTheme="majorEastAsia" w:hAnsiTheme="majorEastAsia" w:eastAsiaTheme="majorEastAsia" w:cstheme="majorEastAsia"/>
                <w:b/>
                <w:bCs/>
                <w:color w:val="auto"/>
                <w:sz w:val="21"/>
                <w:szCs w:val="21"/>
                <w:highlight w:val="none"/>
                <w:lang w:val="en-US" w:eastAsia="zh-CN"/>
              </w:rPr>
              <w:t>株洲市二中云机房项目</w:t>
            </w:r>
          </w:p>
        </w:tc>
        <w:tc>
          <w:tcPr>
            <w:tcW w:w="540" w:type="dxa"/>
            <w:tcBorders>
              <w:tl2br w:val="nil"/>
              <w:tr2bl w:val="nil"/>
            </w:tcBorders>
            <w:noWrap w:val="0"/>
            <w:vAlign w:val="center"/>
          </w:tcPr>
          <w:p w14:paraId="27039720">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736" w:type="dxa"/>
            <w:tcBorders>
              <w:tl2br w:val="nil"/>
              <w:tr2bl w:val="nil"/>
            </w:tcBorders>
            <w:noWrap w:val="0"/>
            <w:vAlign w:val="center"/>
          </w:tcPr>
          <w:p w14:paraId="01E6840D">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云桌面服务器</w:t>
            </w:r>
          </w:p>
        </w:tc>
        <w:tc>
          <w:tcPr>
            <w:tcW w:w="551" w:type="dxa"/>
            <w:tcBorders>
              <w:tl2br w:val="nil"/>
              <w:tr2bl w:val="nil"/>
            </w:tcBorders>
            <w:noWrap w:val="0"/>
            <w:vAlign w:val="center"/>
          </w:tcPr>
          <w:p w14:paraId="17BDC55A">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36D041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0CC94E63">
            <w:pPr>
              <w:pStyle w:val="14"/>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23759F8E">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restart"/>
            <w:tcBorders>
              <w:tl2br w:val="nil"/>
              <w:tr2bl w:val="nil"/>
            </w:tcBorders>
            <w:noWrap w:val="0"/>
            <w:vAlign w:val="center"/>
          </w:tcPr>
          <w:p w14:paraId="6633699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r>
              <w:rPr>
                <w:rStyle w:val="12"/>
                <w:rFonts w:hint="eastAsia" w:ascii="宋体" w:hAnsi="宋体" w:cs="宋体"/>
                <w:b/>
                <w:bCs/>
                <w:color w:val="auto"/>
                <w:kern w:val="0"/>
                <w:highlight w:val="none"/>
                <w:lang w:val="en-US" w:eastAsia="zh-CN"/>
              </w:rPr>
              <w:t>838610</w:t>
            </w:r>
          </w:p>
        </w:tc>
      </w:tr>
      <w:tr w14:paraId="33A08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08" w:type="dxa"/>
            <w:vMerge w:val="continue"/>
            <w:tcBorders>
              <w:tl2br w:val="nil"/>
              <w:tr2bl w:val="nil"/>
            </w:tcBorders>
            <w:noWrap w:val="0"/>
            <w:vAlign w:val="center"/>
          </w:tcPr>
          <w:p w14:paraId="2FE5D6D5">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690FDF6">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736" w:type="dxa"/>
            <w:tcBorders>
              <w:tl2br w:val="nil"/>
              <w:tr2bl w:val="nil"/>
            </w:tcBorders>
            <w:noWrap w:val="0"/>
            <w:vAlign w:val="center"/>
          </w:tcPr>
          <w:p w14:paraId="75F9F7A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云桌面系统</w:t>
            </w:r>
          </w:p>
        </w:tc>
        <w:tc>
          <w:tcPr>
            <w:tcW w:w="551" w:type="dxa"/>
            <w:tcBorders>
              <w:tl2br w:val="nil"/>
              <w:tr2bl w:val="nil"/>
            </w:tcBorders>
            <w:noWrap w:val="0"/>
            <w:vAlign w:val="center"/>
          </w:tcPr>
          <w:p w14:paraId="7AC86D82">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65E2C20A">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16256E82">
            <w:pPr>
              <w:pStyle w:val="15"/>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7FCFC66D">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127CC7A8">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502A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08" w:type="dxa"/>
            <w:vMerge w:val="continue"/>
            <w:tcBorders>
              <w:tl2br w:val="nil"/>
              <w:tr2bl w:val="nil"/>
            </w:tcBorders>
            <w:noWrap w:val="0"/>
            <w:vAlign w:val="center"/>
          </w:tcPr>
          <w:p w14:paraId="34AF1A86">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4D80BA6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736" w:type="dxa"/>
            <w:tcBorders>
              <w:tl2br w:val="nil"/>
              <w:tr2bl w:val="nil"/>
            </w:tcBorders>
            <w:noWrap w:val="0"/>
            <w:vAlign w:val="center"/>
          </w:tcPr>
          <w:p w14:paraId="1A5C0E5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云桌面教师终端</w:t>
            </w:r>
          </w:p>
        </w:tc>
        <w:tc>
          <w:tcPr>
            <w:tcW w:w="551" w:type="dxa"/>
            <w:tcBorders>
              <w:tl2br w:val="nil"/>
              <w:tr2bl w:val="nil"/>
            </w:tcBorders>
            <w:noWrap w:val="0"/>
            <w:vAlign w:val="center"/>
          </w:tcPr>
          <w:p w14:paraId="411DA2E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A5199A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6D057596">
            <w:pPr>
              <w:pStyle w:val="15"/>
              <w:pageBreakBefore w:val="0"/>
              <w:widowControl/>
              <w:wordWrap/>
              <w:overflowPunct/>
              <w:topLinePunct w:val="0"/>
              <w:bidi w:val="0"/>
              <w:spacing w:line="360" w:lineRule="auto"/>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1CE92B96">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B7132F1">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49A6F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08" w:type="dxa"/>
            <w:vMerge w:val="continue"/>
            <w:tcBorders>
              <w:tl2br w:val="nil"/>
              <w:tr2bl w:val="nil"/>
            </w:tcBorders>
            <w:noWrap w:val="0"/>
            <w:vAlign w:val="center"/>
          </w:tcPr>
          <w:p w14:paraId="58E4FE71">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C477F22">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736" w:type="dxa"/>
            <w:tcBorders>
              <w:tl2br w:val="nil"/>
              <w:tr2bl w:val="nil"/>
            </w:tcBorders>
            <w:noWrap w:val="0"/>
            <w:vAlign w:val="center"/>
          </w:tcPr>
          <w:p w14:paraId="5DBAC1E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云桌面学生终端</w:t>
            </w:r>
          </w:p>
        </w:tc>
        <w:tc>
          <w:tcPr>
            <w:tcW w:w="551" w:type="dxa"/>
            <w:tcBorders>
              <w:tl2br w:val="nil"/>
              <w:tr2bl w:val="nil"/>
            </w:tcBorders>
            <w:noWrap w:val="0"/>
            <w:vAlign w:val="center"/>
          </w:tcPr>
          <w:p w14:paraId="472C4D7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561" w:type="dxa"/>
            <w:tcBorders>
              <w:tl2br w:val="nil"/>
              <w:tr2bl w:val="nil"/>
            </w:tcBorders>
            <w:noWrap w:val="0"/>
            <w:vAlign w:val="center"/>
          </w:tcPr>
          <w:p w14:paraId="08F4CD18">
            <w:pPr>
              <w:keepNext w:val="0"/>
              <w:keepLines w:val="0"/>
              <w:widowControl/>
              <w:suppressLineNumbers w:val="0"/>
              <w:jc w:val="center"/>
              <w:textAlignment w:val="center"/>
              <w:rPr>
                <w:rStyle w:val="12"/>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C47A810">
            <w:pPr>
              <w:pStyle w:val="15"/>
              <w:keepNext w:val="0"/>
              <w:keepLines w:val="0"/>
              <w:pageBreakBefore w:val="0"/>
              <w:widowControl/>
              <w:suppressLineNumbers w:val="0"/>
              <w:wordWrap/>
              <w:overflowPunct/>
              <w:topLinePunct w:val="0"/>
              <w:bidi w:val="0"/>
              <w:spacing w:line="360" w:lineRule="auto"/>
              <w:jc w:val="center"/>
              <w:textAlignment w:val="center"/>
              <w:rPr>
                <w:rStyle w:val="12"/>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49CAC898">
            <w:pPr>
              <w:pStyle w:val="15"/>
              <w:keepNext w:val="0"/>
              <w:keepLines w:val="0"/>
              <w:pageBreakBefore w:val="0"/>
              <w:widowControl/>
              <w:suppressLineNumbers w:val="0"/>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BF787A7">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79D77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7A67EF6">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bookmarkStart w:id="12" w:name="_Toc18432"/>
            <w:bookmarkStart w:id="13" w:name="_Toc15279"/>
          </w:p>
        </w:tc>
        <w:tc>
          <w:tcPr>
            <w:tcW w:w="540" w:type="dxa"/>
            <w:tcBorders>
              <w:tl2br w:val="nil"/>
              <w:tr2bl w:val="nil"/>
            </w:tcBorders>
            <w:noWrap w:val="0"/>
            <w:vAlign w:val="center"/>
          </w:tcPr>
          <w:p w14:paraId="3D603A7A">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736" w:type="dxa"/>
            <w:tcBorders>
              <w:tl2br w:val="nil"/>
              <w:tr2bl w:val="nil"/>
            </w:tcBorders>
            <w:noWrap w:val="0"/>
            <w:vAlign w:val="center"/>
          </w:tcPr>
          <w:p w14:paraId="48E309A7">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551" w:type="dxa"/>
            <w:tcBorders>
              <w:tl2br w:val="nil"/>
              <w:tr2bl w:val="nil"/>
            </w:tcBorders>
            <w:noWrap w:val="0"/>
            <w:vAlign w:val="center"/>
          </w:tcPr>
          <w:p w14:paraId="3B2D0804">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561" w:type="dxa"/>
            <w:tcBorders>
              <w:tl2br w:val="nil"/>
              <w:tr2bl w:val="nil"/>
            </w:tcBorders>
            <w:noWrap w:val="0"/>
            <w:vAlign w:val="center"/>
          </w:tcPr>
          <w:p w14:paraId="1640F92E">
            <w:pPr>
              <w:keepNext w:val="0"/>
              <w:keepLines w:val="0"/>
              <w:widowControl/>
              <w:suppressLineNumbers w:val="0"/>
              <w:jc w:val="center"/>
              <w:textAlignment w:val="center"/>
              <w:rPr>
                <w:rStyle w:val="12"/>
                <w:rFonts w:hint="default"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6228B5CD">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106642C">
            <w:pPr>
              <w:pStyle w:val="14"/>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33E006C">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1390F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5467CBD2">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109E906">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736" w:type="dxa"/>
            <w:tcBorders>
              <w:tl2br w:val="nil"/>
              <w:tr2bl w:val="nil"/>
            </w:tcBorders>
            <w:noWrap w:val="0"/>
            <w:vAlign w:val="center"/>
          </w:tcPr>
          <w:p w14:paraId="5BAF01BA">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551" w:type="dxa"/>
            <w:tcBorders>
              <w:tl2br w:val="nil"/>
              <w:tr2bl w:val="nil"/>
            </w:tcBorders>
            <w:noWrap w:val="0"/>
            <w:vAlign w:val="center"/>
          </w:tcPr>
          <w:p w14:paraId="10C90A76">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D328175">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20427FE2">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1B3ADDA8">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D4305F5">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36FB1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0CD99BA">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7767D60">
            <w:pPr>
              <w:keepNext w:val="0"/>
              <w:keepLines w:val="0"/>
              <w:widowControl/>
              <w:suppressLineNumbers w:val="0"/>
              <w:jc w:val="center"/>
              <w:textAlignment w:val="center"/>
              <w:rPr>
                <w:rStyle w:val="12"/>
                <w:rFonts w:hint="default" w:ascii="Times New Roman" w:hAnsi="Times New Roman" w:cs="Times New Roman"/>
                <w:b w:val="0"/>
                <w:bCs w:val="0"/>
                <w:color w:val="auto"/>
                <w:kern w:val="0"/>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736" w:type="dxa"/>
            <w:tcBorders>
              <w:tl2br w:val="nil"/>
              <w:tr2bl w:val="nil"/>
            </w:tcBorders>
            <w:noWrap w:val="0"/>
            <w:vAlign w:val="center"/>
          </w:tcPr>
          <w:p w14:paraId="15186E82">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24口交换机</w:t>
            </w:r>
          </w:p>
        </w:tc>
        <w:tc>
          <w:tcPr>
            <w:tcW w:w="551" w:type="dxa"/>
            <w:tcBorders>
              <w:tl2br w:val="nil"/>
              <w:tr2bl w:val="nil"/>
            </w:tcBorders>
            <w:noWrap w:val="0"/>
            <w:vAlign w:val="center"/>
          </w:tcPr>
          <w:p w14:paraId="0F6DC4BD">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37ED815E">
            <w:pPr>
              <w:keepNext w:val="0"/>
              <w:keepLines w:val="0"/>
              <w:widowControl/>
              <w:suppressLineNumbers w:val="0"/>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20187D70">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A112BD8">
            <w:pPr>
              <w:pStyle w:val="15"/>
              <w:pageBreakBefore w:val="0"/>
              <w:widowControl/>
              <w:wordWrap/>
              <w:overflowPunct/>
              <w:topLinePunct w:val="0"/>
              <w:bidi w:val="0"/>
              <w:spacing w:line="360" w:lineRule="auto"/>
              <w:jc w:val="center"/>
              <w:textAlignment w:val="center"/>
              <w:rPr>
                <w:rStyle w:val="12"/>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F3B3378">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BF04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D3D4150">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5C6DFC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2736" w:type="dxa"/>
            <w:tcBorders>
              <w:tl2br w:val="nil"/>
              <w:tr2bl w:val="nil"/>
            </w:tcBorders>
            <w:noWrap w:val="0"/>
            <w:vAlign w:val="center"/>
          </w:tcPr>
          <w:p w14:paraId="3AE021E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48口交换机</w:t>
            </w:r>
          </w:p>
        </w:tc>
        <w:tc>
          <w:tcPr>
            <w:tcW w:w="551" w:type="dxa"/>
            <w:tcBorders>
              <w:tl2br w:val="nil"/>
              <w:tr2bl w:val="nil"/>
            </w:tcBorders>
            <w:noWrap w:val="0"/>
            <w:vAlign w:val="center"/>
          </w:tcPr>
          <w:p w14:paraId="3FD9CD6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27794C7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shd w:val="clear" w:color="auto" w:fill="auto"/>
            <w:noWrap w:val="0"/>
            <w:vAlign w:val="center"/>
          </w:tcPr>
          <w:p w14:paraId="4D1EE96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7FDC0183">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F624372">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E7E2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D42BF61">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639327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2736" w:type="dxa"/>
            <w:tcBorders>
              <w:tl2br w:val="nil"/>
              <w:tr2bl w:val="nil"/>
            </w:tcBorders>
            <w:noWrap w:val="0"/>
            <w:vAlign w:val="center"/>
          </w:tcPr>
          <w:p w14:paraId="6011D3A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防静电地板</w:t>
            </w:r>
          </w:p>
        </w:tc>
        <w:tc>
          <w:tcPr>
            <w:tcW w:w="551" w:type="dxa"/>
            <w:tcBorders>
              <w:tl2br w:val="nil"/>
              <w:tr2bl w:val="nil"/>
            </w:tcBorders>
            <w:noWrap w:val="0"/>
            <w:vAlign w:val="center"/>
          </w:tcPr>
          <w:p w14:paraId="0B5E860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4EC8F1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7027D915">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EB58B73">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66D3BE9">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4281C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FB00F77">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BC792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2736" w:type="dxa"/>
            <w:tcBorders>
              <w:tl2br w:val="nil"/>
              <w:tr2bl w:val="nil"/>
            </w:tcBorders>
            <w:noWrap w:val="0"/>
            <w:vAlign w:val="center"/>
          </w:tcPr>
          <w:p w14:paraId="78107AE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机房布线</w:t>
            </w:r>
          </w:p>
        </w:tc>
        <w:tc>
          <w:tcPr>
            <w:tcW w:w="551" w:type="dxa"/>
            <w:tcBorders>
              <w:tl2br w:val="nil"/>
              <w:tr2bl w:val="nil"/>
            </w:tcBorders>
            <w:noWrap w:val="0"/>
            <w:vAlign w:val="center"/>
          </w:tcPr>
          <w:p w14:paraId="505CF48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830404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2C28AF13">
            <w:pPr>
              <w:pStyle w:val="15"/>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37441C40">
            <w:pPr>
              <w:pStyle w:val="15"/>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602B7524">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6B007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F05C125">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83025C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2736" w:type="dxa"/>
            <w:tcBorders>
              <w:tl2br w:val="nil"/>
              <w:tr2bl w:val="nil"/>
            </w:tcBorders>
            <w:noWrap w:val="0"/>
            <w:vAlign w:val="center"/>
          </w:tcPr>
          <w:p w14:paraId="302940A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摄像机</w:t>
            </w:r>
          </w:p>
        </w:tc>
        <w:tc>
          <w:tcPr>
            <w:tcW w:w="551" w:type="dxa"/>
            <w:tcBorders>
              <w:tl2br w:val="nil"/>
              <w:tr2bl w:val="nil"/>
            </w:tcBorders>
            <w:noWrap w:val="0"/>
            <w:vAlign w:val="center"/>
          </w:tcPr>
          <w:p w14:paraId="2A3954F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087E0E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76E1602B">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05ED599">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830D66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2AAA6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3B9906AA">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29F46C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2736" w:type="dxa"/>
            <w:tcBorders>
              <w:tl2br w:val="nil"/>
              <w:tr2bl w:val="nil"/>
            </w:tcBorders>
            <w:noWrap w:val="0"/>
            <w:vAlign w:val="center"/>
          </w:tcPr>
          <w:p w14:paraId="7AEFC23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电脑桌椅</w:t>
            </w:r>
          </w:p>
        </w:tc>
        <w:tc>
          <w:tcPr>
            <w:tcW w:w="551" w:type="dxa"/>
            <w:tcBorders>
              <w:tl2br w:val="nil"/>
              <w:tr2bl w:val="nil"/>
            </w:tcBorders>
            <w:noWrap w:val="0"/>
            <w:vAlign w:val="center"/>
          </w:tcPr>
          <w:p w14:paraId="5A88E64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561" w:type="dxa"/>
            <w:tcBorders>
              <w:tl2br w:val="nil"/>
              <w:tr2bl w:val="nil"/>
            </w:tcBorders>
            <w:noWrap w:val="0"/>
            <w:vAlign w:val="center"/>
          </w:tcPr>
          <w:p w14:paraId="5F2EE1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座</w:t>
            </w:r>
          </w:p>
        </w:tc>
        <w:tc>
          <w:tcPr>
            <w:tcW w:w="929" w:type="dxa"/>
            <w:tcBorders>
              <w:tl2br w:val="nil"/>
              <w:tr2bl w:val="nil"/>
            </w:tcBorders>
            <w:shd w:val="clear" w:color="auto" w:fill="auto"/>
            <w:noWrap w:val="0"/>
            <w:vAlign w:val="center"/>
          </w:tcPr>
          <w:p w14:paraId="782FE42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132B0EFE">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5D372E0">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35CC23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44161AC3">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B07893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2736" w:type="dxa"/>
            <w:tcBorders>
              <w:tl2br w:val="nil"/>
              <w:tr2bl w:val="nil"/>
            </w:tcBorders>
            <w:noWrap w:val="0"/>
            <w:vAlign w:val="center"/>
          </w:tcPr>
          <w:p w14:paraId="67B465D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讲台</w:t>
            </w:r>
          </w:p>
        </w:tc>
        <w:tc>
          <w:tcPr>
            <w:tcW w:w="551" w:type="dxa"/>
            <w:tcBorders>
              <w:tl2br w:val="nil"/>
              <w:tr2bl w:val="nil"/>
            </w:tcBorders>
            <w:noWrap w:val="0"/>
            <w:vAlign w:val="center"/>
          </w:tcPr>
          <w:p w14:paraId="6497FDF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DA6337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2855A6FF">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B89F9B9">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7D201C4">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2179D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D52B2F8">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450CED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2736" w:type="dxa"/>
            <w:tcBorders>
              <w:tl2br w:val="nil"/>
              <w:tr2bl w:val="nil"/>
            </w:tcBorders>
            <w:noWrap w:val="0"/>
            <w:vAlign w:val="center"/>
          </w:tcPr>
          <w:p w14:paraId="1B96215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智慧无尘黑板</w:t>
            </w:r>
          </w:p>
        </w:tc>
        <w:tc>
          <w:tcPr>
            <w:tcW w:w="551" w:type="dxa"/>
            <w:tcBorders>
              <w:tl2br w:val="nil"/>
              <w:tr2bl w:val="nil"/>
            </w:tcBorders>
            <w:noWrap w:val="0"/>
            <w:vAlign w:val="center"/>
          </w:tcPr>
          <w:p w14:paraId="10A94E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1E147A3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3263D83F">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3F3E4DA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A03B2AF">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tr w14:paraId="12A07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EAA73B8">
            <w:pPr>
              <w:pStyle w:val="14"/>
              <w:pageBreakBefore w:val="0"/>
              <w:widowControl/>
              <w:wordWrap/>
              <w:overflowPunct/>
              <w:topLinePunct w:val="0"/>
              <w:bidi w:val="0"/>
              <w:spacing w:line="360" w:lineRule="auto"/>
              <w:jc w:val="center"/>
              <w:rPr>
                <w:rStyle w:val="12"/>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FD5069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2736" w:type="dxa"/>
            <w:tcBorders>
              <w:tl2br w:val="nil"/>
              <w:tr2bl w:val="nil"/>
            </w:tcBorders>
            <w:noWrap w:val="0"/>
            <w:vAlign w:val="center"/>
          </w:tcPr>
          <w:p w14:paraId="060ABF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耳机</w:t>
            </w:r>
          </w:p>
        </w:tc>
        <w:tc>
          <w:tcPr>
            <w:tcW w:w="551" w:type="dxa"/>
            <w:tcBorders>
              <w:tl2br w:val="nil"/>
              <w:tr2bl w:val="nil"/>
            </w:tcBorders>
            <w:noWrap w:val="0"/>
            <w:vAlign w:val="center"/>
          </w:tcPr>
          <w:p w14:paraId="07D0E45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561" w:type="dxa"/>
            <w:tcBorders>
              <w:tl2br w:val="nil"/>
              <w:tr2bl w:val="nil"/>
            </w:tcBorders>
            <w:noWrap w:val="0"/>
            <w:vAlign w:val="center"/>
          </w:tcPr>
          <w:p w14:paraId="60F474E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66F1BD85">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49EC9570">
            <w:pPr>
              <w:pStyle w:val="15"/>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12"/>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ECA300A">
            <w:pPr>
              <w:pStyle w:val="15"/>
              <w:pageBreakBefore w:val="0"/>
              <w:widowControl/>
              <w:wordWrap/>
              <w:overflowPunct/>
              <w:topLinePunct w:val="0"/>
              <w:bidi w:val="0"/>
              <w:spacing w:line="360" w:lineRule="auto"/>
              <w:jc w:val="center"/>
              <w:textAlignment w:val="center"/>
              <w:rPr>
                <w:rStyle w:val="12"/>
                <w:rFonts w:hint="default" w:ascii="宋体" w:hAnsi="宋体" w:eastAsia="宋体" w:cs="宋体"/>
                <w:b/>
                <w:bCs/>
                <w:color w:val="auto"/>
                <w:kern w:val="0"/>
                <w:highlight w:val="none"/>
                <w:lang w:val="en-US" w:eastAsia="zh-CN"/>
              </w:rPr>
            </w:pPr>
          </w:p>
        </w:tc>
      </w:tr>
      <w:bookmarkEnd w:id="11"/>
    </w:tbl>
    <w:p w14:paraId="5B756872">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p>
    <w:p w14:paraId="0D0A02B3">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p>
    <w:p w14:paraId="47D84F05">
      <w:pPr>
        <w:pStyle w:val="15"/>
        <w:pageBreakBefore w:val="0"/>
        <w:widowControl w:val="0"/>
        <w:wordWrap/>
        <w:overflowPunct/>
        <w:topLinePunct w:val="0"/>
        <w:bidi w:val="0"/>
        <w:adjustRightInd w:val="0"/>
        <w:snapToGrid w:val="0"/>
        <w:spacing w:line="360" w:lineRule="auto"/>
        <w:jc w:val="both"/>
        <w:rPr>
          <w:rStyle w:val="12"/>
          <w:rFonts w:hint="eastAsia" w:ascii="宋体" w:hAnsi="宋体" w:eastAsia="宋体" w:cs="Times New Roman"/>
          <w:b/>
          <w:bCs/>
          <w:color w:val="auto"/>
          <w:kern w:val="2"/>
          <w:sz w:val="21"/>
          <w:szCs w:val="21"/>
          <w:highlight w:val="none"/>
          <w:lang w:val="en-US" w:eastAsia="zh-CN" w:bidi="ar-SA"/>
        </w:rPr>
      </w:pPr>
      <w:r>
        <w:rPr>
          <w:rStyle w:val="12"/>
          <w:rFonts w:hint="eastAsia" w:ascii="宋体" w:hAnsi="宋体" w:eastAsia="宋体" w:cs="Times New Roman"/>
          <w:b/>
          <w:bCs/>
          <w:color w:val="auto"/>
          <w:kern w:val="2"/>
          <w:sz w:val="21"/>
          <w:szCs w:val="21"/>
          <w:highlight w:val="none"/>
          <w:lang w:val="en-US" w:eastAsia="zh-CN" w:bidi="ar-SA"/>
        </w:rPr>
        <w:t>注：</w:t>
      </w:r>
    </w:p>
    <w:p w14:paraId="3C880ED2">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1、“包”为最小合同单位（最小投标单位）。每“包”内容应细化到“品目”（如果分品目的）；</w:t>
      </w:r>
    </w:p>
    <w:p w14:paraId="717FCA4C">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2、投标人必须对一个完整、独立的包进行投标，不得仅对一个包中的部分品目投标，否则</w:t>
      </w:r>
      <w:r>
        <w:rPr>
          <w:rStyle w:val="12"/>
          <w:rFonts w:hint="eastAsia" w:ascii="宋体" w:hAnsi="宋体" w:eastAsia="宋体" w:cs="Times New Roman"/>
          <w:b/>
          <w:color w:val="auto"/>
          <w:kern w:val="2"/>
          <w:sz w:val="21"/>
          <w:szCs w:val="21"/>
          <w:highlight w:val="none"/>
          <w:lang w:val="en-US" w:eastAsia="zh-CN" w:bidi="ar-SA"/>
        </w:rPr>
        <w:t>投标无效</w:t>
      </w:r>
      <w:r>
        <w:rPr>
          <w:rStyle w:val="12"/>
          <w:rFonts w:hint="eastAsia" w:ascii="宋体" w:hAnsi="宋体" w:eastAsia="宋体" w:cs="Times New Roman"/>
          <w:color w:val="auto"/>
          <w:kern w:val="2"/>
          <w:sz w:val="21"/>
          <w:szCs w:val="21"/>
          <w:highlight w:val="none"/>
          <w:lang w:val="en-US" w:eastAsia="zh-CN" w:bidi="ar-SA"/>
        </w:rPr>
        <w:t>；</w:t>
      </w:r>
    </w:p>
    <w:p w14:paraId="4F752A21">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3、货物的主要技术参数或规格：</w:t>
      </w:r>
      <w:r>
        <w:rPr>
          <w:rStyle w:val="12"/>
          <w:rFonts w:ascii="宋体" w:hAnsi="宋体" w:eastAsia="宋体" w:cs="Times New Roman"/>
          <w:color w:val="auto"/>
          <w:kern w:val="2"/>
          <w:sz w:val="21"/>
          <w:szCs w:val="21"/>
          <w:highlight w:val="none"/>
          <w:lang w:val="en-US" w:eastAsia="zh-CN" w:bidi="ar-SA"/>
        </w:rPr>
        <w:t>详见“技术要求”中的具体技术参数</w:t>
      </w:r>
      <w:r>
        <w:rPr>
          <w:rStyle w:val="12"/>
          <w:rFonts w:hint="eastAsia" w:ascii="宋体" w:hAnsi="宋体" w:eastAsia="宋体" w:cs="Times New Roman"/>
          <w:color w:val="auto"/>
          <w:kern w:val="2"/>
          <w:sz w:val="21"/>
          <w:szCs w:val="21"/>
          <w:highlight w:val="none"/>
          <w:lang w:val="en-US" w:eastAsia="zh-CN" w:bidi="ar-SA"/>
        </w:rPr>
        <w:t>；</w:t>
      </w:r>
    </w:p>
    <w:p w14:paraId="63958497">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hint="eastAsia" w:ascii="宋体" w:hAnsi="宋体" w:eastAsia="宋体" w:cs="Times New Roman"/>
          <w:color w:val="auto"/>
          <w:kern w:val="2"/>
          <w:sz w:val="21"/>
          <w:szCs w:val="21"/>
          <w:highlight w:val="none"/>
          <w:lang w:val="en-US" w:eastAsia="zh-CN" w:bidi="ar-SA"/>
        </w:rPr>
      </w:pPr>
      <w:r>
        <w:rPr>
          <w:rStyle w:val="12"/>
          <w:rFonts w:hint="eastAsia" w:ascii="宋体" w:hAnsi="宋体" w:eastAsia="宋体" w:cs="Times New Roman"/>
          <w:color w:val="auto"/>
          <w:kern w:val="2"/>
          <w:sz w:val="21"/>
          <w:szCs w:val="21"/>
          <w:highlight w:val="none"/>
          <w:lang w:val="en-US" w:eastAsia="zh-CN" w:bidi="ar-SA"/>
        </w:rPr>
        <w:t>4、投标人应在投标文件《分项报价明细表》中按分项项目名称（包括条目号/品目名称）顺序逐项填写，且每个品目中的条目均需按招标文件规定报价。如有缺项、漏项，其</w:t>
      </w:r>
      <w:r>
        <w:rPr>
          <w:rStyle w:val="12"/>
          <w:rFonts w:hint="eastAsia" w:ascii="宋体" w:hAnsi="宋体" w:eastAsia="宋体" w:cs="Times New Roman"/>
          <w:b/>
          <w:color w:val="auto"/>
          <w:kern w:val="2"/>
          <w:sz w:val="21"/>
          <w:szCs w:val="21"/>
          <w:highlight w:val="none"/>
          <w:lang w:val="en-US" w:eastAsia="zh-CN" w:bidi="ar-SA"/>
        </w:rPr>
        <w:t>投标无效</w:t>
      </w:r>
      <w:r>
        <w:rPr>
          <w:rStyle w:val="12"/>
          <w:rFonts w:hint="eastAsia" w:ascii="宋体" w:hAnsi="宋体" w:eastAsia="宋体" w:cs="Times New Roman"/>
          <w:color w:val="auto"/>
          <w:kern w:val="2"/>
          <w:sz w:val="21"/>
          <w:szCs w:val="21"/>
          <w:highlight w:val="none"/>
          <w:lang w:val="en-US" w:eastAsia="zh-CN" w:bidi="ar-SA"/>
        </w:rPr>
        <w:t>；</w:t>
      </w:r>
    </w:p>
    <w:p w14:paraId="66D2BD53">
      <w:pPr>
        <w:pStyle w:val="15"/>
        <w:pageBreakBefore w:val="0"/>
        <w:widowControl w:val="0"/>
        <w:wordWrap/>
        <w:overflowPunct/>
        <w:topLinePunct w:val="0"/>
        <w:bidi w:val="0"/>
        <w:spacing w:line="360" w:lineRule="auto"/>
        <w:ind w:firstLine="420" w:firstLineChars="200"/>
        <w:jc w:val="both"/>
        <w:rPr>
          <w:rStyle w:val="12"/>
          <w:rFonts w:ascii="Calibri" w:hAnsi="Calibri" w:eastAsia="宋体" w:cs="Times New Roman"/>
          <w:color w:val="auto"/>
          <w:kern w:val="2"/>
          <w:sz w:val="21"/>
          <w:szCs w:val="22"/>
          <w:highlight w:val="none"/>
          <w:lang w:val="en-US" w:eastAsia="zh-CN" w:bidi="ar-SA"/>
        </w:rPr>
      </w:pPr>
      <w:r>
        <w:rPr>
          <w:rStyle w:val="12"/>
          <w:rFonts w:hint="eastAsia" w:ascii="宋体" w:hAnsi="宋体" w:eastAsia="宋体" w:cs="宋体"/>
          <w:color w:val="auto"/>
          <w:kern w:val="0"/>
          <w:sz w:val="21"/>
          <w:szCs w:val="21"/>
          <w:highlight w:val="none"/>
          <w:lang w:val="en-US" w:eastAsia="zh-CN" w:bidi="ar-SA"/>
        </w:rPr>
        <w:t>5、</w:t>
      </w:r>
      <w:r>
        <w:rPr>
          <w:rStyle w:val="12"/>
          <w:rFonts w:hint="eastAsia" w:ascii="宋体" w:hAnsi="宋体" w:eastAsia="宋体" w:cs="Times New Roman"/>
          <w:b w:val="0"/>
          <w:bCs w:val="0"/>
          <w:color w:val="auto"/>
          <w:kern w:val="2"/>
          <w:sz w:val="21"/>
          <w:szCs w:val="21"/>
          <w:highlight w:val="none"/>
          <w:lang w:val="en-US" w:eastAsia="zh-CN" w:bidi="ar-SA"/>
        </w:rPr>
        <w:t>投标报价不得超过总价最高限价，</w:t>
      </w:r>
      <w:r>
        <w:rPr>
          <w:rStyle w:val="12"/>
          <w:rFonts w:hint="eastAsia" w:ascii="宋体" w:hAnsi="宋体" w:eastAsia="宋体" w:cs="宋体"/>
          <w:b w:val="0"/>
          <w:bCs w:val="0"/>
          <w:color w:val="auto"/>
          <w:kern w:val="0"/>
          <w:sz w:val="21"/>
          <w:szCs w:val="21"/>
          <w:highlight w:val="none"/>
          <w:u w:val="none"/>
          <w:lang w:val="en-US" w:eastAsia="zh-CN" w:bidi="ar-SA"/>
        </w:rPr>
        <w:t>否则投标无效。</w:t>
      </w:r>
      <w:r>
        <w:rPr>
          <w:rStyle w:val="12"/>
          <w:rFonts w:hint="eastAsia" w:ascii="宋体" w:hAnsi="宋体" w:eastAsia="宋体" w:cs="宋体"/>
          <w:b/>
          <w:color w:val="auto"/>
          <w:kern w:val="0"/>
          <w:sz w:val="21"/>
          <w:szCs w:val="21"/>
          <w:highlight w:val="none"/>
          <w:u w:val="none"/>
          <w:lang w:val="en-US" w:eastAsia="zh-CN" w:bidi="ar-SA"/>
        </w:rPr>
        <w:t xml:space="preserve"> </w:t>
      </w:r>
      <w:r>
        <w:rPr>
          <w:rStyle w:val="12"/>
          <w:rFonts w:hint="eastAsia" w:ascii="宋体" w:hAnsi="宋体" w:eastAsia="宋体" w:cs="宋体"/>
          <w:b/>
          <w:color w:val="auto"/>
          <w:kern w:val="0"/>
          <w:sz w:val="21"/>
          <w:szCs w:val="21"/>
          <w:highlight w:val="none"/>
          <w:lang w:val="en-US" w:eastAsia="zh-CN" w:bidi="ar-SA"/>
        </w:rPr>
        <w:t xml:space="preserve">                   </w:t>
      </w:r>
    </w:p>
    <w:p w14:paraId="30F416DF">
      <w:pPr>
        <w:pStyle w:val="15"/>
        <w:pageBreakBefore w:val="0"/>
        <w:widowControl w:val="0"/>
        <w:wordWrap/>
        <w:overflowPunct/>
        <w:topLinePunct w:val="0"/>
        <w:bidi w:val="0"/>
        <w:adjustRightInd w:val="0"/>
        <w:snapToGrid w:val="0"/>
        <w:spacing w:line="360" w:lineRule="auto"/>
        <w:ind w:firstLine="420" w:firstLineChars="200"/>
        <w:jc w:val="both"/>
        <w:rPr>
          <w:rStyle w:val="12"/>
          <w:rFonts w:hint="eastAsia" w:ascii="宋体" w:hAnsi="宋体" w:eastAsia="宋体" w:cs="宋体"/>
          <w:color w:val="auto"/>
          <w:kern w:val="0"/>
          <w:sz w:val="21"/>
          <w:szCs w:val="22"/>
          <w:highlight w:val="none"/>
          <w:lang w:val="en-US" w:eastAsia="zh-CN" w:bidi="ar-SA"/>
        </w:rPr>
      </w:pPr>
      <w:r>
        <w:rPr>
          <w:rStyle w:val="12"/>
          <w:rFonts w:hint="eastAsia" w:ascii="宋体" w:hAnsi="宋体" w:eastAsia="宋体" w:cs="宋体"/>
          <w:b w:val="0"/>
          <w:bCs/>
          <w:color w:val="auto"/>
          <w:kern w:val="2"/>
          <w:sz w:val="21"/>
          <w:szCs w:val="22"/>
          <w:highlight w:val="none"/>
          <w:lang w:val="en-US" w:eastAsia="zh-CN" w:bidi="ar-SA"/>
        </w:rPr>
        <w:t>6、</w:t>
      </w:r>
      <w:r>
        <w:rPr>
          <w:rStyle w:val="12"/>
          <w:rFonts w:hint="eastAsia" w:ascii="宋体" w:hAnsi="宋体" w:eastAsia="宋体" w:cs="宋体"/>
          <w:b/>
          <w:color w:val="auto"/>
          <w:kern w:val="2"/>
          <w:sz w:val="21"/>
          <w:szCs w:val="22"/>
          <w:highlight w:val="none"/>
          <w:lang w:val="en-US" w:eastAsia="zh-CN" w:bidi="ar-SA"/>
        </w:rPr>
        <w:t>强制节能产品：</w:t>
      </w:r>
      <w:r>
        <w:rPr>
          <w:rStyle w:val="12"/>
          <w:rFonts w:hint="eastAsia" w:ascii="宋体" w:hAnsi="宋体" w:eastAsia="宋体" w:cs="宋体"/>
          <w:color w:val="auto"/>
          <w:kern w:val="2"/>
          <w:sz w:val="21"/>
          <w:szCs w:val="22"/>
          <w:highlight w:val="none"/>
          <w:lang w:val="en-US" w:eastAsia="zh-CN" w:bidi="ar-SA"/>
        </w:rPr>
        <w:t>上表“</w:t>
      </w:r>
      <w:r>
        <w:rPr>
          <w:rStyle w:val="12"/>
          <w:rFonts w:hint="eastAsia" w:ascii="宋体" w:hAnsi="宋体" w:eastAsia="宋体" w:cs="宋体"/>
          <w:b/>
          <w:color w:val="auto"/>
          <w:kern w:val="0"/>
          <w:sz w:val="21"/>
          <w:szCs w:val="21"/>
          <w:highlight w:val="none"/>
          <w:lang w:val="en-US" w:eastAsia="zh-CN" w:bidi="ar-SA"/>
        </w:rPr>
        <w:t>是否为强制节能产品</w:t>
      </w:r>
      <w:r>
        <w:rPr>
          <w:rStyle w:val="12"/>
          <w:rFonts w:hint="eastAsia" w:ascii="宋体" w:hAnsi="宋体" w:eastAsia="宋体" w:cs="宋体"/>
          <w:color w:val="auto"/>
          <w:kern w:val="2"/>
          <w:sz w:val="21"/>
          <w:szCs w:val="22"/>
          <w:highlight w:val="none"/>
          <w:lang w:val="en-US" w:eastAsia="zh-CN" w:bidi="ar-SA"/>
        </w:rPr>
        <w:t>”栏中标注“</w:t>
      </w:r>
      <w:r>
        <w:rPr>
          <w:rStyle w:val="12"/>
          <w:rFonts w:hint="eastAsia" w:ascii="宋体" w:hAnsi="宋体" w:eastAsia="宋体" w:cs="宋体"/>
          <w:b/>
          <w:bCs/>
          <w:color w:val="auto"/>
          <w:kern w:val="2"/>
          <w:sz w:val="21"/>
          <w:szCs w:val="22"/>
          <w:highlight w:val="none"/>
          <w:lang w:val="en-US" w:eastAsia="zh-CN" w:bidi="ar-SA"/>
        </w:rPr>
        <w:t>是</w:t>
      </w:r>
      <w:r>
        <w:rPr>
          <w:rStyle w:val="12"/>
          <w:rFonts w:hint="eastAsia" w:ascii="宋体" w:hAnsi="宋体" w:eastAsia="宋体" w:cs="宋体"/>
          <w:color w:val="auto"/>
          <w:kern w:val="2"/>
          <w:sz w:val="21"/>
          <w:szCs w:val="22"/>
          <w:highlight w:val="none"/>
          <w:lang w:val="en-US" w:eastAsia="zh-CN" w:bidi="ar-SA"/>
        </w:rPr>
        <w:t>”的为强制节能产品</w:t>
      </w:r>
      <w:r>
        <w:rPr>
          <w:rStyle w:val="12"/>
          <w:rFonts w:hint="eastAsia" w:ascii="宋体" w:hAnsi="宋体" w:eastAsia="宋体" w:cs="宋体"/>
          <w:b/>
          <w:color w:val="auto"/>
          <w:kern w:val="2"/>
          <w:sz w:val="21"/>
          <w:szCs w:val="22"/>
          <w:highlight w:val="none"/>
          <w:lang w:val="en-US" w:eastAsia="zh-CN" w:bidi="ar-SA"/>
        </w:rPr>
        <w:t>，</w:t>
      </w:r>
      <w:r>
        <w:rPr>
          <w:rStyle w:val="12"/>
          <w:rFonts w:hint="eastAsia" w:ascii="宋体" w:hAnsi="宋体" w:eastAsia="宋体" w:cs="宋体"/>
          <w:color w:val="auto"/>
          <w:kern w:val="0"/>
          <w:sz w:val="21"/>
          <w:szCs w:val="22"/>
          <w:highlight w:val="none"/>
          <w:lang w:val="en-US" w:eastAsia="zh-CN" w:bidi="ar-SA"/>
        </w:rPr>
        <w:t>投标人投标产品应当取得国家确定的认证机构出具的、处于有效期之内的节能产品认证证书，否则其</w:t>
      </w:r>
      <w:r>
        <w:rPr>
          <w:rStyle w:val="12"/>
          <w:rFonts w:hint="eastAsia" w:ascii="宋体" w:hAnsi="宋体" w:eastAsia="宋体" w:cs="宋体"/>
          <w:b/>
          <w:color w:val="auto"/>
          <w:kern w:val="0"/>
          <w:sz w:val="21"/>
          <w:szCs w:val="21"/>
          <w:highlight w:val="none"/>
          <w:lang w:val="en-US" w:eastAsia="zh-CN" w:bidi="ar-SA"/>
        </w:rPr>
        <w:t>投标无效</w:t>
      </w:r>
      <w:r>
        <w:rPr>
          <w:rStyle w:val="12"/>
          <w:rFonts w:hint="eastAsia" w:ascii="宋体" w:hAnsi="宋体" w:eastAsia="宋体" w:cs="宋体"/>
          <w:color w:val="auto"/>
          <w:kern w:val="0"/>
          <w:sz w:val="21"/>
          <w:szCs w:val="22"/>
          <w:highlight w:val="none"/>
          <w:lang w:val="en-US" w:eastAsia="zh-CN" w:bidi="ar-SA"/>
        </w:rPr>
        <w:t>。</w:t>
      </w:r>
    </w:p>
    <w:p w14:paraId="45D128F4">
      <w:pPr>
        <w:pStyle w:val="1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12"/>
          <w:rFonts w:hint="eastAsia" w:ascii="宋体" w:hAnsi="宋体" w:eastAsia="宋体" w:cs="Times New Roman"/>
          <w:b/>
          <w:color w:val="auto"/>
          <w:kern w:val="2"/>
          <w:sz w:val="21"/>
          <w:szCs w:val="21"/>
          <w:highlight w:val="none"/>
          <w:lang w:val="en-US" w:eastAsia="zh-CN" w:bidi="ar-SA"/>
        </w:rPr>
      </w:pPr>
      <w:r>
        <w:rPr>
          <w:rStyle w:val="12"/>
          <w:rFonts w:hint="eastAsia" w:ascii="宋体" w:hAnsi="宋体" w:eastAsia="宋体" w:cs="宋体"/>
          <w:color w:val="auto"/>
          <w:kern w:val="0"/>
          <w:sz w:val="21"/>
          <w:szCs w:val="22"/>
          <w:highlight w:val="none"/>
          <w:lang w:val="en-US" w:eastAsia="zh-CN" w:bidi="ar-SA"/>
        </w:rPr>
        <w:t>7、</w:t>
      </w:r>
      <w:r>
        <w:rPr>
          <w:rStyle w:val="12"/>
          <w:rFonts w:hint="eastAsia" w:ascii="宋体" w:hAnsi="宋体" w:eastAsia="宋体" w:cs="Times New Roman"/>
          <w:b/>
          <w:bCs/>
          <w:color w:val="auto"/>
          <w:kern w:val="2"/>
          <w:sz w:val="21"/>
          <w:szCs w:val="21"/>
          <w:highlight w:val="none"/>
          <w:lang w:val="en-US" w:eastAsia="zh-CN" w:bidi="ar-SA"/>
        </w:rPr>
        <w:t>原装进口：</w:t>
      </w:r>
      <w:r>
        <w:rPr>
          <w:rStyle w:val="12"/>
          <w:rFonts w:hint="eastAsia" w:ascii="宋体" w:hAnsi="宋体" w:eastAsia="宋体" w:cs="Times New Roman"/>
          <w:b w:val="0"/>
          <w:bCs w:val="0"/>
          <w:color w:val="auto"/>
          <w:kern w:val="2"/>
          <w:sz w:val="21"/>
          <w:szCs w:val="21"/>
          <w:highlight w:val="none"/>
          <w:lang w:val="en-US" w:eastAsia="zh-CN" w:bidi="ar-SA"/>
        </w:rPr>
        <w:t>上表</w:t>
      </w:r>
      <w:r>
        <w:rPr>
          <w:rStyle w:val="12"/>
          <w:rFonts w:hint="eastAsia" w:ascii="宋体" w:hAnsi="宋体" w:eastAsia="宋体" w:cs="Times New Roman"/>
          <w:b/>
          <w:bCs/>
          <w:color w:val="auto"/>
          <w:kern w:val="2"/>
          <w:sz w:val="21"/>
          <w:szCs w:val="21"/>
          <w:highlight w:val="none"/>
          <w:lang w:val="en-US" w:eastAsia="zh-CN" w:bidi="ar-SA"/>
        </w:rPr>
        <w:t>“是否接受进口设备”</w:t>
      </w:r>
      <w:r>
        <w:rPr>
          <w:rStyle w:val="12"/>
          <w:rFonts w:hint="eastAsia" w:ascii="宋体" w:hAnsi="宋体" w:eastAsia="宋体" w:cs="Times New Roman"/>
          <w:b w:val="0"/>
          <w:bCs w:val="0"/>
          <w:color w:val="auto"/>
          <w:kern w:val="2"/>
          <w:sz w:val="21"/>
          <w:szCs w:val="21"/>
          <w:highlight w:val="none"/>
          <w:lang w:val="en-US" w:eastAsia="zh-CN" w:bidi="ar-SA"/>
        </w:rPr>
        <w:t>栏中标注</w:t>
      </w:r>
      <w:r>
        <w:rPr>
          <w:rStyle w:val="12"/>
          <w:rFonts w:hint="eastAsia" w:ascii="宋体" w:hAnsi="宋体" w:eastAsia="宋体" w:cs="Times New Roman"/>
          <w:b/>
          <w:bCs/>
          <w:color w:val="auto"/>
          <w:kern w:val="2"/>
          <w:sz w:val="21"/>
          <w:szCs w:val="21"/>
          <w:highlight w:val="none"/>
          <w:lang w:val="en-US" w:eastAsia="zh-CN" w:bidi="ar-SA"/>
        </w:rPr>
        <w:t>“是”</w:t>
      </w:r>
      <w:r>
        <w:rPr>
          <w:rStyle w:val="12"/>
          <w:rFonts w:hint="eastAsia" w:ascii="宋体" w:hAnsi="宋体" w:eastAsia="宋体" w:cs="Times New Roman"/>
          <w:b w:val="0"/>
          <w:bCs w:val="0"/>
          <w:color w:val="auto"/>
          <w:kern w:val="2"/>
          <w:sz w:val="21"/>
          <w:szCs w:val="21"/>
          <w:highlight w:val="none"/>
          <w:lang w:val="en-US" w:eastAsia="zh-CN" w:bidi="ar-SA"/>
        </w:rPr>
        <w:t>的设备已经通过主管部门审核同意，接受进口产品参与投标，标注“</w:t>
      </w:r>
      <w:r>
        <w:rPr>
          <w:rStyle w:val="12"/>
          <w:rFonts w:hint="eastAsia" w:ascii="宋体" w:hAnsi="宋体" w:eastAsia="宋体" w:cs="Times New Roman"/>
          <w:b/>
          <w:bCs/>
          <w:color w:val="auto"/>
          <w:kern w:val="2"/>
          <w:sz w:val="21"/>
          <w:szCs w:val="21"/>
          <w:highlight w:val="none"/>
          <w:lang w:val="en-US" w:eastAsia="zh-CN" w:bidi="ar-SA"/>
        </w:rPr>
        <w:t>否</w:t>
      </w:r>
      <w:r>
        <w:rPr>
          <w:rStyle w:val="12"/>
          <w:rFonts w:hint="eastAsia" w:ascii="宋体" w:hAnsi="宋体" w:eastAsia="宋体" w:cs="Times New Roman"/>
          <w:b w:val="0"/>
          <w:bCs w:val="0"/>
          <w:color w:val="auto"/>
          <w:kern w:val="2"/>
          <w:sz w:val="21"/>
          <w:szCs w:val="21"/>
          <w:highlight w:val="none"/>
          <w:lang w:val="en-US" w:eastAsia="zh-CN" w:bidi="ar-SA"/>
        </w:rPr>
        <w:t>”的拒绝进口产品参与投标。</w:t>
      </w:r>
    </w:p>
    <w:p w14:paraId="51E75734">
      <w:pPr>
        <w:pStyle w:val="14"/>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Style w:val="12"/>
          <w:rFonts w:hint="eastAsia" w:ascii="宋体" w:hAnsi="宋体" w:eastAsia="宋体" w:cs="Times New Roman"/>
          <w:b/>
          <w:color w:val="auto"/>
          <w:kern w:val="2"/>
          <w:sz w:val="21"/>
          <w:szCs w:val="21"/>
          <w:highlight w:val="none"/>
          <w:lang w:val="en-US" w:eastAsia="zh-CN" w:bidi="ar-SA"/>
        </w:rPr>
      </w:pPr>
    </w:p>
    <w:p w14:paraId="724EAEB8">
      <w:pPr>
        <w:rPr>
          <w:rStyle w:val="12"/>
          <w:rFonts w:hint="eastAsia" w:ascii="黑体" w:hAnsi="黑体" w:eastAsia="黑体" w:cs="Times New Roman"/>
          <w:b/>
          <w:bCs/>
          <w:color w:val="auto"/>
          <w:kern w:val="2"/>
          <w:sz w:val="28"/>
          <w:szCs w:val="28"/>
          <w:highlight w:val="none"/>
          <w:lang w:val="en-US" w:eastAsia="zh-CN" w:bidi="ar-SA"/>
        </w:rPr>
      </w:pPr>
      <w:bookmarkStart w:id="14" w:name="_Toc256000039"/>
      <w:bookmarkStart w:id="15" w:name="_Toc15276"/>
      <w:bookmarkStart w:id="16" w:name="_Toc21425"/>
      <w:bookmarkStart w:id="17" w:name="_Toc22916"/>
      <w:bookmarkStart w:id="18" w:name="_Toc32651"/>
      <w:bookmarkStart w:id="19" w:name="_Toc46"/>
      <w:bookmarkStart w:id="20" w:name="_Toc26952"/>
      <w:bookmarkStart w:id="21" w:name="_Toc2842"/>
      <w:r>
        <w:rPr>
          <w:rStyle w:val="12"/>
          <w:rFonts w:hint="eastAsia" w:ascii="黑体" w:hAnsi="黑体" w:eastAsia="黑体" w:cs="Times New Roman"/>
          <w:b/>
          <w:bCs/>
          <w:color w:val="auto"/>
          <w:kern w:val="2"/>
          <w:sz w:val="28"/>
          <w:szCs w:val="28"/>
          <w:highlight w:val="none"/>
          <w:lang w:val="en-US" w:eastAsia="zh-CN" w:bidi="ar-SA"/>
        </w:rPr>
        <w:br w:type="page"/>
      </w:r>
    </w:p>
    <w:bookmarkEnd w:id="12"/>
    <w:p w14:paraId="4F28CFF6">
      <w:pPr>
        <w:pStyle w:val="13"/>
        <w:keepNext/>
        <w:keepLines/>
        <w:pageBreakBefore w:val="0"/>
        <w:widowControl w:val="0"/>
        <w:numPr>
          <w:ilvl w:val="0"/>
          <w:numId w:val="1"/>
        </w:numPr>
        <w:kinsoku/>
        <w:wordWrap/>
        <w:overflowPunct/>
        <w:topLinePunct w:val="0"/>
        <w:autoSpaceDE/>
        <w:autoSpaceDN/>
        <w:bidi w:val="0"/>
        <w:adjustRightInd w:val="0"/>
        <w:snapToGrid w:val="0"/>
        <w:spacing w:line="360" w:lineRule="auto"/>
        <w:ind w:firstLine="422" w:firstLineChars="200"/>
        <w:jc w:val="center"/>
        <w:outlineLvl w:val="1"/>
        <w:rPr>
          <w:rStyle w:val="12"/>
          <w:rFonts w:hint="eastAsia" w:ascii="黑体" w:hAnsi="黑体" w:eastAsia="黑体" w:cs="Times New Roman"/>
          <w:b/>
          <w:bCs/>
          <w:color w:val="auto"/>
          <w:kern w:val="2"/>
          <w:sz w:val="21"/>
          <w:szCs w:val="21"/>
          <w:highlight w:val="none"/>
          <w:lang w:val="en-US" w:eastAsia="zh-CN" w:bidi="ar-SA"/>
        </w:rPr>
      </w:pPr>
      <w:r>
        <w:rPr>
          <w:rStyle w:val="12"/>
          <w:rFonts w:hint="eastAsia" w:ascii="黑体" w:hAnsi="黑体" w:eastAsia="黑体" w:cs="Times New Roman"/>
          <w:b/>
          <w:bCs/>
          <w:color w:val="auto"/>
          <w:kern w:val="2"/>
          <w:sz w:val="21"/>
          <w:szCs w:val="21"/>
          <w:highlight w:val="none"/>
          <w:lang w:val="en-US" w:eastAsia="zh-CN" w:bidi="ar-SA"/>
        </w:rPr>
        <w:t>技术要求</w:t>
      </w:r>
      <w:bookmarkEnd w:id="13"/>
      <w:bookmarkEnd w:id="14"/>
      <w:bookmarkEnd w:id="15"/>
      <w:bookmarkEnd w:id="16"/>
      <w:bookmarkEnd w:id="17"/>
      <w:bookmarkEnd w:id="18"/>
      <w:bookmarkEnd w:id="19"/>
      <w:bookmarkEnd w:id="20"/>
      <w:bookmarkEnd w:id="21"/>
      <w:bookmarkStart w:id="22" w:name="_Toc4711"/>
      <w:bookmarkStart w:id="23" w:name="_Toc256000040"/>
      <w:bookmarkStart w:id="24" w:name="_Toc1842"/>
      <w:bookmarkStart w:id="25" w:name="_Toc6593"/>
    </w:p>
    <w:bookmarkEnd w:id="22"/>
    <w:bookmarkEnd w:id="23"/>
    <w:bookmarkEnd w:id="24"/>
    <w:bookmarkEnd w:id="25"/>
    <w:p w14:paraId="5C0DA27E">
      <w:pPr>
        <w:pageBreakBefore w:val="0"/>
        <w:kinsoku/>
        <w:wordWrap/>
        <w:overflowPunct/>
        <w:topLinePunct w:val="0"/>
        <w:autoSpaceDE/>
        <w:autoSpaceDN/>
        <w:bidi w:val="0"/>
        <w:ind w:firstLine="422" w:firstLineChars="200"/>
        <w:jc w:val="left"/>
        <w:rPr>
          <w:rStyle w:val="12"/>
          <w:rFonts w:hint="eastAsia" w:asciiTheme="majorEastAsia" w:hAnsiTheme="majorEastAsia" w:eastAsiaTheme="majorEastAsia" w:cstheme="majorEastAsia"/>
          <w:b/>
          <w:bCs/>
          <w:color w:val="auto"/>
          <w:kern w:val="2"/>
          <w:sz w:val="21"/>
          <w:szCs w:val="21"/>
          <w:highlight w:val="none"/>
          <w:lang w:val="en-US" w:eastAsia="zh-CN" w:bidi="ar-SA"/>
        </w:rPr>
      </w:pPr>
    </w:p>
    <w:p w14:paraId="03A27D97">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auto"/>
          <w:kern w:val="2"/>
          <w:sz w:val="21"/>
          <w:szCs w:val="21"/>
          <w:highlight w:val="none"/>
          <w:lang w:val="en-US" w:eastAsia="zh-CN" w:bidi="ar-SA"/>
        </w:rPr>
      </w:pPr>
      <w:r>
        <w:rPr>
          <w:rStyle w:val="12"/>
          <w:rFonts w:hint="eastAsia" w:asciiTheme="majorEastAsia" w:hAnsiTheme="majorEastAsia" w:eastAsiaTheme="majorEastAsia" w:cstheme="majorEastAsia"/>
          <w:b/>
          <w:bCs/>
          <w:color w:val="auto"/>
          <w:kern w:val="2"/>
          <w:sz w:val="21"/>
          <w:szCs w:val="21"/>
          <w:highlight w:val="none"/>
          <w:lang w:val="en-US" w:eastAsia="zh-CN" w:bidi="ar-SA"/>
        </w:rPr>
        <w:t>品目1、</w:t>
      </w:r>
      <w:r>
        <w:rPr>
          <w:rFonts w:hint="eastAsia" w:ascii="宋体" w:hAnsi="宋体" w:eastAsia="宋体" w:cs="宋体"/>
          <w:i w:val="0"/>
          <w:iCs w:val="0"/>
          <w:color w:val="000000"/>
          <w:kern w:val="0"/>
          <w:sz w:val="22"/>
          <w:szCs w:val="22"/>
          <w:u w:val="none"/>
          <w:lang w:val="en-US" w:eastAsia="zh-CN" w:bidi="ar"/>
        </w:rPr>
        <w:t>云桌面服务器</w:t>
      </w:r>
      <w:r>
        <w:rPr>
          <w:rStyle w:val="12"/>
          <w:rFonts w:hint="eastAsia" w:asciiTheme="majorEastAsia" w:hAnsiTheme="majorEastAsia" w:eastAsiaTheme="majorEastAsia" w:cstheme="majorEastAsia"/>
          <w:b/>
          <w:bCs/>
          <w:color w:val="auto"/>
          <w:kern w:val="2"/>
          <w:sz w:val="21"/>
          <w:szCs w:val="21"/>
          <w:highlight w:val="none"/>
          <w:lang w:val="en-US" w:eastAsia="zh-CN" w:bidi="ar-SA"/>
        </w:rPr>
        <w:t>1台</w:t>
      </w:r>
    </w:p>
    <w:p w14:paraId="60E2A0F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基本要求：</w:t>
      </w:r>
    </w:p>
    <w:p w14:paraId="35F6978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1、要求1U机架式服务器。</w:t>
      </w:r>
    </w:p>
    <w:p w14:paraId="75B3F9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2、配置国产化系列处理器，每颗CPU≥8核心16线程，主频≥3.0Ghz。配置内存容量≥32G。配置SSD固态硬盘≥1400G，配置机械硬盘总容量≥16TB。配置千兆网口≥4个。服务器电源功率≥350W。</w:t>
      </w:r>
    </w:p>
    <w:p w14:paraId="28422E8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3、为保障所投设备质量优异，可靠性高，要求所投设备平均故障间隔时间（MTBF）≥180000小时。</w:t>
      </w:r>
    </w:p>
    <w:p w14:paraId="557BDEC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4、要求所投产品符合国家GB/T 9254的相关标准，在30MHz~1GHz和1GHz~6GHz频率范围内的辐射骚扰测试结果符合要求。</w:t>
      </w:r>
      <w:r>
        <w:rPr>
          <w:rFonts w:hint="eastAsia" w:ascii="宋体" w:hAnsi="宋体" w:eastAsia="宋体" w:cs="宋体"/>
          <w:i w:val="0"/>
          <w:iCs w:val="0"/>
          <w:color w:val="auto"/>
          <w:kern w:val="0"/>
          <w:sz w:val="21"/>
          <w:szCs w:val="21"/>
          <w:lang w:val="en-US" w:eastAsia="zh-CN" w:bidi="ar"/>
        </w:rPr>
        <w:t>提供第三方权威测试报告复印件。</w:t>
      </w:r>
    </w:p>
    <w:p w14:paraId="05DD116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 xml:space="preserve">5、要求可管理终端数≥1500台，提供云盘功能，支持本地和云端同步存储数据。  </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                                                                                  </w:t>
      </w:r>
    </w:p>
    <w:p w14:paraId="48C0C91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6D762D62">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品目2、云桌面系统1 套</w:t>
      </w:r>
    </w:p>
    <w:p w14:paraId="4FD8E5C2">
      <w:pPr>
        <w:keepNext w:val="0"/>
        <w:keepLines w:val="0"/>
        <w:pageBreakBefore w:val="0"/>
        <w:numPr>
          <w:ilvl w:val="0"/>
          <w:numId w:val="0"/>
        </w:numPr>
        <w:kinsoku/>
        <w:wordWrap/>
        <w:overflowPunct/>
        <w:topLinePunct w:val="0"/>
        <w:autoSpaceDE/>
        <w:autoSpaceDN/>
        <w:bidi w:val="0"/>
        <w:adjustRightInd/>
        <w:snapToGrid/>
        <w:spacing w:line="360" w:lineRule="exact"/>
        <w:jc w:val="left"/>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基本要求：</w:t>
      </w:r>
    </w:p>
    <w:p w14:paraId="07FBBEA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1、管理平台采用B/S（Broswer/Server)架构，支持中文图形化操作界面。</w:t>
      </w:r>
    </w:p>
    <w:p w14:paraId="269A0CC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2、要求采用超融合基础架构，在同一管理平台内至少包含计算资源、存储资源、网络资源等功能管理模块。所有功能模块需要通过一个厂家的一套软件实现超融合部署，不可以使用多套软件或产品叠加实现。</w:t>
      </w:r>
    </w:p>
    <w:p w14:paraId="39CE4F5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3、为提供强大的扩展能力，需支持在集群中添加、移除服务器主机节点。</w:t>
      </w:r>
    </w:p>
    <w:p w14:paraId="702E2E2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4、支持将服务器主机节点添加为计算集群，为上层业务平台提供统一的计算、存储、网络资源调度，形成基础计算平台支撑。</w:t>
      </w:r>
    </w:p>
    <w:p w14:paraId="071B1C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5、采用分布式存储架构，可以将服务器集群中多个节点的本地磁盘融合为统一存储资源空间，具备在线横向扩展能力，任一节点故障，都不会影响数据的正常访问。</w:t>
      </w:r>
    </w:p>
    <w:p w14:paraId="4F8AAB8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6、支持按需创建多个存储池，支持配置每个存储池所需使用的冗余策略，每个存储池的容量盘可从服务器集群中任意几个节点中的一块或多块磁盘中选择。</w:t>
      </w:r>
    </w:p>
    <w:p w14:paraId="00F1B2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7、存储池可以设置的冗余策略至少包括：单副本、2副本、3副本、纠删码等冗余策略，纠删码可以按照2数据1校验的方案部署并实际使用，磁盘空间的利用率≥60%。提供实际软件运行真实界面截图证明。</w:t>
      </w:r>
    </w:p>
    <w:p w14:paraId="38E45ED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8、支持多级缓存技术，可以预先将热点数据从机械盘缓存到SSD和内存中。</w:t>
      </w:r>
    </w:p>
    <w:p w14:paraId="3BFC08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9、支持数据均衡负载策略，当存储池扩容或者节点/容量盘出现故障时可以触发数据重分布，数据均衡的过程不会导致业务中断、也无需人工干预。</w:t>
      </w:r>
    </w:p>
    <w:p w14:paraId="2182F5B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▲10、为保证硬盘故障后，数据可以快速重构，要求所投产品在分布式存储的方案下，1T数据重构时间≤20分钟。</w:t>
      </w:r>
      <w:r>
        <w:rPr>
          <w:rFonts w:hint="eastAsia" w:ascii="宋体" w:hAnsi="宋体" w:eastAsia="宋体" w:cs="宋体"/>
          <w:i w:val="0"/>
          <w:iCs w:val="0"/>
          <w:color w:val="auto"/>
          <w:kern w:val="0"/>
          <w:sz w:val="21"/>
          <w:szCs w:val="21"/>
          <w:lang w:val="en-US" w:eastAsia="zh-CN" w:bidi="ar"/>
        </w:rPr>
        <w:t>提供第三方检测机构出具的检测报告。</w:t>
      </w:r>
    </w:p>
    <w:p w14:paraId="49807C1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723FC6F">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品目3、云桌面教师终端 3 台</w:t>
      </w:r>
    </w:p>
    <w:p w14:paraId="6F28E7F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1、所投终端均需为国内自主品牌。</w:t>
      </w:r>
    </w:p>
    <w:p w14:paraId="5F96E74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2、配置CPU性能≥8核12线程处理器；性能核心数量≥4个；内存容量≥16GB，本地存储≥512 GB SSD。</w:t>
      </w:r>
    </w:p>
    <w:p w14:paraId="42FF37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3、配置内存槽位≥2个，配置M.2 SSD槽位≥2个，2.5英寸硬盘位≥1个。</w:t>
      </w:r>
    </w:p>
    <w:p w14:paraId="2F60ADD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4、USB接口数量≥8个（其中USB 3.0接口≥4个），千兆网口≥1个，VGA接口≥1个，HDMI接口≥1个，音频输入输出接口≥2个。</w:t>
      </w:r>
    </w:p>
    <w:p w14:paraId="07C622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5、为保障所投设备质量优异，可靠性高，要求所投设备平均故障间隔时间（MTBF）≥150000小时。</w:t>
      </w:r>
    </w:p>
    <w:p w14:paraId="19BEDB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6、确保终端产品在使用过程中不发生人体触电风险</w:t>
      </w:r>
    </w:p>
    <w:p w14:paraId="09D5F3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BF36BAA">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品目4、云桌面学生终端 168 台</w:t>
      </w:r>
    </w:p>
    <w:p w14:paraId="7D698A90">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4E9486D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1、所投终端均需为国内自主品牌。</w:t>
      </w:r>
    </w:p>
    <w:p w14:paraId="623139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2、配置CPU性能≥八核十二线程处理器；性能核心数量≥4个；内存容量≥8GB，本地存储≥256 GB SSD。</w:t>
      </w:r>
    </w:p>
    <w:p w14:paraId="17F5D9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3、配置内存槽位≥2个。配置M.2 SSD槽位≥2个，2.5英寸硬盘位≥1个。</w:t>
      </w:r>
    </w:p>
    <w:p w14:paraId="6AB59B6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4、USB接口数量≥8个（其中USB 3.0接口≥4个），千兆网口≥1个，VGA接口≥1个，HDMI接口≥1个，音频输入输出接口≥2个。</w:t>
      </w:r>
    </w:p>
    <w:p w14:paraId="6D9397A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5、为保障所投设备质量优异，可靠性高，要求所投设备平均故障间隔时间（MTBF）≥150000小时。</w:t>
      </w:r>
    </w:p>
    <w:p w14:paraId="213F1B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6、确保终端产品在使用过程中不发生人体触电风险。</w:t>
      </w:r>
    </w:p>
    <w:p w14:paraId="73EB29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kern w:val="0"/>
          <w:sz w:val="21"/>
          <w:szCs w:val="21"/>
          <w:lang w:val="en-US" w:eastAsia="zh-CN" w:bidi="ar"/>
        </w:rPr>
      </w:pPr>
    </w:p>
    <w:p w14:paraId="3B414E88">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品目5、云桌面终端软件授权 171 套</w:t>
      </w:r>
    </w:p>
    <w:p w14:paraId="6E9180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1、采用B/S软件架构，中文图形化管理页面。</w:t>
      </w:r>
    </w:p>
    <w:p w14:paraId="2E742AF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2、为了方便管理和使用，管理平台要包括镜像管理、教室管理、用户管理等关键功能模块。</w:t>
      </w:r>
    </w:p>
    <w:p w14:paraId="110FA42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3、为满足基本教学的使用需求，要求镜像模版可以使用多种类型的操作系统，支持主流Windows及Linux操作系统镜像模板，包含但不限于Windows 10/11、国产Linux操作系统等。</w:t>
      </w:r>
    </w:p>
    <w:p w14:paraId="1AC99A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4、支持镜像模版链接分享功能，管理员可将编辑镜像模板的链接分享给任课老师，在浏览器中直接输入链接地址即可对镜像模板进行编辑，支持分享链接的失效期、分享验证码设置。</w:t>
      </w:r>
    </w:p>
    <w:p w14:paraId="4467308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5、为保证重要镜像的安全性，支持教学镜像对学生隐藏或可见，支持镜像模版自动快照，每次镜像发布时可以自动为镜像模版打快照。</w:t>
      </w:r>
    </w:p>
    <w:p w14:paraId="0E13485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6、要求可以通过LDAP协议对接学校的统一身份平台，让用户也可以使用统一身份平台的用户信息，无需重新创建一个全新的用户体系。</w:t>
      </w:r>
    </w:p>
    <w:p w14:paraId="1330569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7、为了管理的便捷性，支持管理员通过服务器集群的web管理平台唤醒远程不同网段的终端，中间无需使用跳板机转发。</w:t>
      </w:r>
    </w:p>
    <w:p w14:paraId="15BFEA8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8、为满足操作系统、安卓编程等课程的使用需求，支持嵌套虚拟化功能，在终端桌面上可以正常使用VMware、android studio等需要运行虚拟机的软件。</w:t>
      </w:r>
    </w:p>
    <w:p w14:paraId="5146F3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9、为满足教学过程数据存储，可以在学生单个镜像内设置数据盘，数据盘可以按每月、每周、每日或指定时间设置还原策略。</w:t>
      </w:r>
    </w:p>
    <w:p w14:paraId="742880D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lang w:val="en-US" w:eastAsia="zh-CN" w:bidi="ar"/>
        </w:rPr>
      </w:pPr>
      <w:r>
        <w:rPr>
          <w:rFonts w:hint="default" w:ascii="宋体" w:hAnsi="宋体" w:eastAsia="宋体" w:cs="宋体"/>
          <w:i w:val="0"/>
          <w:iCs w:val="0"/>
          <w:color w:val="auto"/>
          <w:kern w:val="0"/>
          <w:sz w:val="21"/>
          <w:szCs w:val="21"/>
          <w:highlight w:val="none"/>
          <w:lang w:val="en-US" w:eastAsia="zh-CN" w:bidi="ar"/>
        </w:rPr>
        <w:t>1</w:t>
      </w:r>
      <w:r>
        <w:rPr>
          <w:rFonts w:hint="eastAsia" w:ascii="宋体" w:hAnsi="宋体" w:cs="宋体"/>
          <w:i w:val="0"/>
          <w:iCs w:val="0"/>
          <w:color w:val="auto"/>
          <w:kern w:val="0"/>
          <w:sz w:val="21"/>
          <w:szCs w:val="21"/>
          <w:highlight w:val="none"/>
          <w:lang w:val="en-US" w:eastAsia="zh-CN" w:bidi="ar"/>
        </w:rPr>
        <w:t>0</w:t>
      </w:r>
      <w:r>
        <w:rPr>
          <w:rFonts w:hint="default" w:ascii="宋体" w:hAnsi="宋体" w:eastAsia="宋体" w:cs="宋体"/>
          <w:i w:val="0"/>
          <w:iCs w:val="0"/>
          <w:color w:val="auto"/>
          <w:kern w:val="0"/>
          <w:sz w:val="21"/>
          <w:szCs w:val="21"/>
          <w:highlight w:val="none"/>
          <w:lang w:val="en-US" w:eastAsia="zh-CN" w:bidi="ar"/>
        </w:rPr>
        <w:t>、支持镜像模版快照，每次镜像发布时可以为镜像模版生成快照，支持的最大快照数量≥8个，提供实际界面截图证明。</w:t>
      </w:r>
    </w:p>
    <w:p w14:paraId="3754C79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lang w:val="en-US" w:eastAsia="zh-CN" w:bidi="ar"/>
        </w:rPr>
      </w:pPr>
      <w:r>
        <w:rPr>
          <w:rFonts w:hint="eastAsia" w:ascii="宋体" w:hAnsi="宋体" w:cs="宋体"/>
          <w:i w:val="0"/>
          <w:iCs w:val="0"/>
          <w:color w:val="auto"/>
          <w:kern w:val="0"/>
          <w:sz w:val="21"/>
          <w:szCs w:val="21"/>
          <w:highlight w:val="none"/>
          <w:lang w:val="en-US" w:eastAsia="zh-CN" w:bidi="ar"/>
        </w:rPr>
        <w:t>11、提供正版操作系统授权。</w:t>
      </w:r>
    </w:p>
    <w:p w14:paraId="48700A96">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kern w:val="0"/>
          <w:sz w:val="21"/>
          <w:szCs w:val="21"/>
          <w:lang w:val="en-US" w:eastAsia="zh-CN" w:bidi="ar"/>
        </w:rPr>
      </w:pPr>
    </w:p>
    <w:p w14:paraId="58ADF9A1">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品目6、云桌面教学管理软件 3 套</w:t>
      </w:r>
    </w:p>
    <w:p w14:paraId="62EFB0A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1、系统内置多元化教学场景模式，适配差异化教学应用场景；教师可经教学管理平台对指定学生执行镜像环境一键切换操作，镜像切换过程中云终端设备保持运行状态，不涉及硬件层面的重启动作。</w:t>
      </w:r>
    </w:p>
    <w:p w14:paraId="25D403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2、教师可通过教学管理平台批量远程唤醒全部云终端设备，终端完成引导后自动载入与当前课程匹配的镜像桌面环境。</w:t>
      </w:r>
    </w:p>
    <w:p w14:paraId="4ED0A8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3、教学管理平台内置远程终端编号设置模块，用于优化课前考勤流程；终端编号与云桌面标识保持一一映射关系，便于教师快速完成课堂点名。</w:t>
      </w:r>
    </w:p>
    <w:p w14:paraId="08B8BA4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4、教学管理平台提供一键禁网功能，教师可选择性切断任意学生的网络访问权限；禁网状态下屏幕广播、屏幕监视等教学功能不受影响，保持正常使用。</w:t>
      </w:r>
    </w:p>
    <w:p w14:paraId="12208BB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5F15D90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6、系统支持用户自主注册及管理员批量导入两种账号创建方式；在数据安全与教学便捷性之间取得平衡，教师账号强制采用密码认证方式登录个人空间，学生账号可灵活配置密码登录或免密登录模式。</w:t>
      </w:r>
    </w:p>
    <w:p w14:paraId="1E0AB2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7、班级管理支持标识码邀请机制，教师生成专属班级标识码后分发给学生，学生凭该标识码即可加入对应班级，降低班级创建与维护的操作成本。</w:t>
      </w:r>
    </w:p>
    <w:p w14:paraId="67A8A49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8、教学管理软件具备进程保护机制，禁止通过任务管理器或命令行工具强制终止管理进程；同时实施课堂行为管控，阻止学生终端在授课过程中执行关闭锁屏、退出离线广播等脱离教学管理的操作。</w:t>
      </w:r>
    </w:p>
    <w:p w14:paraId="44094F3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2AEA229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10、教师可对学生作业执行公开标记操作，被标记为公开的作业内容可通过学生端软件供全体学生查阅浏览。</w:t>
      </w:r>
    </w:p>
    <w:p w14:paraId="70D5E1E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1</w:t>
      </w:r>
      <w:r>
        <w:rPr>
          <w:rFonts w:hint="eastAsia" w:ascii="宋体" w:hAnsi="宋体" w:cs="宋体"/>
          <w:i w:val="0"/>
          <w:iCs w:val="0"/>
          <w:color w:val="auto"/>
          <w:kern w:val="0"/>
          <w:sz w:val="21"/>
          <w:szCs w:val="21"/>
          <w:lang w:val="en-US" w:eastAsia="zh-CN" w:bidi="ar"/>
        </w:rPr>
        <w:t>1</w:t>
      </w:r>
      <w:r>
        <w:rPr>
          <w:rFonts w:hint="eastAsia" w:ascii="宋体" w:hAnsi="宋体" w:eastAsia="宋体" w:cs="宋体"/>
          <w:i w:val="0"/>
          <w:iCs w:val="0"/>
          <w:color w:val="auto"/>
          <w:kern w:val="0"/>
          <w:sz w:val="21"/>
          <w:szCs w:val="21"/>
          <w:lang w:val="en-US" w:eastAsia="zh-CN" w:bidi="ar"/>
        </w:rPr>
        <w:t>、支持老师将学生作业标记为公开作业；支持学生通过学生端软件查看所有老师标记的公开作业；提供产品功能截图证明。</w:t>
      </w:r>
    </w:p>
    <w:p w14:paraId="612EB1F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3EEB83EA">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品目7、24口交换机 1 台</w:t>
      </w:r>
    </w:p>
    <w:p w14:paraId="271617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1、固化10/100/1000M以太网端口≥24个，固化10G SFP+光接口≥4个。</w:t>
      </w:r>
    </w:p>
    <w:p w14:paraId="67E129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2、交换容量≥670Gbps，包转发率≥170Mpps.</w:t>
      </w:r>
    </w:p>
    <w:p w14:paraId="330D72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3、支持静态路由、RIP/RIPng、OSPFv2/OSPFv3等三层路由协议。</w:t>
      </w:r>
    </w:p>
    <w:p w14:paraId="7F1FE0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4、设备MAC地址≥16K。</w:t>
      </w:r>
    </w:p>
    <w:p w14:paraId="001DDF6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5、设备支持1对1、基于流、基于VLAN的镜像。</w:t>
      </w:r>
    </w:p>
    <w:p w14:paraId="77004ED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6、配万兆光模块1对</w:t>
      </w:r>
    </w:p>
    <w:p w14:paraId="1B33EE1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2BACAD25">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品目8、48口交换机 1 台</w:t>
      </w:r>
    </w:p>
    <w:p w14:paraId="38AA3E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1、固化10/100/1000M以太网端口≥48个，固化10G SFP+光接口≥4个。</w:t>
      </w:r>
    </w:p>
    <w:p w14:paraId="2ABDEF1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2、交换容量≥670Gbps，包转发率≥200Mpps.</w:t>
      </w:r>
    </w:p>
    <w:p w14:paraId="5F75647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3、支持静态路由、RIP/RIPng、OSPFv2/OSPFv3等三层路由协议。</w:t>
      </w:r>
    </w:p>
    <w:p w14:paraId="580B66E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4、设备MAC地址≥16K。</w:t>
      </w:r>
    </w:p>
    <w:p w14:paraId="21926B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5、设备支持1对1、基于流、基于VLAN的镜像。</w:t>
      </w:r>
    </w:p>
    <w:p w14:paraId="6B666F7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6、配万兆光模块1对</w:t>
      </w:r>
    </w:p>
    <w:p w14:paraId="0C1DC0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AD91D42">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品目9、防静电地板 1 间</w:t>
      </w:r>
    </w:p>
    <w:p w14:paraId="038B38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lang w:val="en-US" w:eastAsia="zh-CN" w:bidi="ar"/>
          <w14:textFill>
            <w14:solidFill>
              <w14:schemeClr w14:val="tx1"/>
            </w14:solidFill>
          </w14:textFill>
        </w:rPr>
        <w:t>拆除现房间设备并搬到学校指定位置，加装防滑陶瓷面防静电地板，面积约80平米（具体面积以实际需要为准）。</w:t>
      </w:r>
    </w:p>
    <w:p w14:paraId="7884763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D4B311F">
      <w:pPr>
        <w:keepNext w:val="0"/>
        <w:keepLines w:val="0"/>
        <w:pageBreakBefore w:val="0"/>
        <w:kinsoku/>
        <w:wordWrap/>
        <w:overflowPunct/>
        <w:topLinePunct w:val="0"/>
        <w:autoSpaceDE/>
        <w:autoSpaceDN/>
        <w:bidi w:val="0"/>
        <w:adjustRightInd/>
        <w:snapToGrid/>
        <w:spacing w:line="360" w:lineRule="exact"/>
        <w:jc w:val="left"/>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品目10、机房布线 1 间</w:t>
      </w:r>
    </w:p>
    <w:p w14:paraId="4C41CA8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六类网线、电源线、电源插座、从五楼机房接光缆到三楼新机房等，具体规格与数量按需配置</w:t>
      </w:r>
    </w:p>
    <w:p w14:paraId="4AC4259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9D08A0E">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品目11、摄像机 1 个</w:t>
      </w:r>
    </w:p>
    <w:p w14:paraId="005D0D5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400万广角半球摄像机，接入学校考试专用监控系统。</w:t>
      </w:r>
    </w:p>
    <w:p w14:paraId="0860D63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752A35A6">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品目12、电脑桌椅 56 座位</w:t>
      </w:r>
    </w:p>
    <w:p w14:paraId="60BCBC3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1.2米双人位钢木结构电脑桌椅</w:t>
      </w:r>
    </w:p>
    <w:p w14:paraId="1902421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25F3DD40">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品目13、讲台 1 套</w:t>
      </w:r>
    </w:p>
    <w:p w14:paraId="2ABDE41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1.4米钢木结构讲台</w:t>
      </w:r>
    </w:p>
    <w:p w14:paraId="52459D0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4809319">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品目14、智慧无尘黑板 3 套</w:t>
      </w:r>
    </w:p>
    <w:p w14:paraId="4FA3B8E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一、整体设计要求</w:t>
      </w:r>
    </w:p>
    <w:p w14:paraId="4109930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1、整机采用全金属外壳，屏幕采用 86 英寸液晶显示器。整机屏幕边缘采用金属圆角包边防护，整机背板采用金属材质，有效屏蔽内部电路器件辐射；防潮耐盐雾蚀锈，适应多种教学环境。</w:t>
      </w:r>
    </w:p>
    <w:p w14:paraId="7838654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2、整机采用超高清 LED 液晶显示屏，显示比例 16:9，分辨率≥3840×2160。</w:t>
      </w:r>
    </w:p>
    <w:p w14:paraId="41F2471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3、整机输入接口具备至少 2 路 HDMI、至少 1 路 RS232、至少 1 路音频输出、至少 1 路触控 USB 输出；前置输入接口具备至少 3 路 USB 接口（包含 1 路 Type-C）。</w:t>
      </w:r>
    </w:p>
    <w:p w14:paraId="144ED73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4、整机嵌入式系统版本不低于 Android 15，内存≥2GB，存储空间≥32GB。</w:t>
      </w:r>
    </w:p>
    <w:p w14:paraId="6D209B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w:t>
      </w:r>
      <w:r>
        <w:rPr>
          <w:rFonts w:hint="eastAsia" w:ascii="宋体" w:hAnsi="宋体" w:eastAsia="宋体" w:cs="宋体"/>
          <w:i w:val="0"/>
          <w:iCs w:val="0"/>
          <w:color w:val="auto"/>
          <w:kern w:val="0"/>
          <w:sz w:val="21"/>
          <w:szCs w:val="21"/>
          <w:lang w:val="en-US" w:eastAsia="zh-CN" w:bidi="ar"/>
        </w:rPr>
        <w:t>整机内置AI 算力≥2Tops</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，支持 8K 级视频解码，支持 4 路及以上视频流</w:t>
      </w:r>
      <w:r>
        <w:rPr>
          <w:rFonts w:hint="eastAsia" w:ascii="宋体" w:hAnsi="宋体" w:cs="宋体"/>
          <w:i w:val="0"/>
          <w:iCs w:val="0"/>
          <w:color w:val="000000" w:themeColor="text1"/>
          <w:kern w:val="0"/>
          <w:sz w:val="21"/>
          <w:szCs w:val="21"/>
          <w:lang w:val="en-US" w:eastAsia="zh-CN" w:bidi="ar"/>
          <w14:textFill>
            <w14:solidFill>
              <w14:schemeClr w14:val="tx1"/>
            </w14:solidFill>
          </w14:textFill>
        </w:rPr>
        <w:t>输入</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w:t>
      </w:r>
    </w:p>
    <w:p w14:paraId="1499DD8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6、整机支持 Windows 系统和 Android 系统中进行 50 点或以上触控及书写。</w:t>
      </w:r>
    </w:p>
    <w:p w14:paraId="1E904E8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7、整机主控处理芯片、WIFI 与蓝牙通信芯片、摄像头图像处理芯片，支持选用国产自主芯片方案。</w:t>
      </w:r>
    </w:p>
    <w:p w14:paraId="6D4EFAE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8、整机内置全视角背光增光膜，通过增光膜对背光光源进行均光，提升画面显示均匀性。</w:t>
      </w:r>
    </w:p>
    <w:p w14:paraId="0ECDC2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9、在屏幕中心亮度≥350 cd/㎡、整机水平方向法线 60 度视角下，屏幕观看有效亮度≥110 cd/㎡。</w:t>
      </w:r>
    </w:p>
    <w:p w14:paraId="612FB6B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10、整机上边框可集成一体化摄像头模组，摄像头数量≥5 个，其中广角摄像头视场角≥145 度；在 3840×2160 分辨率下，支持 30 帧视频输出。</w:t>
      </w:r>
    </w:p>
    <w:p w14:paraId="13A4C1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11、集成摄像头模组支持拍摄≥5000 万像素静态照片，支持输出 8192×2772 分辨率视频。</w:t>
      </w:r>
    </w:p>
    <w:p w14:paraId="62FEFD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12、整机支持摄像头模组同时输出至少 3 路视频流，可分别用于课堂远程巡课、课堂教学数据采集、本地画面预览（拍照或视频录制）。</w:t>
      </w:r>
    </w:p>
    <w:p w14:paraId="09F85E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13、整机系统支持课堂行为识别功能，可通过摄像头识别学生举手、交叉手臂等动作，实现课堂投票统计，支持展示投票数据及占比，可采用图表形式呈现。</w:t>
      </w:r>
    </w:p>
    <w:p w14:paraId="4B080C0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14、整机系统支持书写触控延迟≤25ms，触控书写支持笔迹预测算法，书写速度≥50cm/s 工况下，笔迹追踪跟随距离小于 20mm。</w:t>
      </w:r>
    </w:p>
    <w:p w14:paraId="54C76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15、整机全通道支持 4K 显示，包括安卓通道、PC 通道、HDMI 信号通道。</w:t>
      </w:r>
    </w:p>
    <w:p w14:paraId="7C646CB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16、整机内置 2.2 声道扬声器，扬声器布置于设备边框区域，高音扬声器≥2 个，中低音扬声器≥2 个，整机音频最大功率≥80W。</w:t>
      </w:r>
    </w:p>
    <w:p w14:paraId="48231A9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17、整机具备多种音效模式，听力模式下支持 AI 人声增强功能，支持三档强弱调节，通过算法提取音频人声进行优化，在不提升音量基础上提升语音清晰度。</w:t>
      </w:r>
    </w:p>
    <w:p w14:paraId="58F9CBB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18、整机支持内置麦克风阵列，麦克风数量≥8 阵列，拾音距离≥12m；支持语音助手功能，可通过唤醒词启动，支持语音操控整机音量、亮度、打开白板、浏览器等应用，支持语音搜索网页内容。</w:t>
      </w:r>
    </w:p>
    <w:p w14:paraId="532FEF6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19、整机支持标准、听力、观影、环境自适应音效模式；环境自适应音效模式可采集教室环境声学信息，自动适配教室声场优化音效参数。</w:t>
      </w:r>
    </w:p>
    <w:p w14:paraId="34B8C05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20、整机背光系统支持 DC 调光，支持多级亮度调节。</w:t>
      </w:r>
    </w:p>
    <w:p w14:paraId="0C11121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21、整机支持人工智能画质优化模式，安卓通道下可根据画面内容自动调节对比度、饱和度、锐利度、高光阴影等画质参数。</w:t>
      </w:r>
    </w:p>
    <w:p w14:paraId="08F6AD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22、支持自定义图像设置，可对对比度、屏幕色温、图像亮度、色彩空间进行调节。</w:t>
      </w:r>
    </w:p>
    <w:p w14:paraId="50B6583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23、整机全通道支持纸质护眼模式，可调整画面纹理效果；至少支持牛皮纸、素描纸、宣纸、水彩纸、水纹纸多种纹理效果，支持透明度、色温调节。</w:t>
      </w:r>
    </w:p>
    <w:p w14:paraId="4D33A90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24、整机支持自习纪律辅助提醒功能，可通过音频监测环境噪音，当音量超过设定阈值时，屏幕弹窗提示，辅助维持课堂秩序。</w:t>
      </w:r>
    </w:p>
    <w:p w14:paraId="3B3665D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25、整机支持语音转文字功能，可将麦克风拾取语音实时转译为文字，支持悬浮字幕展示。</w:t>
      </w:r>
    </w:p>
    <w:p w14:paraId="19B902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26、整机支持 AI 试题识别功能，可识别屏幕画面或视频展台采集的试题内容，支持手动框选识别区域，提供试题解析、解题步骤、注意事项。</w:t>
      </w:r>
    </w:p>
    <w:p w14:paraId="247AD6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27、AI 试题识别功能可根据试题知识点、难度，智能推荐同类习题，推荐题目数量可</w:t>
      </w:r>
      <w:r>
        <w:rPr>
          <w:rFonts w:hint="eastAsia" w:ascii="宋体" w:hAnsi="宋体" w:cs="宋体"/>
          <w:i w:val="0"/>
          <w:iCs w:val="0"/>
          <w:color w:val="auto"/>
          <w:kern w:val="0"/>
          <w:sz w:val="21"/>
          <w:szCs w:val="21"/>
          <w:lang w:val="en-US" w:eastAsia="zh-CN" w:bidi="ar"/>
        </w:rPr>
        <w:t>进行</w:t>
      </w:r>
      <w:r>
        <w:rPr>
          <w:rFonts w:hint="eastAsia" w:ascii="宋体" w:hAnsi="宋体" w:eastAsia="宋体" w:cs="宋体"/>
          <w:i w:val="0"/>
          <w:iCs w:val="0"/>
          <w:color w:val="auto"/>
          <w:kern w:val="0"/>
          <w:sz w:val="21"/>
          <w:szCs w:val="21"/>
          <w:lang w:val="en-US" w:eastAsia="zh-CN" w:bidi="ar"/>
        </w:rPr>
        <w:t>设置。</w:t>
      </w:r>
    </w:p>
    <w:p w14:paraId="1E71BB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28、整机支持微课录制，支持对录制视频进行</w:t>
      </w:r>
      <w:r>
        <w:rPr>
          <w:rFonts w:hint="eastAsia" w:ascii="宋体" w:hAnsi="宋体" w:cs="宋体"/>
          <w:i w:val="0"/>
          <w:iCs w:val="0"/>
          <w:color w:val="auto"/>
          <w:kern w:val="0"/>
          <w:sz w:val="21"/>
          <w:szCs w:val="21"/>
          <w:lang w:val="en-US" w:eastAsia="zh-CN" w:bidi="ar"/>
        </w:rPr>
        <w:t>文字</w:t>
      </w:r>
      <w:r>
        <w:rPr>
          <w:rFonts w:hint="eastAsia" w:ascii="宋体" w:hAnsi="宋体" w:eastAsia="宋体" w:cs="宋体"/>
          <w:i w:val="0"/>
          <w:iCs w:val="0"/>
          <w:color w:val="auto"/>
          <w:kern w:val="0"/>
          <w:sz w:val="21"/>
          <w:szCs w:val="21"/>
          <w:lang w:val="en-US" w:eastAsia="zh-CN" w:bidi="ar"/>
        </w:rPr>
        <w:t>提取，依据</w:t>
      </w:r>
      <w:r>
        <w:rPr>
          <w:rFonts w:hint="eastAsia" w:ascii="宋体" w:hAnsi="宋体" w:cs="宋体"/>
          <w:i w:val="0"/>
          <w:iCs w:val="0"/>
          <w:color w:val="auto"/>
          <w:kern w:val="0"/>
          <w:sz w:val="21"/>
          <w:szCs w:val="21"/>
          <w:lang w:val="en-US" w:eastAsia="zh-CN" w:bidi="ar"/>
        </w:rPr>
        <w:t>文字</w:t>
      </w:r>
      <w:r>
        <w:rPr>
          <w:rFonts w:hint="eastAsia" w:ascii="宋体" w:hAnsi="宋体" w:eastAsia="宋体" w:cs="宋体"/>
          <w:i w:val="0"/>
          <w:iCs w:val="0"/>
          <w:color w:val="auto"/>
          <w:kern w:val="0"/>
          <w:sz w:val="21"/>
          <w:szCs w:val="21"/>
          <w:lang w:val="en-US" w:eastAsia="zh-CN" w:bidi="ar"/>
        </w:rPr>
        <w:t>实现视频快速剪辑。</w:t>
      </w:r>
    </w:p>
    <w:p w14:paraId="0C46FC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lang w:val="en-US" w:eastAsia="zh-CN" w:bidi="ar"/>
        </w:rPr>
      </w:pPr>
      <w:r>
        <w:rPr>
          <w:rFonts w:hint="eastAsia" w:ascii="宋体" w:hAnsi="宋体" w:eastAsia="宋体" w:cs="宋体"/>
          <w:i w:val="0"/>
          <w:iCs w:val="0"/>
          <w:color w:val="auto"/>
          <w:kern w:val="0"/>
          <w:sz w:val="21"/>
          <w:szCs w:val="21"/>
          <w:lang w:val="en-US" w:eastAsia="zh-CN" w:bidi="ar"/>
        </w:rPr>
        <w:t xml:space="preserve">29、整机支持 AI </w:t>
      </w:r>
      <w:r>
        <w:rPr>
          <w:rFonts w:hint="eastAsia" w:ascii="宋体" w:hAnsi="宋体" w:cs="宋体"/>
          <w:i w:val="0"/>
          <w:iCs w:val="0"/>
          <w:color w:val="auto"/>
          <w:kern w:val="0"/>
          <w:sz w:val="21"/>
          <w:szCs w:val="21"/>
          <w:lang w:val="en-US" w:eastAsia="zh-CN" w:bidi="ar"/>
        </w:rPr>
        <w:t>智能体</w:t>
      </w:r>
      <w:r>
        <w:rPr>
          <w:rFonts w:hint="eastAsia" w:ascii="宋体" w:hAnsi="宋体" w:eastAsia="宋体" w:cs="宋体"/>
          <w:i w:val="0"/>
          <w:iCs w:val="0"/>
          <w:color w:val="auto"/>
          <w:kern w:val="0"/>
          <w:sz w:val="21"/>
          <w:szCs w:val="21"/>
          <w:lang w:val="en-US" w:eastAsia="zh-CN" w:bidi="ar"/>
        </w:rPr>
        <w:t>功能，支持自定义角色性格、</w:t>
      </w:r>
      <w:r>
        <w:rPr>
          <w:rFonts w:hint="eastAsia" w:ascii="宋体" w:hAnsi="宋体" w:cs="宋体"/>
          <w:i w:val="0"/>
          <w:iCs w:val="0"/>
          <w:color w:val="auto"/>
          <w:kern w:val="0"/>
          <w:sz w:val="21"/>
          <w:szCs w:val="21"/>
          <w:lang w:val="en-US" w:eastAsia="zh-CN" w:bidi="ar"/>
        </w:rPr>
        <w:t>技能</w:t>
      </w:r>
      <w:r>
        <w:rPr>
          <w:rFonts w:hint="eastAsia" w:ascii="宋体" w:hAnsi="宋体" w:eastAsia="宋体" w:cs="宋体"/>
          <w:i w:val="0"/>
          <w:iCs w:val="0"/>
          <w:color w:val="auto"/>
          <w:kern w:val="0"/>
          <w:sz w:val="21"/>
          <w:szCs w:val="21"/>
          <w:lang w:val="en-US" w:eastAsia="zh-CN" w:bidi="ar"/>
        </w:rPr>
        <w:t>，支持文字、语音交互；支持创建并在校本资源平台共享。</w:t>
      </w:r>
    </w:p>
    <w:p w14:paraId="64BC23B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二、无线互联要求</w:t>
      </w:r>
    </w:p>
    <w:p w14:paraId="485613B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1、整机内置无线模块，Android、Windows 系统均可实现 Wi-Fi 上网、无线 AP 热点、蓝牙连接；Wi-Fi 与热点有效工作距离≥12m。</w:t>
      </w:r>
    </w:p>
    <w:p w14:paraId="223EA68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2、整机支持蓝牙 Bluetooth 5.4 标准，PC 通道支持主动搜索蓝牙外设建立连接。</w:t>
      </w:r>
    </w:p>
    <w:p w14:paraId="7792B32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3、整机 Wi-Fi、蓝牙无线模块采用模块化设计，便于后期维护拆装。</w:t>
      </w:r>
    </w:p>
    <w:p w14:paraId="735B89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4、整机支持近场快速投屏方案，可通过信号感知方式，让手机、笔记本快速发现大屏设备，一键发起投屏。</w:t>
      </w:r>
    </w:p>
    <w:p w14:paraId="6B4C1AB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5、配套教学移动端 APP 支持</w:t>
      </w:r>
      <w:r>
        <w:rPr>
          <w:rFonts w:hint="eastAsia" w:ascii="宋体" w:hAnsi="宋体" w:eastAsia="宋体" w:cs="宋体"/>
          <w:i w:val="0"/>
          <w:iCs w:val="0"/>
          <w:color w:val="FF0000"/>
          <w:kern w:val="0"/>
          <w:sz w:val="21"/>
          <w:szCs w:val="21"/>
          <w:lang w:val="en-US" w:eastAsia="zh-CN" w:bidi="ar"/>
        </w:rPr>
        <w:t>近场</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发现大屏设备，支持免扫码、免账号密码快速连接，支持统一身份认证，实现教学软件单点登录。</w:t>
      </w:r>
    </w:p>
    <w:p w14:paraId="1512AAD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6、整机内置传屏接收模块，无需外接接收设备，支持手机、电脑音视频投屏；电脑投屏支持触控回传。</w:t>
      </w:r>
    </w:p>
    <w:p w14:paraId="493DD83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7、整机安卓通道、PC 通道均支持 Wi-Fi 6 连接与热点发射功能。</w:t>
      </w:r>
    </w:p>
    <w:p w14:paraId="5CBF8E7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8、整机无线网络配置支持双系统互通，Android 与 Windows 系统网络参数可同步，无需重复配置。</w:t>
      </w:r>
    </w:p>
    <w:p w14:paraId="0FA673E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9、整机支持音频采集识别，可通过声纹识别完成身份登录，登录后调取个人云端课件，支持白板软件免登。</w:t>
      </w:r>
    </w:p>
    <w:p w14:paraId="0F9619E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10、整机支持设备序列号定向升级，支持云端在线</w:t>
      </w:r>
      <w:r>
        <w:rPr>
          <w:rFonts w:hint="eastAsia" w:ascii="宋体" w:hAnsi="宋体" w:cs="宋体"/>
          <w:i w:val="0"/>
          <w:iCs w:val="0"/>
          <w:color w:val="000000" w:themeColor="text1"/>
          <w:kern w:val="0"/>
          <w:sz w:val="21"/>
          <w:szCs w:val="21"/>
          <w:lang w:val="en-US" w:eastAsia="zh-CN" w:bidi="ar"/>
          <w14:textFill>
            <w14:solidFill>
              <w14:schemeClr w14:val="tx1"/>
            </w14:solidFill>
          </w14:textFill>
        </w:rPr>
        <w:t>系统</w:t>
      </w: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固件、软件 OTA 升级。</w:t>
      </w:r>
    </w:p>
    <w:p w14:paraId="0AE95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三、内置 OPS 模块配置要求</w:t>
      </w:r>
    </w:p>
    <w:p w14:paraId="3DB1BFA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1、处理器：Intel Core i5 十二代或以上 CPU；</w:t>
      </w:r>
    </w:p>
    <w:p w14:paraId="1B3F82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2、内存规格：DDR4 内存，8G；硬盘：256G 固态硬盘；</w:t>
      </w:r>
    </w:p>
    <w:p w14:paraId="69EDCD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3、PC 模块为抽拉式设计，支持整机内部对接，一体化插拔；</w:t>
      </w:r>
    </w:p>
    <w:p w14:paraId="60B52C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4、电脑模块与整机高速接口通信，传输速率≥10Gbps；</w:t>
      </w:r>
    </w:p>
    <w:p w14:paraId="4D6252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5、模块采用卡扣式固定，无需工具可快速拆装。</w:t>
      </w:r>
    </w:p>
    <w:p w14:paraId="185401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四、副屏黑板设计要求</w:t>
      </w:r>
    </w:p>
    <w:p w14:paraId="6BAFA2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1、书写表面采用无尘书写膜，支持磁性书写笔书写，可通过不同笔头实现粗细笔迹；书写无需专用耗材，无粉尘，板面可断电独立书写。</w:t>
      </w:r>
    </w:p>
    <w:p w14:paraId="220BFA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2、书写板面可用中性洗涤剂、消毒温水擦拭，擦拭后表面无变色、表层脱落。</w:t>
      </w:r>
    </w:p>
    <w:p w14:paraId="0FC0516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3、书写板夹层采用高强度、吸音、防潮、阻燃板材。</w:t>
      </w:r>
    </w:p>
    <w:p w14:paraId="15B4EA6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4、板书字迹可视角度≥178°。</w:t>
      </w:r>
    </w:p>
    <w:p w14:paraId="7A45BB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5、书写板表面低眩光，光泽度≤30°。</w:t>
      </w:r>
    </w:p>
    <w:p w14:paraId="7190595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6、支持局部擦除与大面积整体擦除两种擦除方式。</w:t>
      </w:r>
    </w:p>
    <w:p w14:paraId="6AE668A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7、板书在无外力擦除情况下可长期留存，支持随时擦除。</w:t>
      </w:r>
    </w:p>
    <w:p w14:paraId="5903365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五、内置教学软件功能要求</w:t>
      </w:r>
    </w:p>
    <w:p w14:paraId="09D266B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（一）教学白板软件电脑端</w:t>
      </w:r>
    </w:p>
    <w:p w14:paraId="5FE7549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1、支持为教师分配独立账号，建立学校教学账号体系；账号关联校本资源库，支持账号、二维码、硬件密钥多种登录方式。</w:t>
      </w:r>
    </w:p>
    <w:p w14:paraId="29849C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2、互动课件支持云分享，可生成公开或加密链接、二维码，支持设置访问有效期。</w:t>
      </w:r>
    </w:p>
    <w:p w14:paraId="4EAB2A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3、教案支持云端自动同步，支持链接形式分享，支持浏览器、微信直接预览。</w:t>
      </w:r>
    </w:p>
    <w:p w14:paraId="775441D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4、具备校本资源库，支持课件、教案、多媒体上传共建共享，支持多条件检索，备课可直接调用库内资源。</w:t>
      </w:r>
    </w:p>
    <w:p w14:paraId="7E6A47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5、支持线上听评课，授课过程可生成评课二维码，支持扫码评课、附件获取，支持导出听课记录与评课报告。</w:t>
      </w:r>
    </w:p>
    <w:p w14:paraId="6D54684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6、支持线上集体备课，支持邀请校内外教师参与研讨，支持课件版本对比、研讨内容回溯。</w:t>
      </w:r>
    </w:p>
    <w:p w14:paraId="49B9C69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7、集体备课定稿自动归档至校本资源库，自动生成备课研讨报告。</w:t>
      </w:r>
    </w:p>
    <w:p w14:paraId="016054A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（二）教学白板软件直播工具</w:t>
      </w:r>
    </w:p>
    <w:p w14:paraId="4AD9105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1、支持一键发起直播，生成访问二维码，学生微信扫码即可听课，无需安装独立 APP。</w:t>
      </w:r>
    </w:p>
    <w:p w14:paraId="6E0CFC5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2、内置在线答题工具，支持答题数据自动统计。</w:t>
      </w:r>
    </w:p>
    <w:p w14:paraId="210D2E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3、支持远程学生互动，可授权学生在课件上书写操作，支持不少于 5 位学生同时互动。</w:t>
      </w:r>
    </w:p>
    <w:p w14:paraId="4E03FF3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4、直播结束自动统计学生考勤与学习记录。</w:t>
      </w:r>
    </w:p>
    <w:p w14:paraId="324C9BB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（三）教学白板手机移动端</w:t>
      </w:r>
    </w:p>
    <w:p w14:paraId="44F7C1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1、移动端可预览云端课件，支持页面跳转、缩略图查看。</w:t>
      </w:r>
    </w:p>
    <w:p w14:paraId="10D821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2、支持远程操控课件翻页、播放媒体，支持横竖屏显示，不强制依赖局域网。</w:t>
      </w:r>
    </w:p>
    <w:p w14:paraId="749AEDE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3、支持课件多渠道分享，分享有效期自定义。</w:t>
      </w:r>
    </w:p>
    <w:p w14:paraId="5BE0229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4、移动端支持课件管理：移动、删除、重命名，提供回收站功能。</w:t>
      </w:r>
    </w:p>
    <w:p w14:paraId="55477F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p>
    <w:p w14:paraId="0E85AEE5">
      <w:pPr>
        <w:keepNext w:val="0"/>
        <w:keepLines w:val="0"/>
        <w:pageBreakBefore w:val="0"/>
        <w:kinsoku/>
        <w:wordWrap/>
        <w:overflowPunct/>
        <w:topLinePunct w:val="0"/>
        <w:autoSpaceDE/>
        <w:autoSpaceDN/>
        <w:bidi w:val="0"/>
        <w:adjustRightInd/>
        <w:snapToGrid/>
        <w:spacing w:line="360" w:lineRule="exact"/>
        <w:jc w:val="left"/>
        <w:rPr>
          <w:rStyle w:val="12"/>
          <w:rFonts w:hint="default"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pPr>
      <w:r>
        <w:rPr>
          <w:rStyle w:val="12"/>
          <w:rFonts w:hint="eastAsia" w:asciiTheme="majorEastAsia" w:hAnsiTheme="majorEastAsia" w:eastAsiaTheme="majorEastAsia" w:cstheme="majorEastAsia"/>
          <w:b/>
          <w:bCs/>
          <w:color w:val="000000" w:themeColor="text1"/>
          <w:kern w:val="2"/>
          <w:sz w:val="21"/>
          <w:szCs w:val="21"/>
          <w:highlight w:val="none"/>
          <w:lang w:val="en-US" w:eastAsia="zh-CN" w:bidi="ar-SA"/>
          <w14:textFill>
            <w14:solidFill>
              <w14:schemeClr w14:val="tx1"/>
            </w14:solidFill>
          </w14:textFill>
        </w:rPr>
        <w:t>品目15、耳机 60 个</w:t>
      </w:r>
    </w:p>
    <w:p w14:paraId="014082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lang w:val="en-US" w:eastAsia="zh-CN" w:bidi="ar"/>
          <w14:textFill>
            <w14:solidFill>
              <w14:schemeClr w14:val="tx1"/>
            </w14:solidFill>
          </w14:textFill>
        </w:rPr>
        <w:t>学生英语听说考试头戴全封闭式耳机，USB接口，要求兼容学考机考软件。</w:t>
      </w:r>
    </w:p>
    <w:p w14:paraId="1C466632">
      <w:pPr>
        <w:spacing w:before="120" w:after="120"/>
        <w:jc w:val="center"/>
        <w:rPr>
          <w:rFonts w:hint="eastAsia" w:ascii="宋体" w:hAnsi="宋体" w:cs="宋体"/>
          <w:b/>
          <w:bCs/>
          <w:iCs/>
          <w:kern w:val="0"/>
          <w:sz w:val="44"/>
          <w:szCs w:val="44"/>
          <w14:ligatures w14:val="none"/>
        </w:rPr>
      </w:pPr>
    </w:p>
    <w:p w14:paraId="5B7DD355">
      <w:pPr>
        <w:rPr>
          <w:rFonts w:hint="eastAsia" w:ascii="宋体" w:hAnsi="宋体" w:cs="宋体"/>
          <w:b/>
          <w:bCs/>
          <w:iCs/>
          <w:kern w:val="0"/>
          <w:sz w:val="44"/>
          <w:szCs w:val="44"/>
          <w14:ligatures w14:val="none"/>
        </w:rPr>
      </w:pPr>
      <w:r>
        <w:rPr>
          <w:rFonts w:hint="eastAsia" w:ascii="宋体" w:hAnsi="宋体" w:cs="宋体"/>
          <w:b/>
          <w:bCs/>
          <w:iCs/>
          <w:kern w:val="0"/>
          <w:sz w:val="44"/>
          <w:szCs w:val="44"/>
          <w14:ligatures w14:val="none"/>
        </w:rPr>
        <w:br w:type="page"/>
      </w:r>
    </w:p>
    <w:p w14:paraId="21F26136">
      <w:pPr>
        <w:spacing w:before="120" w:after="120"/>
        <w:jc w:val="center"/>
        <w:rPr>
          <w:rFonts w:hint="eastAsia" w:ascii="宋体" w:hAnsi="宋体" w:cs="宋体"/>
          <w:b/>
          <w:bCs/>
          <w:iCs/>
          <w:kern w:val="0"/>
          <w:sz w:val="44"/>
          <w:szCs w:val="44"/>
          <w14:ligatures w14:val="none"/>
        </w:rPr>
      </w:pPr>
      <w:r>
        <w:rPr>
          <w:rFonts w:hint="eastAsia" w:ascii="宋体" w:hAnsi="宋体" w:cs="宋体"/>
          <w:b/>
          <w:bCs/>
          <w:iCs/>
          <w:kern w:val="0"/>
          <w:sz w:val="44"/>
          <w:szCs w:val="44"/>
          <w14:ligatures w14:val="none"/>
        </w:rPr>
        <w:t>商务要求</w:t>
      </w:r>
    </w:p>
    <w:p w14:paraId="23D86F80">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sz w:val="21"/>
          <w:szCs w:val="21"/>
          <w14:ligatures w14:val="none"/>
        </w:rPr>
      </w:pPr>
      <w:bookmarkStart w:id="26" w:name="_Toc256000042"/>
      <w:bookmarkStart w:id="27" w:name="_Toc213511591"/>
      <w:r>
        <w:rPr>
          <w:rFonts w:hint="eastAsia" w:ascii="宋体" w:hAnsi="宋体" w:cs="宋体"/>
          <w:b/>
          <w:bCs/>
          <w:sz w:val="21"/>
          <w:szCs w:val="21"/>
          <w:lang w:eastAsia="zh-CN"/>
          <w14:ligatures w14:val="none"/>
        </w:rPr>
        <w:t>一</w:t>
      </w:r>
      <w:r>
        <w:rPr>
          <w:rFonts w:hint="eastAsia" w:ascii="宋体" w:hAnsi="宋体" w:cs="宋体"/>
          <w:b/>
          <w:bCs/>
          <w:sz w:val="21"/>
          <w:szCs w:val="21"/>
          <w14:ligatures w14:val="none"/>
        </w:rPr>
        <w:t>、交货时间和地点</w:t>
      </w:r>
      <w:bookmarkEnd w:id="26"/>
      <w:bookmarkEnd w:id="27"/>
    </w:p>
    <w:p w14:paraId="45F36B8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val="0"/>
          <w:bCs w:val="0"/>
          <w:sz w:val="21"/>
          <w:szCs w:val="21"/>
          <w14:ligatures w14:val="none"/>
        </w:rPr>
      </w:pPr>
      <w:r>
        <w:rPr>
          <w:rFonts w:hint="eastAsia" w:ascii="宋体" w:hAnsi="宋体" w:cs="宋体"/>
          <w:b/>
          <w:bCs/>
          <w:sz w:val="21"/>
          <w:szCs w:val="21"/>
          <w14:ligatures w14:val="none"/>
        </w:rPr>
        <w:t>1、交货时间：</w:t>
      </w:r>
      <w:r>
        <w:rPr>
          <w:rFonts w:hint="eastAsia" w:ascii="宋体" w:hAnsi="宋体" w:cs="宋体"/>
          <w:b w:val="0"/>
          <w:bCs w:val="0"/>
          <w:sz w:val="21"/>
          <w:szCs w:val="21"/>
          <w14:ligatures w14:val="none"/>
        </w:rPr>
        <w:t xml:space="preserve">合同签订后 30 日内完成供货，并安装调试合格。 </w:t>
      </w:r>
    </w:p>
    <w:p w14:paraId="1EB13B6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2、交货地点：</w:t>
      </w:r>
      <w:r>
        <w:rPr>
          <w:rFonts w:hint="eastAsia" w:ascii="宋体" w:hAnsi="宋体" w:cs="宋体"/>
          <w:b w:val="0"/>
          <w:bCs w:val="0"/>
          <w:sz w:val="21"/>
          <w:szCs w:val="21"/>
          <w14:ligatures w14:val="none"/>
        </w:rPr>
        <w:t>采购人指定地点。</w:t>
      </w:r>
      <w:r>
        <w:rPr>
          <w:rFonts w:hint="eastAsia" w:ascii="宋体" w:hAnsi="宋体" w:cs="宋体"/>
          <w:b/>
          <w:bCs/>
          <w:sz w:val="21"/>
          <w:szCs w:val="21"/>
          <w14:ligatures w14:val="none"/>
        </w:rPr>
        <w:t xml:space="preserve"> </w:t>
      </w:r>
    </w:p>
    <w:p w14:paraId="3C704B9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val="0"/>
          <w:bCs w:val="0"/>
          <w:sz w:val="21"/>
          <w:szCs w:val="21"/>
          <w14:ligatures w14:val="none"/>
        </w:rPr>
      </w:pPr>
      <w:r>
        <w:rPr>
          <w:rFonts w:hint="eastAsia" w:ascii="宋体" w:hAnsi="宋体" w:cs="宋体"/>
          <w:b/>
          <w:bCs/>
          <w:sz w:val="21"/>
          <w:szCs w:val="21"/>
          <w14:ligatures w14:val="none"/>
        </w:rPr>
        <w:t>3、交货方式：</w:t>
      </w:r>
      <w:r>
        <w:rPr>
          <w:rFonts w:hint="eastAsia" w:ascii="宋体" w:hAnsi="宋体" w:cs="宋体"/>
          <w:b w:val="0"/>
          <w:bCs w:val="0"/>
          <w:sz w:val="21"/>
          <w:szCs w:val="21"/>
          <w14:ligatures w14:val="none"/>
        </w:rPr>
        <w:t>由中标人免费运送至采购人指定地点并安装调试验收合格。</w:t>
      </w:r>
    </w:p>
    <w:p w14:paraId="79191E84">
      <w:pPr>
        <w:keepNext w:val="0"/>
        <w:keepLines w:val="0"/>
        <w:pageBreakBefore w:val="0"/>
        <w:kinsoku/>
        <w:wordWrap/>
        <w:overflowPunct/>
        <w:topLinePunct w:val="0"/>
        <w:autoSpaceDE/>
        <w:autoSpaceDN/>
        <w:bidi w:val="0"/>
        <w:adjustRightInd/>
        <w:snapToGrid/>
        <w:spacing w:line="360" w:lineRule="auto"/>
        <w:jc w:val="left"/>
        <w:outlineLvl w:val="1"/>
        <w:rPr>
          <w:rFonts w:ascii="宋体" w:hAnsi="宋体" w:cs="宋体"/>
          <w:b/>
          <w:bCs/>
          <w:sz w:val="21"/>
          <w:szCs w:val="21"/>
          <w14:ligatures w14:val="none"/>
        </w:rPr>
      </w:pPr>
      <w:bookmarkStart w:id="28" w:name="_Toc213511592"/>
      <w:bookmarkStart w:id="29" w:name="_Toc256000043"/>
      <w:r>
        <w:rPr>
          <w:rFonts w:hint="eastAsia" w:ascii="宋体" w:hAnsi="宋体" w:cs="宋体"/>
          <w:b/>
          <w:bCs/>
          <w:sz w:val="21"/>
          <w:szCs w:val="21"/>
          <w:lang w:eastAsia="zh-CN"/>
          <w14:ligatures w14:val="none"/>
        </w:rPr>
        <w:t>二</w:t>
      </w:r>
      <w:r>
        <w:rPr>
          <w:rFonts w:hint="eastAsia" w:ascii="宋体" w:hAnsi="宋体" w:cs="宋体"/>
          <w:b/>
          <w:bCs/>
          <w:sz w:val="21"/>
          <w:szCs w:val="21"/>
          <w14:ligatures w14:val="none"/>
        </w:rPr>
        <w:t>、服务标准</w:t>
      </w:r>
      <w:bookmarkEnd w:id="28"/>
      <w:bookmarkEnd w:id="29"/>
    </w:p>
    <w:p w14:paraId="058E5395">
      <w:pPr>
        <w:keepNext w:val="0"/>
        <w:keepLines w:val="0"/>
        <w:pageBreakBefore w:val="0"/>
        <w:kinsoku/>
        <w:wordWrap/>
        <w:overflowPunct/>
        <w:topLinePunct w:val="0"/>
        <w:autoSpaceDE/>
        <w:autoSpaceDN/>
        <w:bidi w:val="0"/>
        <w:adjustRightInd/>
        <w:snapToGrid/>
        <w:spacing w:line="360" w:lineRule="auto"/>
        <w:jc w:val="left"/>
        <w:rPr>
          <w:rFonts w:ascii="宋体" w:hAnsi="宋体" w:cs="宋体"/>
          <w:b/>
          <w:bCs/>
          <w:sz w:val="21"/>
          <w:szCs w:val="21"/>
          <w14:ligatures w14:val="none"/>
        </w:rPr>
      </w:pPr>
      <w:r>
        <w:rPr>
          <w:rFonts w:hint="eastAsia" w:ascii="宋体" w:hAnsi="宋体" w:cs="宋体"/>
          <w:b/>
          <w:bCs/>
          <w:sz w:val="21"/>
          <w:szCs w:val="21"/>
          <w14:ligatures w14:val="none"/>
        </w:rPr>
        <w:t>1、服务规定</w:t>
      </w:r>
    </w:p>
    <w:p w14:paraId="5E91CE3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1.1设备安装</w:t>
      </w:r>
      <w:r>
        <w:rPr>
          <w:rFonts w:hint="eastAsia" w:ascii="宋体" w:hAnsi="宋体" w:cs="宋体"/>
          <w:sz w:val="21"/>
          <w:szCs w:val="21"/>
          <w:lang w:eastAsia="zh-CN"/>
          <w14:ligatures w14:val="none"/>
        </w:rPr>
        <w:t>、</w:t>
      </w:r>
      <w:r>
        <w:rPr>
          <w:rFonts w:hint="eastAsia" w:ascii="宋体" w:hAnsi="宋体" w:cs="宋体"/>
          <w:sz w:val="21"/>
          <w:szCs w:val="21"/>
          <w14:ligatures w14:val="none"/>
        </w:rPr>
        <w:t>调试：仪器到达用户所在地后，在接到用户通知后3天内进行安装调试，同时进行现场设备操作及维护培训。</w:t>
      </w:r>
    </w:p>
    <w:p w14:paraId="4888BD4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1.2保修期：提供整机</w:t>
      </w:r>
      <w:r>
        <w:rPr>
          <w:rFonts w:hint="eastAsia" w:ascii="宋体" w:hAnsi="宋体" w:cs="宋体"/>
          <w:sz w:val="21"/>
          <w:szCs w:val="21"/>
          <w:lang w:val="en-US" w:eastAsia="zh-CN"/>
          <w14:ligatures w14:val="none"/>
        </w:rPr>
        <w:t>24</w:t>
      </w:r>
      <w:r>
        <w:rPr>
          <w:rFonts w:hint="eastAsia" w:ascii="宋体" w:hAnsi="宋体" w:cs="宋体"/>
          <w:sz w:val="21"/>
          <w:szCs w:val="21"/>
          <w14:ligatures w14:val="none"/>
        </w:rPr>
        <w:t>个月的免费保修，保修期自验收合格签字之日起算。</w:t>
      </w:r>
    </w:p>
    <w:p w14:paraId="2C2146E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1.3维修响应时间：中标人对用户的服务要求应在2小时内响应；需要在现场进行维修的，应在1个工作日内到达仪器现场，一般问题应在48小时内解决，重大问题或其他无法迅速解决的问题应在一周内解决或提出明确解决方案。</w:t>
      </w:r>
    </w:p>
    <w:p w14:paraId="22A9664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color w:val="000000" w:themeColor="text1"/>
          <w:sz w:val="21"/>
          <w:szCs w:val="21"/>
          <w14:textFill>
            <w14:solidFill>
              <w14:schemeClr w14:val="tx1"/>
            </w14:solidFill>
          </w14:textFill>
          <w14:ligatures w14:val="none"/>
        </w:rPr>
      </w:pPr>
      <w:r>
        <w:rPr>
          <w:rFonts w:hint="eastAsia" w:ascii="宋体" w:hAnsi="宋体" w:cs="宋体"/>
          <w:b/>
          <w:bCs/>
          <w:color w:val="000000" w:themeColor="text1"/>
          <w:sz w:val="21"/>
          <w:szCs w:val="21"/>
          <w14:textFill>
            <w14:solidFill>
              <w14:schemeClr w14:val="tx1"/>
            </w14:solidFill>
          </w14:textFill>
          <w14:ligatures w14:val="none"/>
        </w:rPr>
        <w:t xml:space="preserve">2、供货要求 </w:t>
      </w:r>
    </w:p>
    <w:p w14:paraId="697EFC1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 xml:space="preserve">2.1 交货时中标人提供仪器设备使用操作的中文手册。 </w:t>
      </w:r>
    </w:p>
    <w:p w14:paraId="45F0FC3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 xml:space="preserve">3、产品运输、保险及保管 </w:t>
      </w:r>
    </w:p>
    <w:p w14:paraId="2F69F07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3.1 中标人负责产品到采购人指定地点的全部运输，包括装卸及现场搬运等。 </w:t>
      </w:r>
    </w:p>
    <w:p w14:paraId="326268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3.2 中标人负责其派出人员的人身意外保险。 </w:t>
      </w:r>
    </w:p>
    <w:p w14:paraId="0E29982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3.3 原厂原包装送货，货到采购人指定地点，经采购人验证后方可开箱。 </w:t>
      </w:r>
    </w:p>
    <w:p w14:paraId="0752E2D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 xml:space="preserve">4、安装调试 </w:t>
      </w:r>
    </w:p>
    <w:p w14:paraId="07CDCD3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4.1 安装：本项目的安装由中标人负责，中标人应对产品和软件安装调试提供全面的技术服务与支持，为顺利安装运行提供完全技术保证。 </w:t>
      </w:r>
    </w:p>
    <w:p w14:paraId="4A04C23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4.2 调试：调试由中标人负责，中标人为运行调试提供技术和产品的必要条件。并应向采购人有关人员讲解产品和系统结构与计划调试方法，包括系统的性能、技术特点、调试技巧等有关技术原理、方法，解决调试过程中出现的技术问题。 </w:t>
      </w:r>
    </w:p>
    <w:p w14:paraId="2AB71C9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b/>
          <w:bCs/>
          <w:sz w:val="21"/>
          <w:szCs w:val="21"/>
          <w14:ligatures w14:val="none"/>
        </w:rPr>
      </w:pPr>
      <w:r>
        <w:rPr>
          <w:rFonts w:hint="eastAsia" w:ascii="宋体" w:hAnsi="宋体" w:cs="宋体"/>
          <w:b/>
          <w:bCs/>
          <w:sz w:val="21"/>
          <w:szCs w:val="21"/>
          <w14:ligatures w14:val="none"/>
        </w:rPr>
        <w:t>5、服务标准</w:t>
      </w:r>
    </w:p>
    <w:p w14:paraId="7A76443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5.1 技术支持： </w:t>
      </w:r>
    </w:p>
    <w:p w14:paraId="43B2B40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1）提供7×24小时的技术支持服务。 </w:t>
      </w:r>
    </w:p>
    <w:p w14:paraId="0893A78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lang w:eastAsia="zh-CN"/>
          <w14:textFill>
            <w14:solidFill>
              <w14:schemeClr w14:val="tx1"/>
            </w14:solidFill>
          </w14:textFill>
          <w14:ligatures w14:val="none"/>
        </w:rPr>
      </w:pP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2）敏感时期、重大节假日提供技术人员值守服务</w:t>
      </w:r>
      <w:r>
        <w:rPr>
          <w:rFonts w:hint="eastAsia" w:ascii="宋体" w:hAnsi="宋体" w:cs="宋体"/>
          <w:color w:val="000000" w:themeColor="text1"/>
          <w:sz w:val="21"/>
          <w:szCs w:val="21"/>
          <w:lang w:eastAsia="zh-CN"/>
          <w14:textFill>
            <w14:solidFill>
              <w14:schemeClr w14:val="tx1"/>
            </w14:solidFill>
          </w14:textFill>
          <w14:ligatures w14:val="none"/>
        </w:rPr>
        <w:t>。</w:t>
      </w:r>
    </w:p>
    <w:p w14:paraId="06AA2AF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5.2 设备维护：</w:t>
      </w:r>
    </w:p>
    <w:p w14:paraId="53E8C4B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lang w:eastAsia="zh-CN"/>
          <w14:textFill>
            <w14:solidFill>
              <w14:schemeClr w14:val="tx1"/>
            </w14:solidFill>
          </w14:textFill>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1）应有定期</w:t>
      </w:r>
      <w:r>
        <w:rPr>
          <w:rFonts w:hint="eastAsia" w:ascii="宋体" w:hAnsi="宋体" w:cs="宋体"/>
          <w:sz w:val="21"/>
          <w:szCs w:val="21"/>
          <w:lang w:eastAsia="zh-CN"/>
          <w14:ligatures w14:val="none"/>
        </w:rPr>
        <w:t>巡检</w:t>
      </w:r>
      <w:r>
        <w:rPr>
          <w:rFonts w:hint="eastAsia" w:ascii="宋体" w:hAnsi="宋体" w:cs="宋体"/>
          <w:sz w:val="21"/>
          <w:szCs w:val="21"/>
          <w14:ligatures w14:val="none"/>
        </w:rPr>
        <w:t>维护计划</w:t>
      </w:r>
      <w:r>
        <w:rPr>
          <w:rFonts w:hint="eastAsia" w:ascii="宋体" w:hAnsi="宋体" w:cs="宋体"/>
          <w:sz w:val="21"/>
          <w:szCs w:val="21"/>
          <w:lang w:eastAsia="zh-CN"/>
          <w14:ligatures w14:val="none"/>
        </w:rPr>
        <w:t>，</w:t>
      </w:r>
      <w:r>
        <w:rPr>
          <w:rFonts w:hint="eastAsia" w:ascii="宋体" w:hAnsi="宋体" w:cs="宋体"/>
          <w:color w:val="000000" w:themeColor="text1"/>
          <w:sz w:val="21"/>
          <w:szCs w:val="21"/>
          <w14:textFill>
            <w14:solidFill>
              <w14:schemeClr w14:val="tx1"/>
            </w14:solidFill>
          </w14:textFill>
          <w14:ligatures w14:val="none"/>
        </w:rPr>
        <w:t>每季度检查设备状态，了解使用情况，对使用过程中的问题需提供长期的技术支持与售后服务</w:t>
      </w:r>
      <w:r>
        <w:rPr>
          <w:rFonts w:hint="eastAsia" w:ascii="宋体" w:hAnsi="宋体" w:cs="宋体"/>
          <w:color w:val="000000" w:themeColor="text1"/>
          <w:sz w:val="21"/>
          <w:szCs w:val="21"/>
          <w:lang w:eastAsia="zh-CN"/>
          <w14:textFill>
            <w14:solidFill>
              <w14:schemeClr w14:val="tx1"/>
            </w14:solidFill>
          </w14:textFill>
          <w14:ligatures w14:val="none"/>
        </w:rPr>
        <w:t>。</w:t>
      </w:r>
    </w:p>
    <w:p w14:paraId="75EDEFA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lang w:eastAsia="zh-CN"/>
          <w14:ligatures w14:val="none"/>
        </w:rPr>
      </w:pPr>
      <w:r>
        <w:rPr>
          <w:rFonts w:hint="eastAsia" w:ascii="宋体" w:hAnsi="宋体" w:cs="宋体"/>
          <w:sz w:val="21"/>
          <w:szCs w:val="21"/>
          <w:lang w:eastAsia="zh-CN"/>
          <w14:ligatures w14:val="none"/>
        </w:rPr>
        <w:t>（</w:t>
      </w:r>
      <w:r>
        <w:rPr>
          <w:rFonts w:hint="eastAsia" w:ascii="宋体" w:hAnsi="宋体" w:cs="宋体"/>
          <w:sz w:val="21"/>
          <w:szCs w:val="21"/>
          <w:lang w:val="en-US" w:eastAsia="zh-CN"/>
          <w14:ligatures w14:val="none"/>
        </w:rPr>
        <w:t>2</w:t>
      </w:r>
      <w:r>
        <w:rPr>
          <w:rFonts w:hint="eastAsia" w:ascii="宋体" w:hAnsi="宋体" w:cs="宋体"/>
          <w:sz w:val="21"/>
          <w:szCs w:val="21"/>
          <w:lang w:eastAsia="zh-CN"/>
          <w14:ligatures w14:val="none"/>
        </w:rPr>
        <w:t>）</w:t>
      </w:r>
      <w:r>
        <w:rPr>
          <w:rFonts w:hint="eastAsia" w:ascii="宋体" w:hAnsi="宋体" w:cs="宋体"/>
          <w:color w:val="000000" w:themeColor="text1"/>
          <w:sz w:val="21"/>
          <w:szCs w:val="21"/>
          <w14:textFill>
            <w14:solidFill>
              <w14:schemeClr w14:val="tx1"/>
            </w14:solidFill>
          </w14:textFill>
          <w14:ligatures w14:val="none"/>
        </w:rPr>
        <w:t>质保期</w:t>
      </w:r>
      <w:r>
        <w:rPr>
          <w:rFonts w:hint="eastAsia" w:ascii="宋体" w:hAnsi="宋体" w:cs="宋体"/>
          <w:color w:val="000000" w:themeColor="text1"/>
          <w:sz w:val="21"/>
          <w:szCs w:val="21"/>
          <w:lang w:eastAsia="zh-CN"/>
          <w14:textFill>
            <w14:solidFill>
              <w14:schemeClr w14:val="tx1"/>
            </w14:solidFill>
          </w14:textFill>
          <w14:ligatures w14:val="none"/>
        </w:rPr>
        <w:t>满</w:t>
      </w:r>
      <w:r>
        <w:rPr>
          <w:rFonts w:hint="eastAsia" w:ascii="宋体" w:hAnsi="宋体" w:cs="宋体"/>
          <w:color w:val="000000" w:themeColor="text1"/>
          <w:sz w:val="21"/>
          <w:szCs w:val="21"/>
          <w14:textFill>
            <w14:solidFill>
              <w14:schemeClr w14:val="tx1"/>
            </w14:solidFill>
          </w14:textFill>
          <w14:ligatures w14:val="none"/>
        </w:rPr>
        <w:t>后，提前15个工作日对</w:t>
      </w:r>
      <w:r>
        <w:rPr>
          <w:rFonts w:hint="eastAsia" w:ascii="宋体" w:hAnsi="宋体" w:cs="宋体"/>
          <w:color w:val="000000" w:themeColor="text1"/>
          <w:sz w:val="21"/>
          <w:szCs w:val="21"/>
          <w:lang w:eastAsia="zh-CN"/>
          <w14:textFill>
            <w14:solidFill>
              <w14:schemeClr w14:val="tx1"/>
            </w14:solidFill>
          </w14:textFill>
          <w14:ligatures w14:val="none"/>
        </w:rPr>
        <w:t>全部</w:t>
      </w:r>
      <w:r>
        <w:rPr>
          <w:rFonts w:hint="eastAsia" w:ascii="宋体" w:hAnsi="宋体" w:cs="宋体"/>
          <w:color w:val="000000" w:themeColor="text1"/>
          <w:sz w:val="21"/>
          <w:szCs w:val="21"/>
          <w14:textFill>
            <w14:solidFill>
              <w14:schemeClr w14:val="tx1"/>
            </w14:solidFill>
          </w14:textFill>
          <w14:ligatures w14:val="none"/>
        </w:rPr>
        <w:t>设备进行调试，确保正常运行。</w:t>
      </w:r>
    </w:p>
    <w:p w14:paraId="1B5005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5.3 备品、备件服务：遇到重大故障，提供系统所需更换的任何备件。 </w:t>
      </w:r>
    </w:p>
    <w:p w14:paraId="4C33326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5.4 质保期内出现任何质量问题（人为破坏或自然灾害等不可抗力除外），由中标人负责承担（全部工时费、材料费、管理费、财务费等等）更换或维修。质保期满后，无论采购人是否另行选择维保投标人，中标人应及时优惠提供所需的备品备件。 </w:t>
      </w:r>
    </w:p>
    <w:p w14:paraId="70477B1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5.5 培训：中标人应按采购人指定负责</w:t>
      </w:r>
      <w:r>
        <w:rPr>
          <w:rFonts w:hint="eastAsia" w:ascii="宋体" w:hAnsi="宋体" w:cs="宋体"/>
          <w:sz w:val="21"/>
          <w:szCs w:val="21"/>
          <w:lang w:eastAsia="zh-CN"/>
          <w14:ligatures w14:val="none"/>
        </w:rPr>
        <w:t>免费</w:t>
      </w:r>
      <w:r>
        <w:rPr>
          <w:rFonts w:hint="eastAsia" w:ascii="宋体" w:hAnsi="宋体" w:cs="宋体"/>
          <w:sz w:val="21"/>
          <w:szCs w:val="21"/>
          <w14:ligatures w14:val="none"/>
        </w:rPr>
        <w:t>培训操作管理及维护人员</w:t>
      </w:r>
      <w:r>
        <w:rPr>
          <w:rFonts w:hint="eastAsia" w:ascii="宋体" w:hAnsi="宋体" w:cs="宋体"/>
          <w:sz w:val="21"/>
          <w:szCs w:val="21"/>
          <w:lang w:eastAsia="zh-CN"/>
          <w14:ligatures w14:val="none"/>
        </w:rPr>
        <w:t>（人数不限）</w:t>
      </w:r>
      <w:r>
        <w:rPr>
          <w:rFonts w:hint="eastAsia" w:ascii="宋体" w:hAnsi="宋体" w:cs="宋体"/>
          <w:sz w:val="21"/>
          <w:szCs w:val="21"/>
          <w14:ligatures w14:val="none"/>
        </w:rPr>
        <w:t xml:space="preserve">，达到熟练掌握产品性能，能及时排除一般故障的程度；并提供服务承诺书及人员培训方案。 </w:t>
      </w:r>
    </w:p>
    <w:p w14:paraId="651A091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5.6 备品备件：中标人应在投标文件中提供按出厂标准供应的备品备件清单（包括易损件）。在设备的使用寿命期内，中标人应保证采购人对设备的零配件、易损件的供应。 </w:t>
      </w:r>
    </w:p>
    <w:p w14:paraId="440AADA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5.7 安装工具：中标人应向采购人提供安装、维修所需的安装专用工具及清单，其费用应包括在投标价格内。 </w:t>
      </w:r>
    </w:p>
    <w:p w14:paraId="5DF14AE2">
      <w:pPr>
        <w:keepNext w:val="0"/>
        <w:keepLines w:val="0"/>
        <w:pageBreakBefore w:val="0"/>
        <w:kinsoku/>
        <w:wordWrap/>
        <w:overflowPunct/>
        <w:topLinePunct w:val="0"/>
        <w:autoSpaceDE/>
        <w:autoSpaceDN/>
        <w:bidi w:val="0"/>
        <w:adjustRightInd/>
        <w:snapToGrid/>
        <w:spacing w:line="360" w:lineRule="auto"/>
        <w:jc w:val="left"/>
        <w:rPr>
          <w:rFonts w:ascii="宋体" w:hAnsi="宋体" w:cs="宋体"/>
          <w:sz w:val="21"/>
          <w:szCs w:val="21"/>
          <w14:ligatures w14:val="none"/>
        </w:rPr>
      </w:pPr>
      <w:r>
        <w:rPr>
          <w:rFonts w:hint="eastAsia" w:ascii="宋体" w:hAnsi="宋体" w:cs="宋体"/>
          <w:sz w:val="21"/>
          <w:szCs w:val="21"/>
          <w14:ligatures w14:val="none"/>
        </w:rPr>
        <w:t>5.8 提供详细配置清单、易耗品清单及单价，提供所投产品厂方技术参数、彩色图片。</w:t>
      </w:r>
    </w:p>
    <w:p w14:paraId="1AD1D201">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sz w:val="21"/>
          <w:szCs w:val="21"/>
          <w14:ligatures w14:val="none"/>
        </w:rPr>
      </w:pPr>
      <w:bookmarkStart w:id="30" w:name="_Toc256000044"/>
      <w:bookmarkStart w:id="31" w:name="_Toc213511593"/>
      <w:r>
        <w:rPr>
          <w:rFonts w:hint="eastAsia" w:ascii="宋体" w:hAnsi="宋体" w:cs="宋体"/>
          <w:b/>
          <w:bCs/>
          <w:sz w:val="21"/>
          <w:szCs w:val="21"/>
          <w:lang w:eastAsia="zh-CN"/>
          <w14:ligatures w14:val="none"/>
        </w:rPr>
        <w:t>三</w:t>
      </w:r>
      <w:r>
        <w:rPr>
          <w:rFonts w:hint="eastAsia" w:ascii="宋体" w:hAnsi="宋体" w:cs="宋体"/>
          <w:b/>
          <w:bCs/>
          <w:sz w:val="21"/>
          <w:szCs w:val="21"/>
          <w14:ligatures w14:val="none"/>
        </w:rPr>
        <w:t>、验收标准</w:t>
      </w:r>
      <w:bookmarkEnd w:id="30"/>
      <w:bookmarkEnd w:id="31"/>
    </w:p>
    <w:p w14:paraId="20B6D4C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1、项目验收国家有强制性规定的，按国家规定执行，验收费用由采购人承担，验收报告作为申请付款的凭证之一。</w:t>
      </w:r>
    </w:p>
    <w:p w14:paraId="0106959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2、需完成设备的校准报告以及性能验证报告。费用由中标人承担。</w:t>
      </w:r>
    </w:p>
    <w:p w14:paraId="4F30979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lang w:eastAsia="zh-CN"/>
          <w14:ligatures w14:val="none"/>
        </w:rPr>
      </w:pPr>
      <w:r>
        <w:rPr>
          <w:rFonts w:hint="eastAsia" w:ascii="宋体" w:hAnsi="宋体" w:cs="宋体"/>
          <w:sz w:val="21"/>
          <w:szCs w:val="21"/>
          <w14:ligatures w14:val="none"/>
        </w:rPr>
        <w:t>3、验收的标准和依据：包括本采购项目的招标文件、中标人的投标文件、政府采购合同和有关国家标准与行业规范</w:t>
      </w:r>
      <w:r>
        <w:rPr>
          <w:rFonts w:hint="eastAsia" w:ascii="宋体" w:hAnsi="宋体" w:cs="宋体"/>
          <w:sz w:val="21"/>
          <w:szCs w:val="21"/>
          <w:lang w:eastAsia="zh-CN"/>
          <w14:ligatures w14:val="none"/>
        </w:rPr>
        <w:t>。</w:t>
      </w:r>
    </w:p>
    <w:p w14:paraId="2B15084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4、履约验收时间：投标人提出验收申请之日起7个工作日内组织验收。</w:t>
      </w:r>
    </w:p>
    <w:p w14:paraId="718A537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5、验收主体：采购人为项目的验收主体。</w:t>
      </w:r>
    </w:p>
    <w:p w14:paraId="749D628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6、履约验收方式：</w:t>
      </w:r>
      <w:r>
        <w:rPr>
          <w:rFonts w:hint="eastAsia" w:ascii="宋体" w:hAnsi="宋体" w:cs="宋体"/>
          <w:sz w:val="21"/>
          <w:szCs w:val="21"/>
          <w14:ligatures w14:val="none"/>
        </w:rPr>
        <w:sym w:font="Wingdings 2" w:char="0052"/>
      </w:r>
      <w:r>
        <w:rPr>
          <w:rFonts w:hint="eastAsia" w:ascii="宋体" w:hAnsi="宋体" w:cs="宋体"/>
          <w:sz w:val="21"/>
          <w:szCs w:val="21"/>
          <w14:ligatures w14:val="none"/>
        </w:rPr>
        <w:t xml:space="preserve">一次性验收 </w:t>
      </w:r>
      <w:r>
        <w:rPr>
          <w:rFonts w:hint="eastAsia" w:ascii="Segoe UI Symbol" w:hAnsi="Segoe UI Symbol" w:cs="Segoe UI Symbol"/>
          <w:sz w:val="21"/>
          <w:szCs w:val="21"/>
          <w:lang w:eastAsia="zh-CN"/>
          <w14:ligatures w14:val="none"/>
        </w:rPr>
        <w:t>□</w:t>
      </w:r>
      <w:r>
        <w:rPr>
          <w:rFonts w:hint="eastAsia" w:ascii="宋体" w:hAnsi="宋体" w:cs="宋体"/>
          <w:sz w:val="21"/>
          <w:szCs w:val="21"/>
          <w14:ligatures w14:val="none"/>
        </w:rPr>
        <w:t xml:space="preserve">分期/分项验收 </w:t>
      </w:r>
    </w:p>
    <w:p w14:paraId="21FB36A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7、验收程序：一般程序验收</w:t>
      </w:r>
    </w:p>
    <w:p w14:paraId="00C29B8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 xml:space="preserve">8、履约验收其他事项： </w:t>
      </w:r>
    </w:p>
    <w:p w14:paraId="779AE5F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1）验收过程产生中产生纠纷的，由质量技术监督部门认定的检测机构检测，如为中标人原因造成的，由中标人承担检测费用；否则，由采购人承担。 </w:t>
      </w:r>
    </w:p>
    <w:p w14:paraId="26AB656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2）项目验收不合格，由中标人返工、更换直至合格，有关返工更换、再行验收，以及给采购人造成的损失等费用由中标人承担。连续两次项目验收不合格的或要求返工更换无正当理由拒不返工更换的，采购人可终止合同，另行按规定选择其他投标人采购，由此带来的一切损失（包括但不限于直接或间接经济损失、为维护合法权益产生的诉讼费、律师费、保全费、调查费、鉴定费、诉讼费、差旅费等费用）由中标人承担。 </w:t>
      </w:r>
    </w:p>
    <w:p w14:paraId="768B731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3）采购人与中标投标人双方签署采购货物验收单确认货物质量、数量、规格等无误后，产品才视为验收合格，并开始计算质量保证期。</w:t>
      </w:r>
    </w:p>
    <w:p w14:paraId="620A99C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4）投标文件作为邀约的一部分，同时视作供货内容依据。 </w:t>
      </w:r>
    </w:p>
    <w:p w14:paraId="31D2053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lang w:eastAsia="zh-CN"/>
          <w14:ligatures w14:val="none"/>
        </w:rPr>
        <w:t>（</w:t>
      </w:r>
      <w:r>
        <w:rPr>
          <w:rFonts w:hint="eastAsia" w:ascii="宋体" w:hAnsi="宋体" w:cs="宋体"/>
          <w:sz w:val="21"/>
          <w:szCs w:val="21"/>
          <w14:ligatures w14:val="none"/>
        </w:rPr>
        <w:t xml:space="preserve">5）验收地点：采购人指定地点。 </w:t>
      </w:r>
    </w:p>
    <w:p w14:paraId="467A530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6）严格按照国家及行业相关标准进行验收</w:t>
      </w:r>
      <w:r>
        <w:rPr>
          <w:rFonts w:hint="eastAsia" w:ascii="宋体" w:hAnsi="宋体" w:cs="宋体"/>
          <w:color w:val="000000" w:themeColor="text1"/>
          <w:sz w:val="21"/>
          <w:szCs w:val="21"/>
          <w:lang w:eastAsia="zh-CN"/>
          <w14:textFill>
            <w14:solidFill>
              <w14:schemeClr w14:val="tx1"/>
            </w14:solidFill>
          </w14:textFill>
          <w14:ligatures w14:val="none"/>
        </w:rPr>
        <w:t>，</w:t>
      </w:r>
      <w:r>
        <w:rPr>
          <w:rFonts w:hint="eastAsia" w:ascii="宋体" w:hAnsi="宋体" w:cs="宋体"/>
          <w:color w:val="000000" w:themeColor="text1"/>
          <w:sz w:val="21"/>
          <w:szCs w:val="21"/>
          <w14:textFill>
            <w14:solidFill>
              <w14:schemeClr w14:val="tx1"/>
            </w14:solidFill>
          </w14:textFill>
          <w14:ligatures w14:val="none"/>
        </w:rPr>
        <w:t xml:space="preserve">验收过程中，将对照招标文件中的技术指标进行逐一验证，对未达到技术要求的不合格产品，一律拒收；并可终止合同执行。发现有虚假响应者，将报请政府采购主管部门，予以严厉处罚。 </w:t>
      </w:r>
    </w:p>
    <w:p w14:paraId="515E4565">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cs="宋体"/>
          <w:b/>
          <w:bCs/>
          <w:color w:val="000000" w:themeColor="text1"/>
          <w:sz w:val="21"/>
          <w:szCs w:val="21"/>
          <w14:textFill>
            <w14:solidFill>
              <w14:schemeClr w14:val="tx1"/>
            </w14:solidFill>
          </w14:textFill>
          <w14:ligatures w14:val="none"/>
        </w:rPr>
      </w:pPr>
      <w:bookmarkStart w:id="32" w:name="_Toc213511594"/>
      <w:bookmarkStart w:id="33" w:name="_Toc256000045"/>
      <w:r>
        <w:rPr>
          <w:rFonts w:hint="eastAsia" w:ascii="宋体" w:hAnsi="宋体" w:cs="宋体"/>
          <w:b/>
          <w:bCs/>
          <w:color w:val="000000" w:themeColor="text1"/>
          <w:sz w:val="21"/>
          <w:szCs w:val="21"/>
          <w:lang w:eastAsia="zh-CN"/>
          <w14:textFill>
            <w14:solidFill>
              <w14:schemeClr w14:val="tx1"/>
            </w14:solidFill>
          </w14:textFill>
          <w14:ligatures w14:val="none"/>
        </w:rPr>
        <w:t>四</w:t>
      </w:r>
      <w:r>
        <w:rPr>
          <w:rFonts w:hint="eastAsia" w:ascii="宋体" w:hAnsi="宋体" w:cs="宋体"/>
          <w:b/>
          <w:bCs/>
          <w:color w:val="000000" w:themeColor="text1"/>
          <w:sz w:val="21"/>
          <w:szCs w:val="21"/>
          <w14:textFill>
            <w14:solidFill>
              <w14:schemeClr w14:val="tx1"/>
            </w14:solidFill>
          </w14:textFill>
          <w14:ligatures w14:val="none"/>
        </w:rPr>
        <w:t>、项目其他要求及说明</w:t>
      </w:r>
      <w:bookmarkEnd w:id="32"/>
      <w:bookmarkEnd w:id="33"/>
    </w:p>
    <w:p w14:paraId="511A6EE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1、结算方法</w:t>
      </w:r>
    </w:p>
    <w:p w14:paraId="6CE5B6A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1.1 付款人：</w:t>
      </w:r>
      <w:r>
        <w:rPr>
          <w:rFonts w:hint="eastAsia" w:ascii="宋体" w:hAnsi="宋体" w:cs="宋体"/>
          <w:color w:val="000000" w:themeColor="text1"/>
          <w:sz w:val="21"/>
          <w:szCs w:val="21"/>
          <w:lang w:val="en-US" w:eastAsia="zh-CN"/>
          <w14:textFill>
            <w14:solidFill>
              <w14:schemeClr w14:val="tx1"/>
            </w14:solidFill>
          </w14:textFill>
          <w14:ligatures w14:val="none"/>
        </w:rPr>
        <w:t xml:space="preserve"> 株洲市二中</w:t>
      </w:r>
      <w:r>
        <w:rPr>
          <w:rFonts w:hint="eastAsia" w:ascii="宋体" w:hAnsi="宋体" w:cs="宋体"/>
          <w:color w:val="000000" w:themeColor="text1"/>
          <w:sz w:val="21"/>
          <w:szCs w:val="21"/>
          <w14:textFill>
            <w14:solidFill>
              <w14:schemeClr w14:val="tx1"/>
            </w14:solidFill>
          </w14:textFill>
          <w14:ligatures w14:val="none"/>
        </w:rPr>
        <w:t>。</w:t>
      </w:r>
    </w:p>
    <w:p w14:paraId="759115C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1.2 付款方式：中标投标人与采购人合同签订后30个工作日内，且财政资金下达后支付合同总价款的40%，设备到货、安装调试完成并经采购人验收合格且财政资金下达后，支付合同总价款的</w:t>
      </w:r>
      <w:r>
        <w:rPr>
          <w:rFonts w:hint="eastAsia" w:ascii="宋体" w:hAnsi="宋体" w:cs="宋体"/>
          <w:color w:val="000000" w:themeColor="text1"/>
          <w:sz w:val="21"/>
          <w:szCs w:val="21"/>
          <w:lang w:val="en-US" w:eastAsia="zh-CN"/>
          <w14:textFill>
            <w14:solidFill>
              <w14:schemeClr w14:val="tx1"/>
            </w14:solidFill>
          </w14:textFill>
          <w14:ligatures w14:val="none"/>
        </w:rPr>
        <w:t>55</w:t>
      </w:r>
      <w:r>
        <w:rPr>
          <w:rFonts w:hint="eastAsia" w:ascii="宋体" w:hAnsi="宋体" w:cs="宋体"/>
          <w:color w:val="000000" w:themeColor="text1"/>
          <w:sz w:val="21"/>
          <w:szCs w:val="21"/>
          <w14:textFill>
            <w14:solidFill>
              <w14:schemeClr w14:val="tx1"/>
            </w14:solidFill>
          </w14:textFill>
          <w14:ligatures w14:val="none"/>
        </w:rPr>
        <w:t>%。质保期满（无质量问题、售后服务纠纷，以及其他经济法律纠纷等）且财政资金下达后支付合同总价款的5%。</w:t>
      </w:r>
    </w:p>
    <w:p w14:paraId="067281F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2、投标人可投同档次或更高档次的产品。</w:t>
      </w:r>
    </w:p>
    <w:p w14:paraId="5AEC93A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color w:val="000000" w:themeColor="text1"/>
          <w:sz w:val="21"/>
          <w:szCs w:val="21"/>
          <w14:textFill>
            <w14:solidFill>
              <w14:schemeClr w14:val="tx1"/>
            </w14:solidFill>
          </w14:textFill>
          <w14:ligatures w14:val="none"/>
        </w:rPr>
      </w:pPr>
      <w:r>
        <w:rPr>
          <w:rFonts w:hint="eastAsia" w:ascii="宋体" w:hAnsi="宋体" w:cs="宋体"/>
          <w:color w:val="000000" w:themeColor="text1"/>
          <w:sz w:val="21"/>
          <w:szCs w:val="21"/>
          <w14:textFill>
            <w14:solidFill>
              <w14:schemeClr w14:val="tx1"/>
            </w14:solidFill>
          </w14:textFill>
          <w14:ligatures w14:val="none"/>
        </w:rPr>
        <w:t>3、质保和售后要求超出厂家正常保修范围的，中标投标人需向厂家购买。</w:t>
      </w:r>
    </w:p>
    <w:p w14:paraId="428C231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cs="宋体"/>
          <w:sz w:val="21"/>
          <w:szCs w:val="21"/>
          <w14:ligatures w14:val="none"/>
        </w:rPr>
      </w:pPr>
      <w:r>
        <w:rPr>
          <w:rFonts w:hint="eastAsia" w:ascii="宋体" w:hAnsi="宋体" w:cs="宋体"/>
          <w:sz w:val="21"/>
          <w:szCs w:val="21"/>
          <w14:ligatures w14:val="none"/>
        </w:rPr>
        <w:t>4、本项目采用费用包干方式建设，投标人应根据项目要求和现场情况，详细列明项目所需的设备及材料购置，以及产品运输保险保管、项目安装调试、试运行测试通过验收、培训、质保期免费保修维护等所有人工、管理、财务、税款等所有费用，如一旦中标，在项目实施中出现任何遗漏，均由中标人免费提供，采购人不再支付任何费用。</w:t>
      </w:r>
    </w:p>
    <w:p w14:paraId="40DE7A21">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r>
        <w:rPr>
          <w:rFonts w:hint="eastAsia" w:ascii="宋体" w:hAnsi="宋体" w:cs="宋体"/>
          <w:sz w:val="21"/>
          <w:szCs w:val="21"/>
          <w14:ligatures w14:val="none"/>
        </w:rPr>
        <w:t>5、投标人在投标前，如需踏勘现场，有关费用自理，踏勘期间发生的意外自负。</w:t>
      </w:r>
    </w:p>
    <w:p w14:paraId="6FC91D99">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052BBA48">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260722F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49BC0933">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5CFA5B6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24C78E4E">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1335D43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特别注意事项 ：</w:t>
      </w:r>
    </w:p>
    <w:p w14:paraId="278BABA0">
      <w:pPr>
        <w:keepNext w:val="0"/>
        <w:keepLines w:val="0"/>
        <w:pageBreakBefore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1、对于上述项目要求，供应商应在投标文件中进行回应，作出承诺、说明。</w:t>
      </w:r>
    </w:p>
    <w:p w14:paraId="5C5B6288">
      <w:pPr>
        <w:keepNext w:val="0"/>
        <w:keepLines w:val="0"/>
        <w:pageBreakBefore w:val="0"/>
        <w:kinsoku/>
        <w:wordWrap/>
        <w:overflowPunct/>
        <w:topLinePunct w:val="0"/>
        <w:autoSpaceDE/>
        <w:autoSpaceDN/>
        <w:bidi w:val="0"/>
        <w:adjustRightInd/>
        <w:snapToGrid/>
        <w:spacing w:line="360" w:lineRule="auto"/>
        <w:ind w:firstLine="413" w:firstLineChars="196"/>
        <w:textAlignment w:val="baseline"/>
        <w:rPr>
          <w:rFonts w:ascii="宋体" w:hAnsi="宋体" w:eastAsia="宋体" w:cs="宋体"/>
          <w:b/>
          <w:bCs/>
          <w:color w:val="000000" w:themeColor="text1"/>
          <w:szCs w:val="21"/>
          <w:highlight w:val="none"/>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2、供应商</w:t>
      </w:r>
      <w:r>
        <w:rPr>
          <w:rFonts w:hint="default" w:ascii="Times New Roman" w:hAnsi="宋体" w:eastAsia="宋体" w:cs="Times New Roman"/>
          <w:b/>
          <w:bCs/>
          <w:color w:val="000000" w:themeColor="text1"/>
          <w:szCs w:val="21"/>
          <w:highlight w:val="none"/>
          <w:lang w:val="en-US" w:eastAsia="zh-CN"/>
          <w14:textFill>
            <w14:solidFill>
              <w14:schemeClr w14:val="tx1"/>
            </w14:solidFill>
          </w14:textFill>
        </w:rPr>
        <w:t>需承诺中标后所提供的产品与</w:t>
      </w: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响应</w:t>
      </w:r>
      <w:r>
        <w:rPr>
          <w:rFonts w:hint="default" w:ascii="Times New Roman" w:hAnsi="宋体" w:eastAsia="宋体" w:cs="Times New Roman"/>
          <w:b/>
          <w:bCs/>
          <w:color w:val="000000" w:themeColor="text1"/>
          <w:szCs w:val="21"/>
          <w:highlight w:val="none"/>
          <w:lang w:val="en-US" w:eastAsia="zh-CN"/>
          <w14:textFill>
            <w14:solidFill>
              <w14:schemeClr w14:val="tx1"/>
            </w14:solidFill>
          </w14:textFill>
        </w:rPr>
        <w:t>文件中提供的产品一致，若出现不一致，按虚假应标处理，中标无效，并上报至相关部门。</w:t>
      </w:r>
    </w:p>
    <w:p w14:paraId="7D14B110">
      <w:pPr>
        <w:keepNext w:val="0"/>
        <w:keepLines w:val="0"/>
        <w:pageBreakBefore w:val="0"/>
        <w:widowControl/>
        <w:kinsoku/>
        <w:wordWrap/>
        <w:overflowPunct/>
        <w:topLinePunct w:val="0"/>
        <w:autoSpaceDE/>
        <w:autoSpaceDN/>
        <w:bidi w:val="0"/>
        <w:adjustRightInd/>
        <w:snapToGrid/>
        <w:spacing w:line="336" w:lineRule="auto"/>
        <w:ind w:right="0" w:firstLine="422" w:firstLineChars="200"/>
        <w:textAlignment w:val="auto"/>
        <w:rPr>
          <w:rFonts w:hint="eastAsia" w:ascii="宋体" w:hAnsi="宋体" w:eastAsia="宋体" w:cs="宋体"/>
          <w:color w:val="000000" w:themeColor="text1"/>
          <w:spacing w:val="6"/>
          <w:kern w:val="0"/>
          <w:sz w:val="21"/>
          <w:szCs w:val="21"/>
          <w:highlight w:val="none"/>
          <w:lang w:val="en-US" w:eastAsia="zh-CN" w:bidi="ar"/>
          <w14:textFill>
            <w14:solidFill>
              <w14:schemeClr w14:val="tx1"/>
            </w14:solidFill>
          </w14:textFill>
        </w:rPr>
      </w:pPr>
      <w:r>
        <w:rPr>
          <w:rFonts w:hint="eastAsia" w:ascii="Times New Roman" w:hAnsi="宋体" w:eastAsia="宋体" w:cs="Times New Roman"/>
          <w:b/>
          <w:bCs/>
          <w:color w:val="000000" w:themeColor="text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18"/>
          <w:highlight w:val="none"/>
          <w14:textFill>
            <w14:solidFill>
              <w14:schemeClr w14:val="tx1"/>
            </w14:solidFill>
          </w14:textFill>
        </w:rPr>
        <w:t>如</w:t>
      </w:r>
      <w:r>
        <w:rPr>
          <w:rFonts w:hint="eastAsia" w:ascii="宋体" w:hAnsi="宋体" w:eastAsia="宋体" w:cs="宋体"/>
          <w:b/>
          <w:bCs/>
          <w:color w:val="000000" w:themeColor="text1"/>
          <w:sz w:val="21"/>
          <w:szCs w:val="18"/>
          <w:highlight w:val="none"/>
          <w:lang w:eastAsia="zh-CN"/>
          <w14:textFill>
            <w14:solidFill>
              <w14:schemeClr w14:val="tx1"/>
            </w14:solidFill>
          </w14:textFill>
        </w:rPr>
        <w:t>供应商</w:t>
      </w:r>
      <w:r>
        <w:rPr>
          <w:rFonts w:hint="eastAsia" w:ascii="宋体" w:hAnsi="宋体" w:eastAsia="宋体" w:cs="宋体"/>
          <w:b/>
          <w:bCs/>
          <w:color w:val="000000" w:themeColor="text1"/>
          <w:sz w:val="21"/>
          <w:szCs w:val="18"/>
          <w:highlight w:val="none"/>
          <w14:textFill>
            <w14:solidFill>
              <w14:schemeClr w14:val="tx1"/>
            </w14:solidFill>
          </w14:textFill>
        </w:rPr>
        <w:t>提供虚假材料谋取中标，在评标环节发现的，按无效投标处理。如中标后发现的，取消其中标资格，并送财政监管部门依法追究其法律责任。</w:t>
      </w:r>
    </w:p>
    <w:p w14:paraId="43FF12D7">
      <w:pPr>
        <w:spacing w:line="360" w:lineRule="auto"/>
        <w:ind w:firstLine="422" w:firstLineChars="200"/>
        <w:rPr>
          <w:rFonts w:hint="eastAsia"/>
          <w:b/>
          <w:bCs/>
          <w:lang w:val="en-US" w:eastAsia="zh-CN"/>
        </w:rPr>
      </w:pPr>
      <w:r>
        <w:rPr>
          <w:rFonts w:hint="eastAsia"/>
          <w:b/>
          <w:bCs/>
          <w:lang w:val="en-US" w:eastAsia="zh-CN"/>
        </w:rPr>
        <w:t>4、政府采购评审中出现下列情形之一的，评审委员会应启动异常低价投标（响应）审查程序：</w:t>
      </w:r>
    </w:p>
    <w:p w14:paraId="48924E9F">
      <w:pPr>
        <w:spacing w:line="360" w:lineRule="auto"/>
        <w:ind w:firstLine="422" w:firstLineChars="200"/>
        <w:rPr>
          <w:rFonts w:hint="eastAsia"/>
          <w:b/>
          <w:bCs/>
          <w:highlight w:val="none"/>
          <w:lang w:val="en-US" w:eastAsia="zh-CN"/>
        </w:rPr>
      </w:pPr>
      <w:r>
        <w:rPr>
          <w:rFonts w:hint="eastAsia"/>
          <w:b/>
          <w:bCs/>
          <w:lang w:val="en-US" w:eastAsia="zh-CN"/>
        </w:rPr>
        <w:t>（1）投标（响应）报价低于采购项</w:t>
      </w:r>
      <w:r>
        <w:rPr>
          <w:rFonts w:hint="eastAsia"/>
          <w:b/>
          <w:bCs/>
          <w:highlight w:val="none"/>
          <w:lang w:val="en-US" w:eastAsia="zh-CN"/>
        </w:rPr>
        <w:t>目最高限价65%的，即投标（响应）报价&lt;采购项目最高限价×65%的；</w:t>
      </w:r>
    </w:p>
    <w:p w14:paraId="70FFDB92">
      <w:pPr>
        <w:spacing w:line="360" w:lineRule="auto"/>
        <w:ind w:firstLine="422" w:firstLineChars="200"/>
        <w:rPr>
          <w:rFonts w:hint="eastAsia"/>
          <w:b/>
          <w:bCs/>
          <w:lang w:val="en-US" w:eastAsia="zh-CN"/>
        </w:rPr>
      </w:pPr>
      <w:r>
        <w:rPr>
          <w:rFonts w:hint="eastAsia"/>
          <w:b/>
          <w:bCs/>
          <w:lang w:val="en-US" w:eastAsia="zh-CN"/>
        </w:rPr>
        <w:t>（2）评审委员会基于专业判断，认为供应商报价过低，有可能影响产品质量或者不能诚信履约的其他情形。</w:t>
      </w:r>
    </w:p>
    <w:p w14:paraId="1E05C6DA">
      <w:pPr>
        <w:spacing w:line="360" w:lineRule="auto"/>
        <w:ind w:firstLine="422" w:firstLineChars="200"/>
        <w:rPr>
          <w:rFonts w:hint="eastAsia"/>
          <w:b/>
          <w:bCs/>
          <w:lang w:val="en-US" w:eastAsia="zh-CN"/>
        </w:rPr>
      </w:pPr>
      <w:r>
        <w:rPr>
          <w:rFonts w:hint="eastAsia"/>
          <w:b/>
          <w:bCs/>
          <w:lang w:val="en-US" w:eastAsia="zh-CN"/>
        </w:rPr>
        <w:t>相关供应商在评审现场30分钟内对投标（响应）价格作出解释，提供项目具体成本测算等与报价合理性相关的书面说明及必要的证明材料，包括但不限于原材料成本、人工成本、制造费用等。其中，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A659A91">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pPr>
    </w:p>
    <w:p w14:paraId="71CC4F85">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sectPr>
          <w:footerReference r:id="rId3" w:type="default"/>
          <w:pgSz w:w="11906" w:h="16838"/>
          <w:pgMar w:top="1440" w:right="1689" w:bottom="1440" w:left="1689" w:header="851" w:footer="992" w:gutter="0"/>
          <w:cols w:space="425" w:num="1"/>
          <w:docGrid w:type="lines" w:linePitch="312" w:charSpace="0"/>
        </w:sectPr>
      </w:pPr>
    </w:p>
    <w:tbl>
      <w:tblPr>
        <w:tblStyle w:val="11"/>
        <w:tblW w:w="13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9"/>
        <w:gridCol w:w="1065"/>
        <w:gridCol w:w="7063"/>
        <w:gridCol w:w="1005"/>
        <w:gridCol w:w="765"/>
        <w:gridCol w:w="630"/>
        <w:gridCol w:w="935"/>
        <w:gridCol w:w="1133"/>
      </w:tblGrid>
      <w:tr w14:paraId="15EA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BA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27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12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8E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8E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32F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47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76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107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6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2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云桌面服务器</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FBF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1、要求1U机架式服务器。</w:t>
            </w:r>
          </w:p>
          <w:p w14:paraId="3A8FAE4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2、配置国产化系列处理器，每颗CPU≥8核心16线程，主频≥3.0Ghz。配置内存容量≥32G。配置SSD固态硬盘≥1400G，配置机械硬盘总容量≥16TB。配置千兆网口≥4个。服务器电源功率≥350W。</w:t>
            </w:r>
          </w:p>
          <w:p w14:paraId="6963501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3、为保障所投设备质量优异，可靠性</w:t>
            </w:r>
            <w:bookmarkStart w:id="34" w:name="_GoBack"/>
            <w:bookmarkEnd w:id="34"/>
            <w:r>
              <w:rPr>
                <w:rFonts w:hint="eastAsia" w:ascii="宋体" w:hAnsi="宋体" w:eastAsia="宋体" w:cs="宋体"/>
                <w:i w:val="0"/>
                <w:iCs w:val="0"/>
                <w:color w:val="000000"/>
                <w:kern w:val="0"/>
                <w:sz w:val="22"/>
                <w:szCs w:val="22"/>
                <w:u w:val="none"/>
                <w:lang w:val="en-US" w:eastAsia="zh-CN" w:bidi="ar"/>
              </w:rPr>
              <w:t>高，要求所投设备平均故障间隔时间（MTBF）≥180000小时。</w:t>
            </w:r>
          </w:p>
          <w:p w14:paraId="2008A76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4、要求所投产品符合国家GB/T 9254的相关标准，在30MHz~1GHz和1GHz~6GHz频率范围内的辐射骚扰测试结果符合要求。</w:t>
            </w:r>
          </w:p>
          <w:p w14:paraId="557BF73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5、要求可管理终端数≥1500台，提供云盘功能，支持本地和云端同步存储数据。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4A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6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1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FC2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E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1BB2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E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5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云桌面系统</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6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1、管理平台采用B/S（Broswer/Server)架构，支持中文图形化操作界面。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2、要求采用超融合基础架构，在同一管理平台内至少包含计算资源、存储资源、网络资源等功能管理模块。所有功能模块需要通过一个厂家的一套软件实现超融合部署，不可以使用多套软件或产品叠加实现。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3、为提供强大的扩展能力，需支持在集群中添加、移除服务器主机节点。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4、支持将服务器主机节点添加为计算集群，为上层业务平台提供统一的计算、存储、网络资源调度，形成基础计算平台支撑。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5、采用分布式存储架构，可以将服务器集群中多个节点的本地磁盘融合为统一存储资源空间，具备在线横向扩展能力，任一节点故障，都不会影响数据的正常访问。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6、支持按需创建多个存储池，支持配置每个存储池所需使用的冗余策略，每个存储池的容量盘可从服务器集群中任意几个节点中的一块或多块磁盘中选择。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7、存储池可以设置的冗余策略至少包括：单副本、2副本、3副本、纠删码等冗余策略，纠删码可以按照2数据1校验的方案部署并实际使用，磁盘空间的利用率≥60%。提供实际软件运行真实界面截图证明。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8、支持多级缓存技术，可以预先将热点数据从机械盘缓存到SSD和内存中。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9、支持数据均衡负载策略，当存储池扩容或者节点/容量盘出现故障时可以触发数据重分布，数据均衡的过程不会导致业务中断、也无需人工干预。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▲10、为保证硬盘故障后，数据可以快速重构，要求所投产品在分布式存储的方案下，1T数据重构时间≤20分钟。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2F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5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D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61E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9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02A49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C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1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云桌面教师终端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1BB4">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2、配置CPU性能≥8核12线程处理器；性能核心数量≥4个；内存容量≥16GB，本地存储≥512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31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9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F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3D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82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3个机房各一台教师机</w:t>
            </w:r>
          </w:p>
        </w:tc>
      </w:tr>
      <w:tr w14:paraId="652F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A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9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云桌面学生终端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C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2、配置CPU性能≥八核十二线程处理器；性能核心数量≥4个；内存容量≥8GB，本地存储≥256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C8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E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4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4FD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2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每个机房56座学生机</w:t>
            </w:r>
          </w:p>
        </w:tc>
      </w:tr>
      <w:tr w14:paraId="4C2F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6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030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F81A">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采用B/S软件架构，中文图形化管理页面。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2、为了方便管理和使用，管理平台要包括镜像管理、教室管理、用户管理等关键功能模块。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3、为满足基本教学的使用需求，要求镜像模版可以使用多种类型的操作系统，支持主流Windows及Linux操作系统镜像模板，包含但不限于Windows 10/11、国产Linux操作系统等。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4、支持镜像模版链接分享功能，管理员可将编辑镜像模板的链接分享给任课老师，在浏览器中直接输入链接地址即可对镜像模板进行编辑，支持分享链接的失效期、分享验证码设置。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5、为保证重要镜像的安全性，支持教学镜像对学生隐藏或可见，支持镜像模版自动快照，每次镜像发布时可以自动为镜像模版打快照。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6、要求可以通过LDAP协议对接学校的统一身份平台，让用户也可以使用统一身份平台的用户信息，无需重新创建一个全新的用户体系。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7、为了管理的便捷性，支持管理员通过服务器集群的web管理平台唤醒远程不同网段的终端，中间无需使用跳板机转发。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8、为满足操作系统、安卓编程等课程的使用需求，支持嵌套虚拟化功能，在终端桌面上可以正常使用VMware、android studio等需要运行虚拟机的软件。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9、为满足教学过程数据存储，可以在学生单个镜像内设置数据盘，数据盘可以按每月、每周、每日或指定时间设置还原策略。</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AE5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3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32D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0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学生机和教师机云桌面授权</w:t>
            </w:r>
          </w:p>
        </w:tc>
      </w:tr>
      <w:tr w14:paraId="36A0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2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B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35B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1、系统内置多元化教学场景模式，适配差异化教学应用场景；教师可经教学管理平台对指定学生执行镜像环境一键切换操作，镜像切换过程中云终端设备保持运行状态，不涉及硬件层面的重启动作。</w:t>
            </w:r>
          </w:p>
          <w:p w14:paraId="1D55F18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2、教师可通过教学管理平台批量远程唤醒全部云终端设备，终端完成引导后自动载入与当前课程匹配的镜像桌面环境。</w:t>
            </w:r>
          </w:p>
          <w:p w14:paraId="27E95E3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3、教学管理平台内置远程终端编号设置模块，用于优化课前考勤流程；终端编号与云桌面标识保持一一映射关系，便于教师快速完成课堂点名。</w:t>
            </w:r>
          </w:p>
          <w:p w14:paraId="144D2EF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4、教学管理平台提供一键禁网功能，教师可选择性切断任意学生的网络访问权限；禁网状态下屏幕广播、屏幕监视等教学功能不受影响，保持正常使用。</w:t>
            </w:r>
          </w:p>
          <w:p w14:paraId="681AD5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147FE7A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6、系统支持用户自主注册及管理员批量导入两种账号创建方式；在数据安全与教学便捷性之间取得平衡，教师账号强制采用密码认证方式登录个人空间，学生账号可灵活配置密码登录或免密登录模式。</w:t>
            </w:r>
          </w:p>
          <w:p w14:paraId="250D3C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7、班级管理支持标识码邀请机制，教师生成专属班级标识码后分发给学生，学生凭该标识码即可加入对应班级，降低班级创建与维护的操作成本。</w:t>
            </w:r>
          </w:p>
          <w:p w14:paraId="6A47713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8、教学管理软件具备进程保护机制，禁止通过任务管理器或命令行工具强制终止管理进程；同时实施课堂行为管控，阻止学生终端在授课过程中执行关闭锁屏、退出离线广播等脱离教学管理的操作。</w:t>
            </w:r>
          </w:p>
          <w:p w14:paraId="6709043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15C7361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10、教师可对学生作业执行公开标记操作，被标记为公开的作业内容可通过学生端软件供全体学生查阅浏览。</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8D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0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0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C22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三个机房各1套</w:t>
            </w:r>
          </w:p>
        </w:tc>
      </w:tr>
      <w:tr w14:paraId="086CD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9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83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83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1、固化10/100/1000M以太网端口≥24个，固化10G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2、交换容量≥670Gbps，包转发率≥170Mpps.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D2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5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F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30A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9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66C7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6"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C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3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A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1、固化10/100/1000M以太网端口≥48个，固化10G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2、交换容量≥670Gbps，包转发率≥200Mpps.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04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A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1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3F7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6D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10FB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B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D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防静电地板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0211">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拆除现房间设备并搬到学校指定位置，加装防滑陶瓷面防静电地板，面积约80平米（具体面积以实际需要为准）。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D03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D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C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A69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9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0D79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D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7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机房布线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213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六类网线、电源线、电源插座、从五楼机房接光缆到三楼新机房等，具体规格与数量按需配置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265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A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5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07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2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1CC2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8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0B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4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400万广角半球摄像机，接入学校考试专用监控系统。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6A0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6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E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6F5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A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4192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2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4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电脑桌椅</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A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1.2米双人位钢木结构电脑桌椅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CD7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D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6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A35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68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新机房（框采）</w:t>
            </w:r>
          </w:p>
        </w:tc>
      </w:tr>
      <w:tr w14:paraId="09C5F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1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4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讲台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3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1.4米钢木结构讲台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8D8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0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8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D13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B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0A45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F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8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智慧无尘黑板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547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一、整体设计要求</w:t>
            </w:r>
          </w:p>
          <w:p w14:paraId="7F4F791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1、整机采用全金属外壳，屏幕采用 86 英寸液晶显示器。整机屏幕边缘采用金属圆角包边防护，整机背板采用金属材质，有效屏蔽内部电路器件辐射；防潮耐盐雾蚀锈，适应多种教学环境。</w:t>
            </w:r>
          </w:p>
          <w:p w14:paraId="043047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2、整机采用超高清 LED 液晶显示屏，显示比例 16:9，分辨率≥3840×2160。</w:t>
            </w:r>
          </w:p>
          <w:p w14:paraId="0581916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3、整机输入接口具备至少 2 路 HDMI、至少 1 路 RS232、至少 1 路音频输出、至少 1 路触控 USB 输出；前置输入接口具备至少 3 路 USB 接口（包含 1 路 Type-C）。</w:t>
            </w:r>
          </w:p>
          <w:p w14:paraId="4EECFFE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4、整机嵌入式系统版本不低于 Android 15，内存≥2GB，存储空间≥32GB。</w:t>
            </w:r>
          </w:p>
          <w:p w14:paraId="3D355FE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5、整机内置 NPU AI 算力≥2Tops，支持 8K 级视频解码，支持同时接入 4 路及以上视频流进行处理。</w:t>
            </w:r>
          </w:p>
          <w:p w14:paraId="1A542F2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6、整机支持 Windows 系统和 Android 系统中进行 50 点或以上触控及书写。</w:t>
            </w:r>
          </w:p>
          <w:p w14:paraId="1DBE65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7、整机主控处理芯片、WIFI 与蓝牙通信芯片、摄像头图像处理芯片，支持选用国产自主芯片方案，投标人可提供对应芯片品牌型号证明材料。</w:t>
            </w:r>
          </w:p>
          <w:p w14:paraId="4790DF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8、整机内置全视角背光增光膜，通过增光膜对背光光源进行均光，提升画面显示均匀性。</w:t>
            </w:r>
          </w:p>
          <w:p w14:paraId="6A47A75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9、在屏幕中心亮度≥350 cd/㎡、整机水平方向法线 60 度视角下，屏幕观看有效亮度≥110 cd/㎡。</w:t>
            </w:r>
          </w:p>
          <w:p w14:paraId="6EF1DE3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10、整机上边框可集成一体化摄像头模组，摄像头数量≥5 个，其中广角摄像头视场角≥145 度；在 3840×2160 分辨率下，支持 30 帧视频输出。</w:t>
            </w:r>
          </w:p>
          <w:p w14:paraId="4D7B478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11、集成摄像头模组支持拍摄≥5000 万像素静态照片，支持输出 8192×2772 分辨率视频。</w:t>
            </w:r>
          </w:p>
          <w:p w14:paraId="22B2CEE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12、整机支持摄像头模组同时输出至少 3 路视频流，可分别用于课堂远程巡课、课堂教学数据采集、本地画面预览（拍照或视频录制）。</w:t>
            </w:r>
          </w:p>
          <w:p w14:paraId="0C5CDBB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13、整机系统支持课堂行为识别功能，可通过摄像头识别学生举手、交叉手臂等动作，实现课堂投票统计，支持展示投票数据及占比，可采用图表形式呈现。</w:t>
            </w:r>
          </w:p>
          <w:p w14:paraId="017B966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14、整机系统支持书写触控延迟≤25ms，触控书写支持笔迹预测算法，书写速度≥50cm/s 工况下，笔迹追踪跟随距离小于 20mm。</w:t>
            </w:r>
          </w:p>
          <w:p w14:paraId="46815F2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15、整机全通道支持 4K 显示，包括安卓通道、PC 通道、HDMI 信号通道。</w:t>
            </w:r>
          </w:p>
          <w:p w14:paraId="1BE0D6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16、整机内置 2.2 声道扬声器，扬声器布置于设备边框区域，高音扬声器≥2 个，中低音扬声器≥2 个，整机音频最大功率≥80W。</w:t>
            </w:r>
          </w:p>
          <w:p w14:paraId="0E92B5C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17、整机具备多种音效模式，听力模式下支持 AI 人声增强功能，支持三档强弱调节，通过算法提取音频人声进行优化，在不提升音量基础上提升语音清晰度。</w:t>
            </w:r>
          </w:p>
          <w:p w14:paraId="6C50E2A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18、整机支持内置麦克风阵列，麦克风数量≥8 阵列，拾音距离≥12m；支持语音助手功能，可通过唤醒词启动，支持语音操控整机音量、亮度、打开白板、浏览器等应用，支持语音搜索网页内容。</w:t>
            </w:r>
          </w:p>
          <w:p w14:paraId="49D1EE8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19、整机支持标准、听力、观影、环境自适应音效模式；环境自适应音效模式可采集教室环境声学信息，自动适配教室声场优化音效参数。</w:t>
            </w:r>
          </w:p>
          <w:p w14:paraId="747AF74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20、整机背光系统支持 DC 调光，支持多级亮度调节。</w:t>
            </w:r>
          </w:p>
          <w:p w14:paraId="30134A8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21、整机支持人工智能画质优化模式，安卓通道下可根据画面内容自动调节对比度、饱和度、锐利度、高光阴影等画质参数。</w:t>
            </w:r>
          </w:p>
          <w:p w14:paraId="183FBE8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22、支持自定义图像设置，可对对比度、屏幕色温、图像亮度、色彩空间进行调节。</w:t>
            </w:r>
          </w:p>
          <w:p w14:paraId="148728C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23、整机全通道支持纸质护眼模式，可调整画面纹理效果；至少支持牛皮纸、素描纸、宣纸、水彩纸、水纹纸多种纹理效果，支持透明度、色温调节。</w:t>
            </w:r>
          </w:p>
          <w:p w14:paraId="6A111D1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24、整机支持自习纪律辅助提醒功能，可通过音频监测环境噪音，当音量超过设定阈值时，屏幕弹窗提示，辅助维持课堂秩序。</w:t>
            </w:r>
          </w:p>
          <w:p w14:paraId="0231DB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25、整机支持语音转文字功能，可将麦克风拾取语音实时转译为文字，支持悬浮字幕展示。</w:t>
            </w:r>
          </w:p>
          <w:p w14:paraId="6275D02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26、整机支持 AI 试题识别功能，可识别屏幕画面或视频展台采集的试题内容，支持手动框选识别区域，提供试题解析、解题步骤、注意事项。</w:t>
            </w:r>
          </w:p>
          <w:p w14:paraId="384EFFC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27、AI 试题识别功能可根据试题知识点、难度，智能推荐同类习题，推荐题目数量可自定义设置。</w:t>
            </w:r>
          </w:p>
          <w:p w14:paraId="4DF5759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28、整机支持微课录制，支持对录制视频进行字幕提取，依据字幕实现视频快速剪辑。</w:t>
            </w:r>
          </w:p>
          <w:p w14:paraId="3893EE7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29、整机支持 AI 教学助手功能，支持自定义助手角色、性格、能力信息，支持文字、语音交互；支持创建教学助手并在校本资源平台共享。</w:t>
            </w:r>
          </w:p>
          <w:p w14:paraId="5C50298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二、无线互联要求</w:t>
            </w:r>
          </w:p>
          <w:p w14:paraId="18FEA54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1、整机内置无线模块，Android、Windows 系统均可实现 Wi-Fi 上网、无线 AP 热点、蓝牙连接；Wi-Fi 与热点有效工作距离≥12m。</w:t>
            </w:r>
          </w:p>
          <w:p w14:paraId="11993E6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2、整机支持蓝牙 Bluetooth 5.4 标准，PC 通道支持主动搜索蓝牙外设建立连接。</w:t>
            </w:r>
          </w:p>
          <w:p w14:paraId="1113E5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 Wi-Fi、蓝牙无线模块采用模块化设计，便于后期维护拆装。</w:t>
            </w:r>
          </w:p>
          <w:p w14:paraId="1032C45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4、整机支持近场快速投屏方案，可通过信号感知方式，让手机、笔记本快速发现大屏设备，一键发起投屏。</w:t>
            </w:r>
          </w:p>
          <w:p w14:paraId="762066F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5、配套教学移动端 APP 支持局域网近场发现大屏设备，支持免扫码、免账号密码快速连接，支持统一身份认证，实现教学软件单点登录。</w:t>
            </w:r>
          </w:p>
          <w:p w14:paraId="7B0B03C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6、整机内置传屏接收模块，无需外接接收设备，支持手机、电脑音视频投屏；电脑投屏支持触控回传。</w:t>
            </w:r>
          </w:p>
          <w:p w14:paraId="4CB323C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7、整机安卓通道、PC 通道均支持 Wi-Fi 6 连接与热点发射功能。</w:t>
            </w:r>
          </w:p>
          <w:p w14:paraId="258164D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8、整机无线网络配置支持双系统互通，Android 与 Windows 系统网络参数可同步，无需重复配置。</w:t>
            </w:r>
          </w:p>
          <w:p w14:paraId="2028EBA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9、整机支持音频采集识别，可通过声纹识别完成身份登录，登录后调取个人云端课件，支持白板软件免登。</w:t>
            </w:r>
          </w:p>
          <w:p w14:paraId="7DB8D38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10、整机支持设备序列号定向升级，支持云端在线固件、应用软件 OTA 升级。</w:t>
            </w:r>
          </w:p>
          <w:p w14:paraId="3FB683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三、内置 OPS 模块配置要求</w:t>
            </w:r>
          </w:p>
          <w:p w14:paraId="009F782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1、处理器：Intel Core i5 十二代或以上 CPU；</w:t>
            </w:r>
          </w:p>
          <w:p w14:paraId="36811D6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2、内存规格：DDR4 内存，8G；硬盘：256G 固态硬盘；</w:t>
            </w:r>
          </w:p>
          <w:p w14:paraId="5712567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3、PC 模块为抽拉式设计，支持整机内部对接，一体化插拔；</w:t>
            </w:r>
          </w:p>
          <w:p w14:paraId="706AEB2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4、电脑模块与整机高速接口通信，传输速率≥10Gbps；</w:t>
            </w:r>
          </w:p>
          <w:p w14:paraId="71F9C2E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5、模块采用卡扣式固定，无需工具可快速拆装。</w:t>
            </w:r>
          </w:p>
          <w:p w14:paraId="4B0D15D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四、副屏黑板设计要求</w:t>
            </w:r>
          </w:p>
          <w:p w14:paraId="71427A9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1、书写表面采用无尘书写膜，支持磁性书写笔书写，可通过不同笔头实现粗细笔迹；书写无需专用耗材，无粉尘，板面可断电独立书写。</w:t>
            </w:r>
          </w:p>
          <w:p w14:paraId="4B2C420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2、书写板面可用中性洗涤剂、消毒温水擦拭，擦拭后表面无变色、表层脱落。</w:t>
            </w:r>
          </w:p>
          <w:p w14:paraId="4E6891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3、书写板夹层采用高强度、吸音、防潮、阻燃板材。</w:t>
            </w:r>
          </w:p>
          <w:p w14:paraId="1C546F9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4、板书字迹可视角度≥178°。</w:t>
            </w:r>
          </w:p>
          <w:p w14:paraId="747B310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5、书写板表面低眩光，光泽度≤30°。</w:t>
            </w:r>
          </w:p>
          <w:p w14:paraId="7FB0932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6、支持局部擦除与大面积整体擦除两种擦除方式。</w:t>
            </w:r>
          </w:p>
          <w:p w14:paraId="4E411F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7、板书在无外力擦除情况下可长期留存，支持随时擦除。</w:t>
            </w:r>
          </w:p>
          <w:p w14:paraId="60D198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五、内置教学软件功能要求</w:t>
            </w:r>
          </w:p>
          <w:p w14:paraId="32F10D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（一）教学白板软件电脑端</w:t>
            </w:r>
          </w:p>
          <w:p w14:paraId="781A386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1、支持为教师分配独立账号，建立学校教学账号体系；账号关联校本资源库，支持账号、二维码、硬件密钥多种登录方式。</w:t>
            </w:r>
          </w:p>
          <w:p w14:paraId="6FDDE5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2、互动课件支持云分享，可生成公开或加密链接、二维码，支持设置访问有效期。</w:t>
            </w:r>
          </w:p>
          <w:p w14:paraId="6326557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3、教案支持云端自动同步，支持链接形式分享，支持浏览器、微信直接预览。</w:t>
            </w:r>
          </w:p>
          <w:p w14:paraId="56F9663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4、具备校本资源库，支持课件、教案、多媒体上传共建共享，支持多条件检索，备课可直接调用库内资源。</w:t>
            </w:r>
          </w:p>
          <w:p w14:paraId="75E46EF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5、支持线上听评课，授课过程可生成评课二维码，支持扫码评课、附件获取，支持导出听课记录与评课报告。</w:t>
            </w:r>
          </w:p>
          <w:p w14:paraId="6BA914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6、支持线上集体备课，支持邀请校内外教师参与研讨，支持课件版本对比、研讨内容回溯。</w:t>
            </w:r>
          </w:p>
          <w:p w14:paraId="6E6C3C8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7、集体备课定稿自动归档至校本资源库，自动生成备课研讨报告。</w:t>
            </w:r>
          </w:p>
          <w:p w14:paraId="3CF1B14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（二）教学白板软件直播工具</w:t>
            </w:r>
          </w:p>
          <w:p w14:paraId="600F89F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1、支持一键发起直播，生成访问二维码，学生微信扫码即可听课，无需安装独立 APP。</w:t>
            </w:r>
          </w:p>
          <w:p w14:paraId="0CB09D5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2、内置在线答题工具，支持答题数据自动统计。</w:t>
            </w:r>
          </w:p>
          <w:p w14:paraId="63F537D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3、支持远程学生互动，可授权学生在课件上书写操作，支持不少于 5 位学生同时互动。</w:t>
            </w:r>
          </w:p>
          <w:p w14:paraId="78F85C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4、直播结束自动统计学生考勤与学习记录。</w:t>
            </w:r>
          </w:p>
          <w:p w14:paraId="48C8FB9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（三）教学白板手机移动端</w:t>
            </w:r>
          </w:p>
          <w:p w14:paraId="7C85086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1、移动端可预览云端课件，支持页面跳转、缩略图查看。</w:t>
            </w:r>
          </w:p>
          <w:p w14:paraId="0C1AEF5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2、支持远程操控课件翻页、播放媒体，支持横竖屏显示，不强制依赖局域网。</w:t>
            </w:r>
          </w:p>
          <w:p w14:paraId="299A66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3、支持课件多渠道分享，分享有效期自定义。</w:t>
            </w:r>
          </w:p>
          <w:p w14:paraId="58237AE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2"/>
                <w:szCs w:val="22"/>
                <w:u w:val="none"/>
                <w:lang w:val="en-US" w:eastAsia="zh-CN" w:bidi="ar-SA"/>
              </w:rPr>
              <w:t>4、移动端支持课件管理：移动、删除、重命名，提供回收站功能。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D5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D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3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D8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0F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w:t>
            </w:r>
          </w:p>
        </w:tc>
      </w:tr>
      <w:tr w14:paraId="2F45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8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8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2377">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学生英语听说考试头戴全封闭式耳机，USB接口，要求兼容学考机考软件。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6B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F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B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02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87DB">
            <w:pPr>
              <w:rPr>
                <w:rFonts w:hint="eastAsia" w:ascii="宋体" w:hAnsi="宋体" w:eastAsia="宋体" w:cs="宋体"/>
                <w:i w:val="0"/>
                <w:iCs w:val="0"/>
                <w:color w:val="000000"/>
                <w:sz w:val="22"/>
                <w:szCs w:val="22"/>
                <w:u w:val="none"/>
              </w:rPr>
            </w:pPr>
          </w:p>
        </w:tc>
      </w:tr>
      <w:tr w14:paraId="6099A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9035">
            <w:pPr>
              <w:jc w:val="center"/>
              <w:rPr>
                <w:rFonts w:hint="eastAsia" w:ascii="宋体" w:hAnsi="宋体" w:eastAsia="宋体" w:cs="宋体"/>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0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FEF7">
            <w:pPr>
              <w:rPr>
                <w:rFonts w:hint="eastAsia" w:ascii="宋体" w:hAnsi="宋体" w:eastAsia="宋体" w:cs="宋体"/>
                <w:i w:val="0"/>
                <w:iCs w:val="0"/>
                <w:color w:val="000000"/>
                <w:sz w:val="22"/>
                <w:szCs w:val="22"/>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8579">
            <w:pPr>
              <w:jc w:val="center"/>
              <w:rPr>
                <w:rFonts w:hint="eastAsia" w:ascii="宋体" w:hAnsi="宋体" w:eastAsia="宋体" w:cs="宋体"/>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38A7">
            <w:pPr>
              <w:jc w:val="center"/>
              <w:rPr>
                <w:rFonts w:hint="eastAsia" w:ascii="宋体" w:hAnsi="宋体" w:eastAsia="宋体" w:cs="宋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A5B4">
            <w:pPr>
              <w:jc w:val="center"/>
              <w:rPr>
                <w:rFonts w:hint="eastAsia" w:ascii="宋体" w:hAnsi="宋体" w:eastAsia="宋体" w:cs="宋体"/>
                <w:i w:val="0"/>
                <w:iCs w:val="0"/>
                <w:color w:val="000000"/>
                <w:sz w:val="22"/>
                <w:szCs w:val="22"/>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0A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FC02">
            <w:pPr>
              <w:rPr>
                <w:rFonts w:hint="eastAsia" w:ascii="宋体" w:hAnsi="宋体" w:eastAsia="宋体" w:cs="宋体"/>
                <w:i w:val="0"/>
                <w:iCs w:val="0"/>
                <w:color w:val="000000"/>
                <w:sz w:val="22"/>
                <w:szCs w:val="22"/>
                <w:u w:val="none"/>
              </w:rPr>
            </w:pPr>
          </w:p>
        </w:tc>
      </w:tr>
    </w:tbl>
    <w:p w14:paraId="3B0D7014">
      <w:pPr>
        <w:keepNext w:val="0"/>
        <w:keepLines w:val="0"/>
        <w:pageBreakBefore w:val="0"/>
        <w:kinsoku/>
        <w:wordWrap/>
        <w:overflowPunct/>
        <w:topLinePunct w:val="0"/>
        <w:autoSpaceDE/>
        <w:autoSpaceDN/>
        <w:bidi w:val="0"/>
        <w:adjustRightInd/>
        <w:snapToGrid/>
        <w:rPr>
          <w:rFonts w:hint="default" w:ascii="宋体" w:hAnsi="宋体" w:cs="宋体"/>
          <w:sz w:val="21"/>
          <w:szCs w:val="21"/>
          <w:lang w:val="en-US" w:eastAsia="zh-CN"/>
          <w14:ligatures w14:val="none"/>
        </w:rPr>
      </w:pPr>
    </w:p>
    <w:sectPr>
      <w:pgSz w:w="16838" w:h="11906" w:orient="landscape"/>
      <w:pgMar w:top="1689" w:right="1440" w:bottom="168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Kingsoft UE">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Aptos">
    <w:altName w:val="Segoe Print"/>
    <w:panose1 w:val="00000000000000000000"/>
    <w:charset w:val="00"/>
    <w:family w:val="swiss"/>
    <w:pitch w:val="default"/>
    <w:sig w:usb0="00000000" w:usb1="00000000" w:usb2="00000000"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EC68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E83F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1E83F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71BF4"/>
    <w:multiLevelType w:val="singleLevel"/>
    <w:tmpl w:val="55271BF4"/>
    <w:lvl w:ilvl="0" w:tentative="0">
      <w:start w:val="1"/>
      <w:numFmt w:val="decimal"/>
      <w:suff w:val="nothing"/>
      <w:lvlText w:val="%1、"/>
      <w:lvlJc w:val="left"/>
    </w:lvl>
  </w:abstractNum>
  <w:abstractNum w:abstractNumId="1">
    <w:nsid w:val="64793C4C"/>
    <w:multiLevelType w:val="singleLevel"/>
    <w:tmpl w:val="64793C4C"/>
    <w:lvl w:ilvl="0" w:tentative="0">
      <w:start w:val="1"/>
      <w:numFmt w:val="decimal"/>
      <w:suff w:val="nothing"/>
      <w:lvlText w:val="%1、"/>
      <w:lvlJc w:val="left"/>
    </w:lvl>
  </w:abstractNum>
  <w:abstractNum w:abstractNumId="2">
    <w:nsid w:val="6D5D5510"/>
    <w:multiLevelType w:val="singleLevel"/>
    <w:tmpl w:val="6D5D5510"/>
    <w:lvl w:ilvl="0" w:tentative="0">
      <w:start w:val="2"/>
      <w:numFmt w:val="chineseCounting"/>
      <w:suff w:val="space"/>
      <w:lvlText w:val="第%1节"/>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64E69"/>
    <w:rsid w:val="01101F9F"/>
    <w:rsid w:val="0117225E"/>
    <w:rsid w:val="01D34B7C"/>
    <w:rsid w:val="01E0373D"/>
    <w:rsid w:val="01F176F8"/>
    <w:rsid w:val="01FF3BC3"/>
    <w:rsid w:val="02067EB0"/>
    <w:rsid w:val="02186A33"/>
    <w:rsid w:val="025F4662"/>
    <w:rsid w:val="02720839"/>
    <w:rsid w:val="02750329"/>
    <w:rsid w:val="0278113F"/>
    <w:rsid w:val="02C10E79"/>
    <w:rsid w:val="02DC3C61"/>
    <w:rsid w:val="03116A54"/>
    <w:rsid w:val="032D4760"/>
    <w:rsid w:val="035166A0"/>
    <w:rsid w:val="035A404C"/>
    <w:rsid w:val="03DE5FDE"/>
    <w:rsid w:val="03F62DA4"/>
    <w:rsid w:val="04762137"/>
    <w:rsid w:val="04770389"/>
    <w:rsid w:val="05164ADC"/>
    <w:rsid w:val="052D0385"/>
    <w:rsid w:val="05340028"/>
    <w:rsid w:val="053E2C54"/>
    <w:rsid w:val="05663F59"/>
    <w:rsid w:val="057F6DC9"/>
    <w:rsid w:val="05A607FA"/>
    <w:rsid w:val="05E51322"/>
    <w:rsid w:val="0644429B"/>
    <w:rsid w:val="069845E6"/>
    <w:rsid w:val="06CE1DB6"/>
    <w:rsid w:val="06F15AA5"/>
    <w:rsid w:val="07117EF5"/>
    <w:rsid w:val="072A7934"/>
    <w:rsid w:val="076444C8"/>
    <w:rsid w:val="07854B6B"/>
    <w:rsid w:val="078968D9"/>
    <w:rsid w:val="07A34FF1"/>
    <w:rsid w:val="07D72EEC"/>
    <w:rsid w:val="09114E82"/>
    <w:rsid w:val="09CA2D09"/>
    <w:rsid w:val="09D771D4"/>
    <w:rsid w:val="0A2C5771"/>
    <w:rsid w:val="0A6D7B38"/>
    <w:rsid w:val="0A8C7FBE"/>
    <w:rsid w:val="0B1D330C"/>
    <w:rsid w:val="0B2FE932"/>
    <w:rsid w:val="0B8B471A"/>
    <w:rsid w:val="0B9F1F73"/>
    <w:rsid w:val="0BAFD1BA"/>
    <w:rsid w:val="0BF8129B"/>
    <w:rsid w:val="0BFFB7BF"/>
    <w:rsid w:val="0BFFD97C"/>
    <w:rsid w:val="0CBB4B8B"/>
    <w:rsid w:val="0CDD71F7"/>
    <w:rsid w:val="0D865199"/>
    <w:rsid w:val="0E431068"/>
    <w:rsid w:val="0E8B67DF"/>
    <w:rsid w:val="0EA224A6"/>
    <w:rsid w:val="0EFB5712"/>
    <w:rsid w:val="0F1F3AF7"/>
    <w:rsid w:val="0F916077"/>
    <w:rsid w:val="0FC5CB71"/>
    <w:rsid w:val="0FFE155F"/>
    <w:rsid w:val="110C3C07"/>
    <w:rsid w:val="115A7068"/>
    <w:rsid w:val="1173012A"/>
    <w:rsid w:val="11B423B2"/>
    <w:rsid w:val="12521AED"/>
    <w:rsid w:val="12CF75E2"/>
    <w:rsid w:val="12D61137"/>
    <w:rsid w:val="130A686C"/>
    <w:rsid w:val="133E6515"/>
    <w:rsid w:val="138C7281"/>
    <w:rsid w:val="1396BF00"/>
    <w:rsid w:val="147541B9"/>
    <w:rsid w:val="149547D4"/>
    <w:rsid w:val="14D25167"/>
    <w:rsid w:val="14FE7D29"/>
    <w:rsid w:val="154020D1"/>
    <w:rsid w:val="15AA1C40"/>
    <w:rsid w:val="15B91E83"/>
    <w:rsid w:val="15CA5E3E"/>
    <w:rsid w:val="15EE09F8"/>
    <w:rsid w:val="166E2C6E"/>
    <w:rsid w:val="16BE1E47"/>
    <w:rsid w:val="16CB5E37"/>
    <w:rsid w:val="17654071"/>
    <w:rsid w:val="177F9B28"/>
    <w:rsid w:val="17C70888"/>
    <w:rsid w:val="17D3547E"/>
    <w:rsid w:val="17EFCC34"/>
    <w:rsid w:val="17F795C0"/>
    <w:rsid w:val="17FF64DA"/>
    <w:rsid w:val="17FFA919"/>
    <w:rsid w:val="18133ACD"/>
    <w:rsid w:val="18351C95"/>
    <w:rsid w:val="18786026"/>
    <w:rsid w:val="18F385D3"/>
    <w:rsid w:val="199E386A"/>
    <w:rsid w:val="19CE05F3"/>
    <w:rsid w:val="19D96E34"/>
    <w:rsid w:val="1A143B2C"/>
    <w:rsid w:val="1A7FCC81"/>
    <w:rsid w:val="1AC92B69"/>
    <w:rsid w:val="1ACB068F"/>
    <w:rsid w:val="1B1C5712"/>
    <w:rsid w:val="1B293607"/>
    <w:rsid w:val="1B7F018A"/>
    <w:rsid w:val="1BF32ED3"/>
    <w:rsid w:val="1BF9A119"/>
    <w:rsid w:val="1C5446B4"/>
    <w:rsid w:val="1C5A43C0"/>
    <w:rsid w:val="1C626DD1"/>
    <w:rsid w:val="1D3F5364"/>
    <w:rsid w:val="1D5B580A"/>
    <w:rsid w:val="1D7274E7"/>
    <w:rsid w:val="1D96EA9E"/>
    <w:rsid w:val="1DEB22C8"/>
    <w:rsid w:val="1E37428D"/>
    <w:rsid w:val="1E391DB3"/>
    <w:rsid w:val="1E3B765E"/>
    <w:rsid w:val="1E407E50"/>
    <w:rsid w:val="1E7D2555"/>
    <w:rsid w:val="1E9B481C"/>
    <w:rsid w:val="1EB96B25"/>
    <w:rsid w:val="1ECE699F"/>
    <w:rsid w:val="1EFBE1C9"/>
    <w:rsid w:val="1F8B2AE2"/>
    <w:rsid w:val="1FBF3D40"/>
    <w:rsid w:val="1FDB5818"/>
    <w:rsid w:val="1FDD84D9"/>
    <w:rsid w:val="1FDFEF17"/>
    <w:rsid w:val="1FE65F6B"/>
    <w:rsid w:val="1FF773C4"/>
    <w:rsid w:val="1FFF7BDF"/>
    <w:rsid w:val="210C39F0"/>
    <w:rsid w:val="211508B6"/>
    <w:rsid w:val="2136082C"/>
    <w:rsid w:val="214D44F3"/>
    <w:rsid w:val="21F93D33"/>
    <w:rsid w:val="22244B28"/>
    <w:rsid w:val="22511DC1"/>
    <w:rsid w:val="228A7081"/>
    <w:rsid w:val="22D64075"/>
    <w:rsid w:val="23357028"/>
    <w:rsid w:val="23452FA8"/>
    <w:rsid w:val="23476D20"/>
    <w:rsid w:val="23922691"/>
    <w:rsid w:val="23955CDE"/>
    <w:rsid w:val="23977CA8"/>
    <w:rsid w:val="239B0E1A"/>
    <w:rsid w:val="239DF444"/>
    <w:rsid w:val="23A91789"/>
    <w:rsid w:val="23E629DD"/>
    <w:rsid w:val="24134E54"/>
    <w:rsid w:val="2453643C"/>
    <w:rsid w:val="24AC1531"/>
    <w:rsid w:val="24E707BB"/>
    <w:rsid w:val="25487D45"/>
    <w:rsid w:val="257D4C7B"/>
    <w:rsid w:val="25AC1C37"/>
    <w:rsid w:val="266E5208"/>
    <w:rsid w:val="267442D0"/>
    <w:rsid w:val="26AD5D6A"/>
    <w:rsid w:val="26C37006"/>
    <w:rsid w:val="27271343"/>
    <w:rsid w:val="27379224"/>
    <w:rsid w:val="279B763B"/>
    <w:rsid w:val="27AE55C0"/>
    <w:rsid w:val="27EF6E8D"/>
    <w:rsid w:val="27FD8A49"/>
    <w:rsid w:val="285443B9"/>
    <w:rsid w:val="285C14C0"/>
    <w:rsid w:val="28812CEF"/>
    <w:rsid w:val="28A80261"/>
    <w:rsid w:val="296543A4"/>
    <w:rsid w:val="29673C78"/>
    <w:rsid w:val="29CA4207"/>
    <w:rsid w:val="29EE6D85"/>
    <w:rsid w:val="29F67AC5"/>
    <w:rsid w:val="2AB1AC87"/>
    <w:rsid w:val="2AE9007F"/>
    <w:rsid w:val="2AFF70FB"/>
    <w:rsid w:val="2B74267D"/>
    <w:rsid w:val="2B91322F"/>
    <w:rsid w:val="2BE853E3"/>
    <w:rsid w:val="2BFF4E63"/>
    <w:rsid w:val="2C5F332D"/>
    <w:rsid w:val="2C736DD8"/>
    <w:rsid w:val="2C7D37B3"/>
    <w:rsid w:val="2CAD5E46"/>
    <w:rsid w:val="2D938302"/>
    <w:rsid w:val="2DB15075"/>
    <w:rsid w:val="2DFFC1A6"/>
    <w:rsid w:val="2E840E29"/>
    <w:rsid w:val="2EE14230"/>
    <w:rsid w:val="2F1A353B"/>
    <w:rsid w:val="2F8F5A69"/>
    <w:rsid w:val="2FB1650D"/>
    <w:rsid w:val="2FE06533"/>
    <w:rsid w:val="2FEF18A5"/>
    <w:rsid w:val="2FF7EF85"/>
    <w:rsid w:val="2FF9BECF"/>
    <w:rsid w:val="2FFC510C"/>
    <w:rsid w:val="2FFFBC83"/>
    <w:rsid w:val="309537C1"/>
    <w:rsid w:val="30D065A7"/>
    <w:rsid w:val="30DA2552"/>
    <w:rsid w:val="31291999"/>
    <w:rsid w:val="3152520E"/>
    <w:rsid w:val="315E1E05"/>
    <w:rsid w:val="31F0593E"/>
    <w:rsid w:val="32171FB4"/>
    <w:rsid w:val="32870EE7"/>
    <w:rsid w:val="32D700C1"/>
    <w:rsid w:val="32DD6165"/>
    <w:rsid w:val="33751688"/>
    <w:rsid w:val="33B51F64"/>
    <w:rsid w:val="33C9FE26"/>
    <w:rsid w:val="33CF2B46"/>
    <w:rsid w:val="33E04D53"/>
    <w:rsid w:val="33FF1B3C"/>
    <w:rsid w:val="340A6274"/>
    <w:rsid w:val="34316ACF"/>
    <w:rsid w:val="34394463"/>
    <w:rsid w:val="345E3ECA"/>
    <w:rsid w:val="34675474"/>
    <w:rsid w:val="34721813"/>
    <w:rsid w:val="34F36426"/>
    <w:rsid w:val="352A0B39"/>
    <w:rsid w:val="3538296D"/>
    <w:rsid w:val="35523A2F"/>
    <w:rsid w:val="35B60DDC"/>
    <w:rsid w:val="35EECEF4"/>
    <w:rsid w:val="35F5260C"/>
    <w:rsid w:val="361A2073"/>
    <w:rsid w:val="367D3462"/>
    <w:rsid w:val="36FA5B2B"/>
    <w:rsid w:val="37046FAB"/>
    <w:rsid w:val="375861D4"/>
    <w:rsid w:val="377F8585"/>
    <w:rsid w:val="378FF5CA"/>
    <w:rsid w:val="37955E55"/>
    <w:rsid w:val="379E5AF2"/>
    <w:rsid w:val="37AC38FA"/>
    <w:rsid w:val="37BCCF6B"/>
    <w:rsid w:val="37BFEF3C"/>
    <w:rsid w:val="37DFC3C4"/>
    <w:rsid w:val="37EA4075"/>
    <w:rsid w:val="37FBE426"/>
    <w:rsid w:val="37FFD9F7"/>
    <w:rsid w:val="382B67B9"/>
    <w:rsid w:val="387657B2"/>
    <w:rsid w:val="3877E69F"/>
    <w:rsid w:val="38BC5561"/>
    <w:rsid w:val="38C84008"/>
    <w:rsid w:val="38CA5FD2"/>
    <w:rsid w:val="38DF9A79"/>
    <w:rsid w:val="390C2146"/>
    <w:rsid w:val="39180AEB"/>
    <w:rsid w:val="39203E44"/>
    <w:rsid w:val="39414E99"/>
    <w:rsid w:val="39423DBA"/>
    <w:rsid w:val="395D0BF4"/>
    <w:rsid w:val="3A0325ED"/>
    <w:rsid w:val="3A053765"/>
    <w:rsid w:val="3A6FFA75"/>
    <w:rsid w:val="3AA06FEA"/>
    <w:rsid w:val="3AA85CCA"/>
    <w:rsid w:val="3B586F45"/>
    <w:rsid w:val="3B862684"/>
    <w:rsid w:val="3BE611F4"/>
    <w:rsid w:val="3BFD055F"/>
    <w:rsid w:val="3BFD9490"/>
    <w:rsid w:val="3BFF2436"/>
    <w:rsid w:val="3BFF3921"/>
    <w:rsid w:val="3C79127D"/>
    <w:rsid w:val="3CA64660"/>
    <w:rsid w:val="3CB70FBA"/>
    <w:rsid w:val="3CC15B0F"/>
    <w:rsid w:val="3D0F007C"/>
    <w:rsid w:val="3D115F7D"/>
    <w:rsid w:val="3D7DD3FC"/>
    <w:rsid w:val="3D874491"/>
    <w:rsid w:val="3DB4619C"/>
    <w:rsid w:val="3DE76564"/>
    <w:rsid w:val="3DED5014"/>
    <w:rsid w:val="3DF3E363"/>
    <w:rsid w:val="3E734A16"/>
    <w:rsid w:val="3E7E1C14"/>
    <w:rsid w:val="3ECB4852"/>
    <w:rsid w:val="3ED5EC7F"/>
    <w:rsid w:val="3EDAD522"/>
    <w:rsid w:val="3EF79C96"/>
    <w:rsid w:val="3EFF67FA"/>
    <w:rsid w:val="3EFFE099"/>
    <w:rsid w:val="3F33E181"/>
    <w:rsid w:val="3F4B35D8"/>
    <w:rsid w:val="3F7ECB04"/>
    <w:rsid w:val="3FBF89F6"/>
    <w:rsid w:val="3FBFD8CF"/>
    <w:rsid w:val="3FDF6807"/>
    <w:rsid w:val="3FF6AB14"/>
    <w:rsid w:val="3FF72339"/>
    <w:rsid w:val="3FFA62AF"/>
    <w:rsid w:val="3FFB4CC3"/>
    <w:rsid w:val="3FFBB248"/>
    <w:rsid w:val="3FFBB63C"/>
    <w:rsid w:val="3FFD038B"/>
    <w:rsid w:val="3FFD6FFE"/>
    <w:rsid w:val="3FFD8F82"/>
    <w:rsid w:val="3FFD9444"/>
    <w:rsid w:val="3FFFE9BF"/>
    <w:rsid w:val="40026051"/>
    <w:rsid w:val="405C1C05"/>
    <w:rsid w:val="424C7A58"/>
    <w:rsid w:val="42562684"/>
    <w:rsid w:val="43210EE4"/>
    <w:rsid w:val="43340C18"/>
    <w:rsid w:val="43454BD3"/>
    <w:rsid w:val="437637B2"/>
    <w:rsid w:val="43AA105C"/>
    <w:rsid w:val="43C55D14"/>
    <w:rsid w:val="442D15C1"/>
    <w:rsid w:val="446E0159"/>
    <w:rsid w:val="449C6B43"/>
    <w:rsid w:val="44B65E49"/>
    <w:rsid w:val="453B55E7"/>
    <w:rsid w:val="45561319"/>
    <w:rsid w:val="45CD7101"/>
    <w:rsid w:val="469B476A"/>
    <w:rsid w:val="46A240EA"/>
    <w:rsid w:val="46BB2C1D"/>
    <w:rsid w:val="46CC1167"/>
    <w:rsid w:val="46F26E20"/>
    <w:rsid w:val="46FA6C07"/>
    <w:rsid w:val="46FDF593"/>
    <w:rsid w:val="471D19C3"/>
    <w:rsid w:val="47AD0F98"/>
    <w:rsid w:val="47AD2D46"/>
    <w:rsid w:val="47C75E62"/>
    <w:rsid w:val="47DC0AE2"/>
    <w:rsid w:val="47E00D15"/>
    <w:rsid w:val="47F22E4F"/>
    <w:rsid w:val="48221986"/>
    <w:rsid w:val="486E697A"/>
    <w:rsid w:val="48A26623"/>
    <w:rsid w:val="48B56357"/>
    <w:rsid w:val="48BF0F83"/>
    <w:rsid w:val="490B5F77"/>
    <w:rsid w:val="49211C3E"/>
    <w:rsid w:val="49641B2B"/>
    <w:rsid w:val="49A95790"/>
    <w:rsid w:val="49BC0E6C"/>
    <w:rsid w:val="49E44DBB"/>
    <w:rsid w:val="4A045730"/>
    <w:rsid w:val="4A2B43F6"/>
    <w:rsid w:val="4A437992"/>
    <w:rsid w:val="4A5B2F2E"/>
    <w:rsid w:val="4AE01685"/>
    <w:rsid w:val="4B4E65EF"/>
    <w:rsid w:val="4B814C16"/>
    <w:rsid w:val="4BB46D99"/>
    <w:rsid w:val="4BEF1599"/>
    <w:rsid w:val="4C0D2884"/>
    <w:rsid w:val="4C207F8B"/>
    <w:rsid w:val="4C3B3017"/>
    <w:rsid w:val="4C72630D"/>
    <w:rsid w:val="4C7B1665"/>
    <w:rsid w:val="4CBB5F06"/>
    <w:rsid w:val="4CE03BBE"/>
    <w:rsid w:val="4D0E4287"/>
    <w:rsid w:val="4D844549"/>
    <w:rsid w:val="4DCF3FBD"/>
    <w:rsid w:val="4E0D453F"/>
    <w:rsid w:val="4F1E452A"/>
    <w:rsid w:val="4F7F4703"/>
    <w:rsid w:val="4FAF63F5"/>
    <w:rsid w:val="4FC99863"/>
    <w:rsid w:val="4FD95020"/>
    <w:rsid w:val="4FDF1E8B"/>
    <w:rsid w:val="4FE92D16"/>
    <w:rsid w:val="4FEB4D54"/>
    <w:rsid w:val="4FFBA623"/>
    <w:rsid w:val="4FFD9B23"/>
    <w:rsid w:val="4FFFAB4E"/>
    <w:rsid w:val="50354221"/>
    <w:rsid w:val="506A5C79"/>
    <w:rsid w:val="50947199"/>
    <w:rsid w:val="50C616E1"/>
    <w:rsid w:val="50E27F05"/>
    <w:rsid w:val="50E579F5"/>
    <w:rsid w:val="51183927"/>
    <w:rsid w:val="5133250E"/>
    <w:rsid w:val="5164091A"/>
    <w:rsid w:val="519805C3"/>
    <w:rsid w:val="526861E8"/>
    <w:rsid w:val="52CBD44F"/>
    <w:rsid w:val="52FFEEDD"/>
    <w:rsid w:val="533E33EC"/>
    <w:rsid w:val="535350EA"/>
    <w:rsid w:val="5377554D"/>
    <w:rsid w:val="539FF173"/>
    <w:rsid w:val="541A1764"/>
    <w:rsid w:val="5449029B"/>
    <w:rsid w:val="544E58B1"/>
    <w:rsid w:val="548E3F00"/>
    <w:rsid w:val="54B30E83"/>
    <w:rsid w:val="553E26E3"/>
    <w:rsid w:val="555111B5"/>
    <w:rsid w:val="55A6A80B"/>
    <w:rsid w:val="55BD684B"/>
    <w:rsid w:val="55BF00A4"/>
    <w:rsid w:val="56535231"/>
    <w:rsid w:val="567D422C"/>
    <w:rsid w:val="56A417B8"/>
    <w:rsid w:val="56F91344"/>
    <w:rsid w:val="571B5974"/>
    <w:rsid w:val="57315742"/>
    <w:rsid w:val="577949F3"/>
    <w:rsid w:val="577E5B9F"/>
    <w:rsid w:val="57BBD06E"/>
    <w:rsid w:val="57FCE0DD"/>
    <w:rsid w:val="57FCF654"/>
    <w:rsid w:val="585F989E"/>
    <w:rsid w:val="58E44E48"/>
    <w:rsid w:val="59044790"/>
    <w:rsid w:val="59376914"/>
    <w:rsid w:val="593A6196"/>
    <w:rsid w:val="593C217C"/>
    <w:rsid w:val="598D0C2A"/>
    <w:rsid w:val="59A73A9A"/>
    <w:rsid w:val="5A398259"/>
    <w:rsid w:val="5A79A870"/>
    <w:rsid w:val="5A7C5F07"/>
    <w:rsid w:val="5A89319F"/>
    <w:rsid w:val="5A903F47"/>
    <w:rsid w:val="5AEB8E12"/>
    <w:rsid w:val="5AF5E932"/>
    <w:rsid w:val="5B7FEFD6"/>
    <w:rsid w:val="5B90055D"/>
    <w:rsid w:val="5BDBBB32"/>
    <w:rsid w:val="5BFEEA81"/>
    <w:rsid w:val="5BFF4A51"/>
    <w:rsid w:val="5C3B496D"/>
    <w:rsid w:val="5C4BE87B"/>
    <w:rsid w:val="5C533A65"/>
    <w:rsid w:val="5C545A2F"/>
    <w:rsid w:val="5C58551F"/>
    <w:rsid w:val="5C7E78AF"/>
    <w:rsid w:val="5CC77505"/>
    <w:rsid w:val="5CC92CA0"/>
    <w:rsid w:val="5CDC1F52"/>
    <w:rsid w:val="5CFF1E3E"/>
    <w:rsid w:val="5CFF79DC"/>
    <w:rsid w:val="5D1B92F7"/>
    <w:rsid w:val="5D5BB97D"/>
    <w:rsid w:val="5D9592C9"/>
    <w:rsid w:val="5DFDAA56"/>
    <w:rsid w:val="5E1436C8"/>
    <w:rsid w:val="5E251431"/>
    <w:rsid w:val="5E6FAF19"/>
    <w:rsid w:val="5EA54320"/>
    <w:rsid w:val="5EAC56AE"/>
    <w:rsid w:val="5EBD506E"/>
    <w:rsid w:val="5ECF3C78"/>
    <w:rsid w:val="5ECFEDE5"/>
    <w:rsid w:val="5EFAD11F"/>
    <w:rsid w:val="5EFBBB93"/>
    <w:rsid w:val="5F2F5FB7"/>
    <w:rsid w:val="5F39B9F3"/>
    <w:rsid w:val="5F3D7188"/>
    <w:rsid w:val="5F3F08E1"/>
    <w:rsid w:val="5F47332C"/>
    <w:rsid w:val="5F4B8F0B"/>
    <w:rsid w:val="5F5F4CBE"/>
    <w:rsid w:val="5F7F60E1"/>
    <w:rsid w:val="5FB62D22"/>
    <w:rsid w:val="5FB764D6"/>
    <w:rsid w:val="5FBD7E91"/>
    <w:rsid w:val="5FBF2EA3"/>
    <w:rsid w:val="5FD70E51"/>
    <w:rsid w:val="5FD81C0F"/>
    <w:rsid w:val="5FE5B56C"/>
    <w:rsid w:val="5FE7DF3B"/>
    <w:rsid w:val="5FED9D0B"/>
    <w:rsid w:val="5FF2C63D"/>
    <w:rsid w:val="5FFB25F8"/>
    <w:rsid w:val="5FFB566B"/>
    <w:rsid w:val="5FFD12F1"/>
    <w:rsid w:val="5FFE4F47"/>
    <w:rsid w:val="5FFF5AED"/>
    <w:rsid w:val="600F460B"/>
    <w:rsid w:val="60340051"/>
    <w:rsid w:val="61500EBB"/>
    <w:rsid w:val="61903065"/>
    <w:rsid w:val="61BE016E"/>
    <w:rsid w:val="61EE5FDE"/>
    <w:rsid w:val="61FF5C01"/>
    <w:rsid w:val="62265778"/>
    <w:rsid w:val="62606EDB"/>
    <w:rsid w:val="62791D4B"/>
    <w:rsid w:val="62D84CC4"/>
    <w:rsid w:val="63163A3E"/>
    <w:rsid w:val="632117EE"/>
    <w:rsid w:val="6331FBF4"/>
    <w:rsid w:val="636B229C"/>
    <w:rsid w:val="63F1FC2D"/>
    <w:rsid w:val="64335F3B"/>
    <w:rsid w:val="646627A3"/>
    <w:rsid w:val="64C22A1F"/>
    <w:rsid w:val="64CF20F6"/>
    <w:rsid w:val="64EC4A56"/>
    <w:rsid w:val="65165F77"/>
    <w:rsid w:val="651E6BDA"/>
    <w:rsid w:val="65BD2897"/>
    <w:rsid w:val="65BF1FBE"/>
    <w:rsid w:val="65C43C25"/>
    <w:rsid w:val="65CC4888"/>
    <w:rsid w:val="65DFF424"/>
    <w:rsid w:val="65E90499"/>
    <w:rsid w:val="663B3A8B"/>
    <w:rsid w:val="669058B5"/>
    <w:rsid w:val="66C0619B"/>
    <w:rsid w:val="66D71736"/>
    <w:rsid w:val="67746F85"/>
    <w:rsid w:val="677B504B"/>
    <w:rsid w:val="67D7D1EB"/>
    <w:rsid w:val="67EFD65E"/>
    <w:rsid w:val="67F67A1E"/>
    <w:rsid w:val="6894168D"/>
    <w:rsid w:val="68ED5241"/>
    <w:rsid w:val="69801C11"/>
    <w:rsid w:val="69872FA0"/>
    <w:rsid w:val="69EE07EF"/>
    <w:rsid w:val="69EE74C3"/>
    <w:rsid w:val="6A1231B1"/>
    <w:rsid w:val="6A433D44"/>
    <w:rsid w:val="6A9149CA"/>
    <w:rsid w:val="6AD55F8D"/>
    <w:rsid w:val="6AEF321A"/>
    <w:rsid w:val="6AF234BF"/>
    <w:rsid w:val="6B777044"/>
    <w:rsid w:val="6B787348"/>
    <w:rsid w:val="6B7C465A"/>
    <w:rsid w:val="6B970EBD"/>
    <w:rsid w:val="6BDB4CD0"/>
    <w:rsid w:val="6BEF3910"/>
    <w:rsid w:val="6BF12F5C"/>
    <w:rsid w:val="6BF742E1"/>
    <w:rsid w:val="6BF7D237"/>
    <w:rsid w:val="6BFB3F90"/>
    <w:rsid w:val="6BFFD0BC"/>
    <w:rsid w:val="6BFFE28F"/>
    <w:rsid w:val="6C3BFCAD"/>
    <w:rsid w:val="6C9F437E"/>
    <w:rsid w:val="6CA43E69"/>
    <w:rsid w:val="6CCD7863"/>
    <w:rsid w:val="6CDA5ADC"/>
    <w:rsid w:val="6CF50B68"/>
    <w:rsid w:val="6DCA5B51"/>
    <w:rsid w:val="6DD78432"/>
    <w:rsid w:val="6DDF2B6C"/>
    <w:rsid w:val="6DF57AD8"/>
    <w:rsid w:val="6DFFEDB6"/>
    <w:rsid w:val="6E027099"/>
    <w:rsid w:val="6E55486A"/>
    <w:rsid w:val="6E6B5CD7"/>
    <w:rsid w:val="6E7F90E7"/>
    <w:rsid w:val="6EBE3769"/>
    <w:rsid w:val="6ECF35E5"/>
    <w:rsid w:val="6EEB8C37"/>
    <w:rsid w:val="6EEF6856"/>
    <w:rsid w:val="6F03131A"/>
    <w:rsid w:val="6F2E3EBD"/>
    <w:rsid w:val="6F5F8FCB"/>
    <w:rsid w:val="6F7DF52C"/>
    <w:rsid w:val="6F7ED990"/>
    <w:rsid w:val="6FAA3E8C"/>
    <w:rsid w:val="6FB42615"/>
    <w:rsid w:val="6FB5AA4E"/>
    <w:rsid w:val="6FBF9882"/>
    <w:rsid w:val="6FCFF9F8"/>
    <w:rsid w:val="6FDD7026"/>
    <w:rsid w:val="6FE780F4"/>
    <w:rsid w:val="6FED4112"/>
    <w:rsid w:val="6FF7284A"/>
    <w:rsid w:val="6FFBC3CB"/>
    <w:rsid w:val="6FFE65BF"/>
    <w:rsid w:val="6FFF2F0F"/>
    <w:rsid w:val="6FFF4438"/>
    <w:rsid w:val="6FFFC77E"/>
    <w:rsid w:val="6FFFFE98"/>
    <w:rsid w:val="70A64653"/>
    <w:rsid w:val="70AE52B6"/>
    <w:rsid w:val="70EC5DDE"/>
    <w:rsid w:val="70FD7FEB"/>
    <w:rsid w:val="71784FCD"/>
    <w:rsid w:val="71864485"/>
    <w:rsid w:val="7193DF04"/>
    <w:rsid w:val="71F15DA2"/>
    <w:rsid w:val="722A4E10"/>
    <w:rsid w:val="722C0B88"/>
    <w:rsid w:val="723ED12D"/>
    <w:rsid w:val="724F000B"/>
    <w:rsid w:val="72620A4E"/>
    <w:rsid w:val="72842772"/>
    <w:rsid w:val="72AA7CFF"/>
    <w:rsid w:val="72CFC69E"/>
    <w:rsid w:val="72EF7C9A"/>
    <w:rsid w:val="72FF0251"/>
    <w:rsid w:val="73661E78"/>
    <w:rsid w:val="73679990"/>
    <w:rsid w:val="7375030D"/>
    <w:rsid w:val="737B58BC"/>
    <w:rsid w:val="737FE521"/>
    <w:rsid w:val="73AF31E2"/>
    <w:rsid w:val="73AF6D22"/>
    <w:rsid w:val="73E84F83"/>
    <w:rsid w:val="73EE7B89"/>
    <w:rsid w:val="73F684EF"/>
    <w:rsid w:val="73FD3630"/>
    <w:rsid w:val="73FE9E15"/>
    <w:rsid w:val="73FF119D"/>
    <w:rsid w:val="74980757"/>
    <w:rsid w:val="74DD43BC"/>
    <w:rsid w:val="74FD4A5E"/>
    <w:rsid w:val="74FECEA0"/>
    <w:rsid w:val="7563248A"/>
    <w:rsid w:val="75AC1927"/>
    <w:rsid w:val="75AE7B06"/>
    <w:rsid w:val="75CF01A8"/>
    <w:rsid w:val="75DF50FB"/>
    <w:rsid w:val="75DFBE98"/>
    <w:rsid w:val="75DFEF4D"/>
    <w:rsid w:val="75EDD22B"/>
    <w:rsid w:val="75EFDCB2"/>
    <w:rsid w:val="75FECD59"/>
    <w:rsid w:val="75FFE0BD"/>
    <w:rsid w:val="760E6FCC"/>
    <w:rsid w:val="762471F0"/>
    <w:rsid w:val="7698DAC5"/>
    <w:rsid w:val="76A827A7"/>
    <w:rsid w:val="76AF0C82"/>
    <w:rsid w:val="76DD9BD6"/>
    <w:rsid w:val="76F65C09"/>
    <w:rsid w:val="76F7FED2"/>
    <w:rsid w:val="76F8E407"/>
    <w:rsid w:val="76FEE4C9"/>
    <w:rsid w:val="7735553D"/>
    <w:rsid w:val="77383B2B"/>
    <w:rsid w:val="773D64A1"/>
    <w:rsid w:val="7746449A"/>
    <w:rsid w:val="775EFA84"/>
    <w:rsid w:val="776787C6"/>
    <w:rsid w:val="779F36F4"/>
    <w:rsid w:val="779F6C27"/>
    <w:rsid w:val="77B93B6C"/>
    <w:rsid w:val="77BC650A"/>
    <w:rsid w:val="77BD5C33"/>
    <w:rsid w:val="77D4A9EB"/>
    <w:rsid w:val="77D921C2"/>
    <w:rsid w:val="77E1D5E9"/>
    <w:rsid w:val="77F6053D"/>
    <w:rsid w:val="77FFEA6F"/>
    <w:rsid w:val="78212811"/>
    <w:rsid w:val="782F4065"/>
    <w:rsid w:val="78650950"/>
    <w:rsid w:val="787D038F"/>
    <w:rsid w:val="78C7FE64"/>
    <w:rsid w:val="794E7636"/>
    <w:rsid w:val="795EC16F"/>
    <w:rsid w:val="7977AF56"/>
    <w:rsid w:val="797F4C93"/>
    <w:rsid w:val="798E74C6"/>
    <w:rsid w:val="79ABBADA"/>
    <w:rsid w:val="79B17BC5"/>
    <w:rsid w:val="79E7F1DD"/>
    <w:rsid w:val="7A7F3138"/>
    <w:rsid w:val="7AB7EB1E"/>
    <w:rsid w:val="7ACC6434"/>
    <w:rsid w:val="7AE71992"/>
    <w:rsid w:val="7AEA2F70"/>
    <w:rsid w:val="7AFD6FD3"/>
    <w:rsid w:val="7AFF9993"/>
    <w:rsid w:val="7AFFA90B"/>
    <w:rsid w:val="7B5BEC98"/>
    <w:rsid w:val="7B6DBE75"/>
    <w:rsid w:val="7B77B026"/>
    <w:rsid w:val="7B7A37B2"/>
    <w:rsid w:val="7B7D49B6"/>
    <w:rsid w:val="7BAFE6EE"/>
    <w:rsid w:val="7BBE17C2"/>
    <w:rsid w:val="7BBF881E"/>
    <w:rsid w:val="7BBFB743"/>
    <w:rsid w:val="7BDA2AD7"/>
    <w:rsid w:val="7BEB7F41"/>
    <w:rsid w:val="7BF1D42F"/>
    <w:rsid w:val="7BFE26BE"/>
    <w:rsid w:val="7BFEB6A3"/>
    <w:rsid w:val="7C1D75EA"/>
    <w:rsid w:val="7C5F0527"/>
    <w:rsid w:val="7CBC0D5A"/>
    <w:rsid w:val="7CBDE9E1"/>
    <w:rsid w:val="7CD7AA68"/>
    <w:rsid w:val="7CE21AF1"/>
    <w:rsid w:val="7CFB6134"/>
    <w:rsid w:val="7D1110A6"/>
    <w:rsid w:val="7DBE8C3C"/>
    <w:rsid w:val="7DBF1FD5"/>
    <w:rsid w:val="7DCEBD42"/>
    <w:rsid w:val="7DDFF4E5"/>
    <w:rsid w:val="7DE467BB"/>
    <w:rsid w:val="7DEB19D5"/>
    <w:rsid w:val="7DEFA70F"/>
    <w:rsid w:val="7DEFD8D3"/>
    <w:rsid w:val="7DF78C72"/>
    <w:rsid w:val="7DF7BB32"/>
    <w:rsid w:val="7DFF149C"/>
    <w:rsid w:val="7DFF3F83"/>
    <w:rsid w:val="7E260B81"/>
    <w:rsid w:val="7E6740C8"/>
    <w:rsid w:val="7E9001B0"/>
    <w:rsid w:val="7EC3BAB9"/>
    <w:rsid w:val="7ED724E7"/>
    <w:rsid w:val="7ED988F9"/>
    <w:rsid w:val="7EDFDADB"/>
    <w:rsid w:val="7EEC1DCB"/>
    <w:rsid w:val="7EEEBCE9"/>
    <w:rsid w:val="7EEECB03"/>
    <w:rsid w:val="7EEF79C9"/>
    <w:rsid w:val="7EEFFD2C"/>
    <w:rsid w:val="7EF5EA6D"/>
    <w:rsid w:val="7EF6AB07"/>
    <w:rsid w:val="7EFF7623"/>
    <w:rsid w:val="7EFFA93F"/>
    <w:rsid w:val="7F2350C1"/>
    <w:rsid w:val="7F2F1651"/>
    <w:rsid w:val="7F3BE235"/>
    <w:rsid w:val="7F5E82C7"/>
    <w:rsid w:val="7F5F143D"/>
    <w:rsid w:val="7F7B61CC"/>
    <w:rsid w:val="7F7DC2A8"/>
    <w:rsid w:val="7F7F7BF0"/>
    <w:rsid w:val="7F7F9D81"/>
    <w:rsid w:val="7F842003"/>
    <w:rsid w:val="7F9E42FF"/>
    <w:rsid w:val="7F9F3C65"/>
    <w:rsid w:val="7FA06711"/>
    <w:rsid w:val="7FAA57E2"/>
    <w:rsid w:val="7FAF4BE0"/>
    <w:rsid w:val="7FB752F3"/>
    <w:rsid w:val="7FBEB43F"/>
    <w:rsid w:val="7FBF4B67"/>
    <w:rsid w:val="7FBFD320"/>
    <w:rsid w:val="7FC7DF0B"/>
    <w:rsid w:val="7FCE5685"/>
    <w:rsid w:val="7FCE5711"/>
    <w:rsid w:val="7FCFADD2"/>
    <w:rsid w:val="7FD304E2"/>
    <w:rsid w:val="7FD591CF"/>
    <w:rsid w:val="7FD7B602"/>
    <w:rsid w:val="7FD7E206"/>
    <w:rsid w:val="7FD8D6A2"/>
    <w:rsid w:val="7FDE0C05"/>
    <w:rsid w:val="7FDE2F64"/>
    <w:rsid w:val="7FDFE301"/>
    <w:rsid w:val="7FDFED28"/>
    <w:rsid w:val="7FE3E55B"/>
    <w:rsid w:val="7FE6FB0C"/>
    <w:rsid w:val="7FEBDDC1"/>
    <w:rsid w:val="7FEF212D"/>
    <w:rsid w:val="7FEF3826"/>
    <w:rsid w:val="7FEFA5A4"/>
    <w:rsid w:val="7FF696FF"/>
    <w:rsid w:val="7FF727C4"/>
    <w:rsid w:val="7FF7603C"/>
    <w:rsid w:val="7FFAE081"/>
    <w:rsid w:val="7FFC33F6"/>
    <w:rsid w:val="7FFCF036"/>
    <w:rsid w:val="7FFD94C1"/>
    <w:rsid w:val="7FFE3BD3"/>
    <w:rsid w:val="7FFE5089"/>
    <w:rsid w:val="7FFF0785"/>
    <w:rsid w:val="7FFFBE81"/>
    <w:rsid w:val="834F2A86"/>
    <w:rsid w:val="89D77C92"/>
    <w:rsid w:val="8B741B8B"/>
    <w:rsid w:val="8BDEE8B1"/>
    <w:rsid w:val="8BFC806D"/>
    <w:rsid w:val="8CFAF2E1"/>
    <w:rsid w:val="8DFA84B6"/>
    <w:rsid w:val="8EF7CD94"/>
    <w:rsid w:val="8FD38B8D"/>
    <w:rsid w:val="90FFD947"/>
    <w:rsid w:val="95BD3F1D"/>
    <w:rsid w:val="95FE156E"/>
    <w:rsid w:val="96ACF153"/>
    <w:rsid w:val="975ABFE8"/>
    <w:rsid w:val="97A7DC5C"/>
    <w:rsid w:val="97DB4184"/>
    <w:rsid w:val="97FF68CA"/>
    <w:rsid w:val="9CA9D509"/>
    <w:rsid w:val="9CF38D51"/>
    <w:rsid w:val="9D6F9EA2"/>
    <w:rsid w:val="9D7EE4D2"/>
    <w:rsid w:val="9EFBC670"/>
    <w:rsid w:val="9F5F2913"/>
    <w:rsid w:val="9FFD6D4A"/>
    <w:rsid w:val="9FFDDABA"/>
    <w:rsid w:val="A13FDF24"/>
    <w:rsid w:val="A7BD580D"/>
    <w:rsid w:val="A7FBF7CD"/>
    <w:rsid w:val="AB76458E"/>
    <w:rsid w:val="ABF746F9"/>
    <w:rsid w:val="AD7375C2"/>
    <w:rsid w:val="ADBB8B31"/>
    <w:rsid w:val="AEBFBC03"/>
    <w:rsid w:val="AED73736"/>
    <w:rsid w:val="AEED6C88"/>
    <w:rsid w:val="AEEE43FB"/>
    <w:rsid w:val="AF692E14"/>
    <w:rsid w:val="AFD63576"/>
    <w:rsid w:val="B1FB9211"/>
    <w:rsid w:val="B2AFC4D5"/>
    <w:rsid w:val="B2F7C092"/>
    <w:rsid w:val="B2FD0D15"/>
    <w:rsid w:val="B3572DDD"/>
    <w:rsid w:val="B3BFD0D5"/>
    <w:rsid w:val="B3DAADBD"/>
    <w:rsid w:val="B4BF48C1"/>
    <w:rsid w:val="B6FF32BB"/>
    <w:rsid w:val="B6FFC3C8"/>
    <w:rsid w:val="B7F391DB"/>
    <w:rsid w:val="B7F767B0"/>
    <w:rsid w:val="B7FD4D53"/>
    <w:rsid w:val="B8BF88A7"/>
    <w:rsid w:val="B91F77CA"/>
    <w:rsid w:val="B9E6DC34"/>
    <w:rsid w:val="B9F32F87"/>
    <w:rsid w:val="BAF24FA0"/>
    <w:rsid w:val="BB5F5332"/>
    <w:rsid w:val="BBD78633"/>
    <w:rsid w:val="BBDD21C9"/>
    <w:rsid w:val="BBDDB9C3"/>
    <w:rsid w:val="BBDF653E"/>
    <w:rsid w:val="BBEB9718"/>
    <w:rsid w:val="BC4F1176"/>
    <w:rsid w:val="BCAE1833"/>
    <w:rsid w:val="BCBDA2FE"/>
    <w:rsid w:val="BDB6512C"/>
    <w:rsid w:val="BE3F87F4"/>
    <w:rsid w:val="BE746278"/>
    <w:rsid w:val="BED5F90F"/>
    <w:rsid w:val="BEDF5CFC"/>
    <w:rsid w:val="BEEFB54B"/>
    <w:rsid w:val="BF1BFF03"/>
    <w:rsid w:val="BF27AB34"/>
    <w:rsid w:val="BF27B5E2"/>
    <w:rsid w:val="BF57E69C"/>
    <w:rsid w:val="BF590C7E"/>
    <w:rsid w:val="BF6B9393"/>
    <w:rsid w:val="BF6F3D36"/>
    <w:rsid w:val="BF7FCF78"/>
    <w:rsid w:val="BF9327CB"/>
    <w:rsid w:val="BF97D94E"/>
    <w:rsid w:val="BFA7A939"/>
    <w:rsid w:val="BFAB9100"/>
    <w:rsid w:val="BFAF0166"/>
    <w:rsid w:val="BFB7C4C3"/>
    <w:rsid w:val="BFD79EA1"/>
    <w:rsid w:val="BFDFCCCC"/>
    <w:rsid w:val="BFEC5BE1"/>
    <w:rsid w:val="BFFB3493"/>
    <w:rsid w:val="BFFDA9C7"/>
    <w:rsid w:val="BFFE8249"/>
    <w:rsid w:val="BFFED25D"/>
    <w:rsid w:val="BFFF8898"/>
    <w:rsid w:val="C3D7B23B"/>
    <w:rsid w:val="C6A6A721"/>
    <w:rsid w:val="C7A2338E"/>
    <w:rsid w:val="C8E46F35"/>
    <w:rsid w:val="CB778293"/>
    <w:rsid w:val="CBC57851"/>
    <w:rsid w:val="CBF7179B"/>
    <w:rsid w:val="CDBE0630"/>
    <w:rsid w:val="CDEE9670"/>
    <w:rsid w:val="CDF9FA1B"/>
    <w:rsid w:val="CDFD6AFD"/>
    <w:rsid w:val="CDFF1DEA"/>
    <w:rsid w:val="CEFD3DFE"/>
    <w:rsid w:val="CEFF47B4"/>
    <w:rsid w:val="CF5987E7"/>
    <w:rsid w:val="CF5F4F3F"/>
    <w:rsid w:val="CF7E7CB9"/>
    <w:rsid w:val="CFBF61E4"/>
    <w:rsid w:val="CFDF5F31"/>
    <w:rsid w:val="CFEEEB2D"/>
    <w:rsid w:val="CFF90681"/>
    <w:rsid w:val="CFFF6271"/>
    <w:rsid w:val="D1FFDC43"/>
    <w:rsid w:val="D37F0702"/>
    <w:rsid w:val="D3BF440A"/>
    <w:rsid w:val="D3FE29DB"/>
    <w:rsid w:val="D53EF25A"/>
    <w:rsid w:val="D5761DB6"/>
    <w:rsid w:val="D5AE936D"/>
    <w:rsid w:val="D5D6C1B7"/>
    <w:rsid w:val="D730F752"/>
    <w:rsid w:val="D77F6B26"/>
    <w:rsid w:val="D7D7342E"/>
    <w:rsid w:val="D7DBE929"/>
    <w:rsid w:val="D7F74800"/>
    <w:rsid w:val="D7FB387D"/>
    <w:rsid w:val="D7FD355A"/>
    <w:rsid w:val="D7FF40FC"/>
    <w:rsid w:val="D9CF6075"/>
    <w:rsid w:val="DA7B1086"/>
    <w:rsid w:val="DB2F4BC6"/>
    <w:rsid w:val="DB5C804C"/>
    <w:rsid w:val="DBB7D260"/>
    <w:rsid w:val="DBB937F8"/>
    <w:rsid w:val="DBBDA332"/>
    <w:rsid w:val="DBCB4F6B"/>
    <w:rsid w:val="DBEB572E"/>
    <w:rsid w:val="DBECBC4B"/>
    <w:rsid w:val="DBF70E86"/>
    <w:rsid w:val="DC3F3CB8"/>
    <w:rsid w:val="DC6E7BB1"/>
    <w:rsid w:val="DC7E9219"/>
    <w:rsid w:val="DCA7B471"/>
    <w:rsid w:val="DCBB5E1C"/>
    <w:rsid w:val="DCBF7420"/>
    <w:rsid w:val="DCFFA541"/>
    <w:rsid w:val="DD1BEF38"/>
    <w:rsid w:val="DD864F72"/>
    <w:rsid w:val="DDB52D2E"/>
    <w:rsid w:val="DDD7057A"/>
    <w:rsid w:val="DDED3571"/>
    <w:rsid w:val="DDFEDF5B"/>
    <w:rsid w:val="DDFF0961"/>
    <w:rsid w:val="DE57E163"/>
    <w:rsid w:val="DE77BFCD"/>
    <w:rsid w:val="DE7F72ED"/>
    <w:rsid w:val="DEFFAF96"/>
    <w:rsid w:val="DF5F7D1B"/>
    <w:rsid w:val="DF77D5E2"/>
    <w:rsid w:val="DF7F20E6"/>
    <w:rsid w:val="DF9BBA59"/>
    <w:rsid w:val="DFADCB43"/>
    <w:rsid w:val="DFB6B3EC"/>
    <w:rsid w:val="DFBF019B"/>
    <w:rsid w:val="DFF6CE59"/>
    <w:rsid w:val="DFFA85B1"/>
    <w:rsid w:val="DFFD05FB"/>
    <w:rsid w:val="DFFF64DD"/>
    <w:rsid w:val="E3A3B699"/>
    <w:rsid w:val="E3E64DDB"/>
    <w:rsid w:val="E45F811D"/>
    <w:rsid w:val="E4B5BBCE"/>
    <w:rsid w:val="E4BFAF2E"/>
    <w:rsid w:val="E6BB9A89"/>
    <w:rsid w:val="E6F1115A"/>
    <w:rsid w:val="E6FD2183"/>
    <w:rsid w:val="E73DE373"/>
    <w:rsid w:val="E7BD1D67"/>
    <w:rsid w:val="E7DD730C"/>
    <w:rsid w:val="E899982F"/>
    <w:rsid w:val="E8FFBCC5"/>
    <w:rsid w:val="EAE2CB3F"/>
    <w:rsid w:val="EAEF59DB"/>
    <w:rsid w:val="EB9FF552"/>
    <w:rsid w:val="EBB49313"/>
    <w:rsid w:val="EBBD93D7"/>
    <w:rsid w:val="EBEE3DC1"/>
    <w:rsid w:val="EBF786A6"/>
    <w:rsid w:val="EBFFD616"/>
    <w:rsid w:val="ED5F964F"/>
    <w:rsid w:val="ED5FC81B"/>
    <w:rsid w:val="ED7FEBF5"/>
    <w:rsid w:val="ED8DCCCD"/>
    <w:rsid w:val="EDBF3FC7"/>
    <w:rsid w:val="EDDA6D05"/>
    <w:rsid w:val="EDEF0F17"/>
    <w:rsid w:val="EDF81660"/>
    <w:rsid w:val="EDFB2FD4"/>
    <w:rsid w:val="EDFF6A48"/>
    <w:rsid w:val="EEBFA291"/>
    <w:rsid w:val="EEC46FFC"/>
    <w:rsid w:val="EEDD0289"/>
    <w:rsid w:val="EF7B8FDD"/>
    <w:rsid w:val="EF990278"/>
    <w:rsid w:val="EFD520FB"/>
    <w:rsid w:val="EFD54837"/>
    <w:rsid w:val="EFDDB8CF"/>
    <w:rsid w:val="EFE72867"/>
    <w:rsid w:val="EFE7C50B"/>
    <w:rsid w:val="EFEFAEC9"/>
    <w:rsid w:val="EFF86075"/>
    <w:rsid w:val="EFF95917"/>
    <w:rsid w:val="EFFBA1FF"/>
    <w:rsid w:val="EFFEBA95"/>
    <w:rsid w:val="F01F1953"/>
    <w:rsid w:val="F13F68EB"/>
    <w:rsid w:val="F18E7292"/>
    <w:rsid w:val="F20FA9B7"/>
    <w:rsid w:val="F32FBBBE"/>
    <w:rsid w:val="F3590022"/>
    <w:rsid w:val="F37EF2C2"/>
    <w:rsid w:val="F3BF9B0F"/>
    <w:rsid w:val="F3DB4EB0"/>
    <w:rsid w:val="F3DFB948"/>
    <w:rsid w:val="F3E3863A"/>
    <w:rsid w:val="F3FF1837"/>
    <w:rsid w:val="F3FF4F91"/>
    <w:rsid w:val="F53FB17B"/>
    <w:rsid w:val="F57EF4F1"/>
    <w:rsid w:val="F5FA6DD9"/>
    <w:rsid w:val="F5FF22F7"/>
    <w:rsid w:val="F5FF4F90"/>
    <w:rsid w:val="F67753C5"/>
    <w:rsid w:val="F6B77D64"/>
    <w:rsid w:val="F6BBD714"/>
    <w:rsid w:val="F6D73263"/>
    <w:rsid w:val="F6DEA835"/>
    <w:rsid w:val="F6F8CC9A"/>
    <w:rsid w:val="F6FD4848"/>
    <w:rsid w:val="F6FFA7DF"/>
    <w:rsid w:val="F76B228E"/>
    <w:rsid w:val="F78D3AE3"/>
    <w:rsid w:val="F78F1BAA"/>
    <w:rsid w:val="F7BDD3F4"/>
    <w:rsid w:val="F7D613D1"/>
    <w:rsid w:val="F7DD73B3"/>
    <w:rsid w:val="F7DFA735"/>
    <w:rsid w:val="F7DFAFC9"/>
    <w:rsid w:val="F7EBC2EA"/>
    <w:rsid w:val="F7EF6A70"/>
    <w:rsid w:val="F7FA12DB"/>
    <w:rsid w:val="F7FB0D95"/>
    <w:rsid w:val="F7FE3947"/>
    <w:rsid w:val="F7FEBB75"/>
    <w:rsid w:val="F91D3C0E"/>
    <w:rsid w:val="F937ED0E"/>
    <w:rsid w:val="F93ADAD1"/>
    <w:rsid w:val="F95BFD11"/>
    <w:rsid w:val="F9B65EA0"/>
    <w:rsid w:val="F9B666BD"/>
    <w:rsid w:val="F9BDB2E0"/>
    <w:rsid w:val="F9CD738E"/>
    <w:rsid w:val="F9DD81F6"/>
    <w:rsid w:val="F9E5F139"/>
    <w:rsid w:val="F9EB9F38"/>
    <w:rsid w:val="F9EFE829"/>
    <w:rsid w:val="F9F868B3"/>
    <w:rsid w:val="F9FED98E"/>
    <w:rsid w:val="FA3F8E47"/>
    <w:rsid w:val="FA6F2729"/>
    <w:rsid w:val="FAEFAC52"/>
    <w:rsid w:val="FAF73115"/>
    <w:rsid w:val="FAF858E3"/>
    <w:rsid w:val="FAFFE3FA"/>
    <w:rsid w:val="FB1F8827"/>
    <w:rsid w:val="FB3D0305"/>
    <w:rsid w:val="FB5B1FCF"/>
    <w:rsid w:val="FB6AB8B9"/>
    <w:rsid w:val="FB8CEB30"/>
    <w:rsid w:val="FBBEA34E"/>
    <w:rsid w:val="FBBF8993"/>
    <w:rsid w:val="FBD3C310"/>
    <w:rsid w:val="FBDEAE2E"/>
    <w:rsid w:val="FBF703DF"/>
    <w:rsid w:val="FBF7DE25"/>
    <w:rsid w:val="FBF7FC19"/>
    <w:rsid w:val="FBF80D12"/>
    <w:rsid w:val="FBFD1481"/>
    <w:rsid w:val="FBFD741A"/>
    <w:rsid w:val="FBFF04D1"/>
    <w:rsid w:val="FBFF0E91"/>
    <w:rsid w:val="FBFF5907"/>
    <w:rsid w:val="FBFF8179"/>
    <w:rsid w:val="FC9BD712"/>
    <w:rsid w:val="FCBFD7AE"/>
    <w:rsid w:val="FCCED85A"/>
    <w:rsid w:val="FCFBF961"/>
    <w:rsid w:val="FCFE0808"/>
    <w:rsid w:val="FCFF09FA"/>
    <w:rsid w:val="FD1B5CE4"/>
    <w:rsid w:val="FD472489"/>
    <w:rsid w:val="FD5E0F09"/>
    <w:rsid w:val="FD6FCD65"/>
    <w:rsid w:val="FD933175"/>
    <w:rsid w:val="FDB7C38D"/>
    <w:rsid w:val="FDD6681A"/>
    <w:rsid w:val="FDDBE09C"/>
    <w:rsid w:val="FDDF01F6"/>
    <w:rsid w:val="FDE85AF6"/>
    <w:rsid w:val="FDEF071B"/>
    <w:rsid w:val="FDF436FA"/>
    <w:rsid w:val="FDF450FF"/>
    <w:rsid w:val="FDFD7973"/>
    <w:rsid w:val="FDFD8DF1"/>
    <w:rsid w:val="FDFDDA31"/>
    <w:rsid w:val="FDFF927E"/>
    <w:rsid w:val="FDFFBDD5"/>
    <w:rsid w:val="FE3F9858"/>
    <w:rsid w:val="FE77D535"/>
    <w:rsid w:val="FE77F6F4"/>
    <w:rsid w:val="FE7F254A"/>
    <w:rsid w:val="FE7FEF29"/>
    <w:rsid w:val="FEBC8647"/>
    <w:rsid w:val="FEDE719C"/>
    <w:rsid w:val="FEDFDA82"/>
    <w:rsid w:val="FEDFFA6E"/>
    <w:rsid w:val="FEF0BB62"/>
    <w:rsid w:val="FEF4CB49"/>
    <w:rsid w:val="FEF7108F"/>
    <w:rsid w:val="FEFB7A07"/>
    <w:rsid w:val="FEFDE808"/>
    <w:rsid w:val="FEFF16A8"/>
    <w:rsid w:val="FEFF9828"/>
    <w:rsid w:val="FF1A073E"/>
    <w:rsid w:val="FF2D0D99"/>
    <w:rsid w:val="FF57DFCD"/>
    <w:rsid w:val="FF5E8AB6"/>
    <w:rsid w:val="FF656A40"/>
    <w:rsid w:val="FF75D2C6"/>
    <w:rsid w:val="FF76697E"/>
    <w:rsid w:val="FF77B89A"/>
    <w:rsid w:val="FF77FA09"/>
    <w:rsid w:val="FF792072"/>
    <w:rsid w:val="FF7B1149"/>
    <w:rsid w:val="FF7BCFF0"/>
    <w:rsid w:val="FF7DDD29"/>
    <w:rsid w:val="FFAF2B8A"/>
    <w:rsid w:val="FFAFDD52"/>
    <w:rsid w:val="FFB51245"/>
    <w:rsid w:val="FFBF23E7"/>
    <w:rsid w:val="FFBF9183"/>
    <w:rsid w:val="FFC1BF9A"/>
    <w:rsid w:val="FFC557D2"/>
    <w:rsid w:val="FFCFAC9B"/>
    <w:rsid w:val="FFD6C772"/>
    <w:rsid w:val="FFDEF3B7"/>
    <w:rsid w:val="FFDF7A73"/>
    <w:rsid w:val="FFE3FC9C"/>
    <w:rsid w:val="FFE68B4D"/>
    <w:rsid w:val="FFEC01EE"/>
    <w:rsid w:val="FFED649B"/>
    <w:rsid w:val="FFEDFFE4"/>
    <w:rsid w:val="FFEF4178"/>
    <w:rsid w:val="FFF1326E"/>
    <w:rsid w:val="FFF21259"/>
    <w:rsid w:val="FFF36C47"/>
    <w:rsid w:val="FFF6310A"/>
    <w:rsid w:val="FFF6DC2F"/>
    <w:rsid w:val="FFF7942D"/>
    <w:rsid w:val="FFF86A11"/>
    <w:rsid w:val="FFFAC368"/>
    <w:rsid w:val="FFFC98EB"/>
    <w:rsid w:val="FFFDFBC6"/>
    <w:rsid w:val="FFFE4EFB"/>
    <w:rsid w:val="FFFE545D"/>
    <w:rsid w:val="FFFF2A98"/>
    <w:rsid w:val="FFFF6200"/>
    <w:rsid w:val="FFFF6705"/>
    <w:rsid w:val="FFFFC86F"/>
    <w:rsid w:val="FFFFE9C5"/>
    <w:rsid w:val="FFFFF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1"/>
    <w:pPr>
      <w:spacing w:before="209"/>
      <w:ind w:left="120"/>
      <w:outlineLvl w:val="1"/>
    </w:pPr>
    <w:rPr>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rPr>
      <w:rFonts w:ascii="Calibri" w:hAnsi="Calibri"/>
    </w:rPr>
  </w:style>
  <w:style w:type="paragraph" w:customStyle="1" w:styleId="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6"/>
    <w:qFormat/>
    <w:uiPriority w:val="99"/>
    <w:pPr>
      <w:ind w:firstLine="420" w:firstLineChars="200"/>
    </w:pPr>
  </w:style>
  <w:style w:type="paragraph" w:customStyle="1" w:styleId="13">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
    <w:name w:val="font21"/>
    <w:basedOn w:val="12"/>
    <w:qFormat/>
    <w:uiPriority w:val="0"/>
    <w:rPr>
      <w:rFonts w:hint="eastAsia" w:ascii="宋体" w:hAnsi="宋体" w:eastAsia="宋体" w:cs="宋体"/>
      <w:color w:val="000000"/>
      <w:sz w:val="21"/>
      <w:szCs w:val="21"/>
      <w:u w:val="none"/>
    </w:rPr>
  </w:style>
  <w:style w:type="character" w:customStyle="1" w:styleId="17">
    <w:name w:val="font61"/>
    <w:basedOn w:val="12"/>
    <w:qFormat/>
    <w:uiPriority w:val="0"/>
    <w:rPr>
      <w:rFonts w:hint="default" w:ascii="Times New Roman" w:hAnsi="Times New Roman" w:cs="Times New Roman"/>
      <w:color w:val="000000"/>
      <w:sz w:val="21"/>
      <w:szCs w:val="21"/>
      <w:u w:val="none"/>
    </w:rPr>
  </w:style>
  <w:style w:type="paragraph" w:customStyle="1" w:styleId="18">
    <w:name w:val="列出段落1"/>
    <w:basedOn w:val="19"/>
    <w:qFormat/>
    <w:uiPriority w:val="99"/>
    <w:pPr>
      <w:ind w:firstLine="420" w:firstLineChars="200"/>
    </w:pPr>
    <w:rPr>
      <w:szCs w:val="21"/>
    </w:rPr>
  </w:style>
  <w:style w:type="paragraph" w:customStyle="1" w:styleId="1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7917</Words>
  <Characters>8542</Characters>
  <Lines>0</Lines>
  <Paragraphs>0</Paragraphs>
  <TotalTime>1</TotalTime>
  <ScaleCrop>false</ScaleCrop>
  <LinksUpToDate>false</LinksUpToDate>
  <CharactersWithSpaces>8830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2025-09-29T20:16:00Z</dcterms:created>
  <dc:creator>飞鸿</dc:creator>
  <cp:lastModifiedBy>颜颜</cp:lastModifiedBy>
  <dcterms:modified xsi:type="dcterms:W3CDTF">2026-10-10T01:32:28Z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0F9CCED09C3742C2B1F0BF58EE3139BB_13</vt:lpwstr>
  </property>
  <property fmtid="{D5CDD505-2E9C-101B-9397-08002B2CF9AE}" pid="4" name="KSOTemplateDocerSaveRecord">
    <vt:lpwstr>eyJoZGlkIjoiOTZjM2E4ODMxYzk3YWRiOTUwY2JlMzc1NGI0ZjAyYzciLCJ1c2VySWQiOiIzNzI2Nzk4NDYifQ==</vt:lpwstr>
  </property>
</Properties>
</file>