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A33AD">
      <w:pPr>
        <w:pStyle w:val="8"/>
        <w:widowControl/>
        <w:spacing w:before="120" w:beforeLines="50" w:after="120" w:afterLines="50" w:line="360" w:lineRule="auto"/>
        <w:jc w:val="center"/>
        <w:rPr>
          <w:rStyle w:val="5"/>
          <w:rFonts w:hint="eastAsia" w:ascii="宋体" w:hAnsi="宋体" w:eastAsia="宋体" w:cs="宋体"/>
          <w:b/>
          <w:bCs/>
          <w:color w:val="auto"/>
          <w:spacing w:val="30"/>
          <w:kern w:val="0"/>
          <w:sz w:val="21"/>
          <w:szCs w:val="21"/>
          <w:lang w:val="en-US" w:eastAsia="zh-CN" w:bidi="ar-SA"/>
        </w:rPr>
      </w:pPr>
      <w:bookmarkStart w:id="0" w:name="EB469f22d861c64ce29b6fd03a79836fb8_0"/>
      <w:r>
        <w:rPr>
          <w:rStyle w:val="5"/>
          <w:rFonts w:hint="eastAsia" w:ascii="黑体" w:hAnsi="黑体" w:eastAsia="黑体" w:cs="黑体"/>
          <w:b/>
          <w:bCs/>
          <w:color w:val="auto"/>
          <w:spacing w:val="30"/>
          <w:kern w:val="0"/>
          <w:sz w:val="28"/>
          <w:szCs w:val="28"/>
          <w:lang w:val="en-US" w:eastAsia="zh-CN" w:bidi="ar-SA"/>
        </w:rPr>
        <w:t>第一节 技术要求</w:t>
      </w:r>
    </w:p>
    <w:p w14:paraId="3AB62077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jc w:val="both"/>
        <w:textAlignment w:val="auto"/>
        <w:outlineLvl w:val="2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4"/>
          <w:szCs w:val="24"/>
          <w:highlight w:val="white"/>
          <w:lang w:eastAsia="en-US"/>
        </w:rPr>
      </w:pPr>
      <w:bookmarkStart w:id="1" w:name="_Toc256000014"/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4"/>
          <w:szCs w:val="24"/>
          <w:highlight w:val="white"/>
          <w:lang w:eastAsia="en-US"/>
        </w:rPr>
        <w:t>采购内容及数量</w:t>
      </w:r>
      <w:bookmarkEnd w:id="1"/>
    </w:p>
    <w:tbl>
      <w:tblPr>
        <w:tblStyle w:val="4"/>
        <w:tblW w:w="8577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3212"/>
        <w:gridCol w:w="1237"/>
        <w:gridCol w:w="2011"/>
        <w:gridCol w:w="1234"/>
      </w:tblGrid>
      <w:tr w14:paraId="11E8F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83" w:type="dxa"/>
            <w:noWrap/>
            <w:vAlign w:val="center"/>
          </w:tcPr>
          <w:p w14:paraId="4C6C88EF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12" w:type="dxa"/>
            <w:noWrap w:val="0"/>
            <w:vAlign w:val="center"/>
          </w:tcPr>
          <w:p w14:paraId="39C015F9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237" w:type="dxa"/>
            <w:noWrap w:val="0"/>
            <w:vAlign w:val="center"/>
          </w:tcPr>
          <w:p w14:paraId="435C6449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011" w:type="dxa"/>
            <w:noWrap w:val="0"/>
            <w:vAlign w:val="center"/>
          </w:tcPr>
          <w:p w14:paraId="6DD732F8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34" w:type="dxa"/>
            <w:noWrap w:val="0"/>
            <w:vAlign w:val="center"/>
          </w:tcPr>
          <w:p w14:paraId="336ED2CB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4A3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3" w:type="dxa"/>
            <w:noWrap/>
            <w:vAlign w:val="center"/>
          </w:tcPr>
          <w:p w14:paraId="6CB19D28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212" w:type="dxa"/>
            <w:noWrap w:val="0"/>
            <w:vAlign w:val="center"/>
          </w:tcPr>
          <w:p w14:paraId="1B7EAC5D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  <w:t>密闭式垃圾箱</w:t>
            </w:r>
          </w:p>
        </w:tc>
        <w:tc>
          <w:tcPr>
            <w:tcW w:w="1237" w:type="dxa"/>
            <w:noWrap w:val="0"/>
            <w:vAlign w:val="center"/>
          </w:tcPr>
          <w:p w14:paraId="74FE16A5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011" w:type="dxa"/>
            <w:noWrap w:val="0"/>
            <w:vAlign w:val="center"/>
          </w:tcPr>
          <w:p w14:paraId="53F5415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  <w:noWrap w:val="0"/>
            <w:vAlign w:val="center"/>
          </w:tcPr>
          <w:p w14:paraId="2C1F452C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E51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83" w:type="dxa"/>
            <w:noWrap/>
            <w:vAlign w:val="center"/>
          </w:tcPr>
          <w:p w14:paraId="02E4CDFF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212" w:type="dxa"/>
            <w:noWrap w:val="0"/>
            <w:vAlign w:val="center"/>
          </w:tcPr>
          <w:p w14:paraId="31F70D0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  <w:t>240L垃圾桶</w:t>
            </w:r>
          </w:p>
        </w:tc>
        <w:tc>
          <w:tcPr>
            <w:tcW w:w="1237" w:type="dxa"/>
            <w:noWrap w:val="0"/>
            <w:vAlign w:val="center"/>
          </w:tcPr>
          <w:p w14:paraId="5B98BED6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011" w:type="dxa"/>
            <w:noWrap w:val="0"/>
            <w:vAlign w:val="center"/>
          </w:tcPr>
          <w:p w14:paraId="55CF53C9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  <w:tc>
          <w:tcPr>
            <w:tcW w:w="1234" w:type="dxa"/>
            <w:noWrap w:val="0"/>
            <w:vAlign w:val="center"/>
          </w:tcPr>
          <w:p w14:paraId="1B25E2F5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B0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3" w:type="dxa"/>
            <w:noWrap/>
            <w:vAlign w:val="center"/>
          </w:tcPr>
          <w:p w14:paraId="1B3C70F8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212" w:type="dxa"/>
            <w:noWrap w:val="0"/>
            <w:vAlign w:val="center"/>
          </w:tcPr>
          <w:p w14:paraId="418B9D22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18吨新能源清洗车</w:t>
            </w:r>
          </w:p>
        </w:tc>
        <w:tc>
          <w:tcPr>
            <w:tcW w:w="1237" w:type="dxa"/>
            <w:noWrap w:val="0"/>
            <w:vAlign w:val="center"/>
          </w:tcPr>
          <w:p w14:paraId="0CB2D5A7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2011" w:type="dxa"/>
            <w:noWrap w:val="0"/>
            <w:vAlign w:val="center"/>
          </w:tcPr>
          <w:p w14:paraId="6C0109C0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34" w:type="dxa"/>
            <w:noWrap w:val="0"/>
            <w:vAlign w:val="center"/>
          </w:tcPr>
          <w:p w14:paraId="0916F20E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核心产品</w:t>
            </w:r>
          </w:p>
        </w:tc>
      </w:tr>
      <w:tr w14:paraId="14B38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83" w:type="dxa"/>
            <w:noWrap/>
            <w:vAlign w:val="center"/>
          </w:tcPr>
          <w:p w14:paraId="0572FFC8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212" w:type="dxa"/>
            <w:noWrap w:val="0"/>
            <w:vAlign w:val="center"/>
          </w:tcPr>
          <w:p w14:paraId="656F7CB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4吨高空作业车</w:t>
            </w:r>
          </w:p>
        </w:tc>
        <w:tc>
          <w:tcPr>
            <w:tcW w:w="1237" w:type="dxa"/>
            <w:noWrap w:val="0"/>
            <w:vAlign w:val="center"/>
          </w:tcPr>
          <w:p w14:paraId="23BF1B3D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2011" w:type="dxa"/>
            <w:noWrap w:val="0"/>
            <w:vAlign w:val="center"/>
          </w:tcPr>
          <w:p w14:paraId="5E6C8988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34" w:type="dxa"/>
            <w:noWrap w:val="0"/>
            <w:vAlign w:val="center"/>
          </w:tcPr>
          <w:p w14:paraId="71416A51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9541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83" w:type="dxa"/>
            <w:noWrap/>
            <w:vAlign w:val="center"/>
          </w:tcPr>
          <w:p w14:paraId="1CE0305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212" w:type="dxa"/>
            <w:noWrap w:val="0"/>
            <w:vAlign w:val="center"/>
          </w:tcPr>
          <w:p w14:paraId="04E2EF84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18吨新能源厢式垃圾车</w:t>
            </w:r>
          </w:p>
        </w:tc>
        <w:tc>
          <w:tcPr>
            <w:tcW w:w="1237" w:type="dxa"/>
            <w:noWrap w:val="0"/>
            <w:vAlign w:val="center"/>
          </w:tcPr>
          <w:p w14:paraId="45B4F68E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2011" w:type="dxa"/>
            <w:noWrap w:val="0"/>
            <w:vAlign w:val="center"/>
          </w:tcPr>
          <w:p w14:paraId="78218B44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34" w:type="dxa"/>
            <w:noWrap w:val="0"/>
            <w:vAlign w:val="center"/>
          </w:tcPr>
          <w:p w14:paraId="26F5A384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7EAC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83" w:type="dxa"/>
            <w:noWrap/>
            <w:vAlign w:val="center"/>
          </w:tcPr>
          <w:p w14:paraId="3F66173C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212" w:type="dxa"/>
            <w:noWrap w:val="0"/>
            <w:vAlign w:val="center"/>
          </w:tcPr>
          <w:p w14:paraId="7E0C19D9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31吨柴油厢式垃圾车</w:t>
            </w:r>
          </w:p>
        </w:tc>
        <w:tc>
          <w:tcPr>
            <w:tcW w:w="1237" w:type="dxa"/>
            <w:noWrap w:val="0"/>
            <w:vAlign w:val="center"/>
          </w:tcPr>
          <w:p w14:paraId="7488B981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台</w:t>
            </w:r>
          </w:p>
        </w:tc>
        <w:tc>
          <w:tcPr>
            <w:tcW w:w="2011" w:type="dxa"/>
            <w:noWrap w:val="0"/>
            <w:vAlign w:val="center"/>
          </w:tcPr>
          <w:p w14:paraId="0DAC01AB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34" w:type="dxa"/>
            <w:noWrap w:val="0"/>
            <w:vAlign w:val="center"/>
          </w:tcPr>
          <w:p w14:paraId="78D81AF5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</w:p>
        </w:tc>
      </w:tr>
    </w:tbl>
    <w:p w14:paraId="51A50B94">
      <w:pPr>
        <w:pStyle w:val="8"/>
        <w:widowControl/>
        <w:snapToGrid w:val="0"/>
        <w:spacing w:line="360" w:lineRule="auto"/>
        <w:ind w:firstLine="420" w:firstLineChars="200"/>
        <w:textAlignment w:val="baseline"/>
        <w:rPr>
          <w:rStyle w:val="5"/>
          <w:rFonts w:ascii="宋体" w:hAnsi="宋体" w:eastAsia="宋体" w:cs="Times New Roman"/>
          <w:b w:val="0"/>
          <w:bCs/>
          <w:color w:val="auto"/>
          <w:szCs w:val="21"/>
        </w:rPr>
      </w:pPr>
    </w:p>
    <w:p w14:paraId="480F930D">
      <w:pPr>
        <w:pStyle w:val="8"/>
        <w:widowControl/>
        <w:snapToGrid w:val="0"/>
        <w:spacing w:line="360" w:lineRule="auto"/>
        <w:ind w:firstLine="422" w:firstLineChars="200"/>
        <w:textAlignment w:val="baseline"/>
        <w:rPr>
          <w:rStyle w:val="5"/>
          <w:rFonts w:ascii="宋体" w:hAnsi="宋体" w:eastAsia="宋体" w:cs="Times New Roman"/>
          <w:b/>
          <w:bCs w:val="0"/>
          <w:color w:val="auto"/>
          <w:szCs w:val="21"/>
        </w:rPr>
      </w:pPr>
      <w:bookmarkStart w:id="2" w:name="heading_5"/>
      <w:r>
        <w:rPr>
          <w:rStyle w:val="5"/>
          <w:rFonts w:ascii="宋体" w:hAnsi="宋体" w:eastAsia="宋体" w:cs="Times New Roman"/>
          <w:b/>
          <w:bCs w:val="0"/>
          <w:color w:val="auto"/>
          <w:szCs w:val="21"/>
        </w:rPr>
        <w:br w:type="page"/>
      </w:r>
    </w:p>
    <w:bookmarkEnd w:id="2"/>
    <w:tbl>
      <w:tblPr>
        <w:tblStyle w:val="4"/>
        <w:tblW w:w="889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374"/>
        <w:gridCol w:w="6133"/>
        <w:gridCol w:w="500"/>
      </w:tblGrid>
      <w:tr w14:paraId="502B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83" w:type="dxa"/>
            <w:noWrap/>
            <w:vAlign w:val="center"/>
          </w:tcPr>
          <w:p w14:paraId="4B2E4D5E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74" w:type="dxa"/>
            <w:noWrap w:val="0"/>
            <w:vAlign w:val="center"/>
          </w:tcPr>
          <w:p w14:paraId="36D964E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133" w:type="dxa"/>
            <w:noWrap w:val="0"/>
            <w:vAlign w:val="center"/>
          </w:tcPr>
          <w:p w14:paraId="619038B3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参数要求</w:t>
            </w:r>
          </w:p>
        </w:tc>
        <w:tc>
          <w:tcPr>
            <w:tcW w:w="500" w:type="dxa"/>
            <w:noWrap w:val="0"/>
            <w:vAlign w:val="center"/>
          </w:tcPr>
          <w:p w14:paraId="2D68B35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01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3" w:type="dxa"/>
            <w:noWrap/>
            <w:vAlign w:val="center"/>
          </w:tcPr>
          <w:p w14:paraId="06292314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74" w:type="dxa"/>
            <w:noWrap w:val="0"/>
            <w:vAlign w:val="center"/>
          </w:tcPr>
          <w:p w14:paraId="3C0A16FF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  <w:t>密闭式垃圾箱</w:t>
            </w:r>
          </w:p>
        </w:tc>
        <w:tc>
          <w:tcPr>
            <w:tcW w:w="6133" w:type="dxa"/>
            <w:noWrap w:val="0"/>
            <w:vAlign w:val="center"/>
          </w:tcPr>
          <w:p w14:paraId="21194609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箱体材质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：Q235A或同等或优于材质，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箱体内外均做防腐涂层处理</w:t>
            </w:r>
          </w:p>
          <w:p w14:paraId="3E2547E0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垃圾斗尺寸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2480×1490×1230mm（±20mm）</w:t>
            </w:r>
          </w:p>
          <w:p w14:paraId="70DAA8AC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底板厚度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≥2mm</w:t>
            </w:r>
          </w:p>
          <w:p w14:paraId="3C91B4C4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侧板厚度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≥1.5mm</w:t>
            </w:r>
          </w:p>
          <w:p w14:paraId="41CD0E7A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钩心高度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1015mm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(±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mm）</w:t>
            </w:r>
          </w:p>
          <w:p w14:paraId="607BF930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导轨外宽度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935mm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(±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mm）</w:t>
            </w:r>
          </w:p>
          <w:p w14:paraId="1E78E1B4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箱体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有效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容积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≥3m³</w:t>
            </w:r>
          </w:p>
        </w:tc>
        <w:tc>
          <w:tcPr>
            <w:tcW w:w="500" w:type="dxa"/>
            <w:noWrap w:val="0"/>
            <w:vAlign w:val="center"/>
          </w:tcPr>
          <w:p w14:paraId="1A34088F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3B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83" w:type="dxa"/>
            <w:noWrap/>
            <w:vAlign w:val="center"/>
          </w:tcPr>
          <w:p w14:paraId="6DB3AD66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74" w:type="dxa"/>
            <w:noWrap w:val="0"/>
            <w:vAlign w:val="center"/>
          </w:tcPr>
          <w:p w14:paraId="5E3BF76B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  <w:t>240L垃圾桶</w:t>
            </w:r>
          </w:p>
        </w:tc>
        <w:tc>
          <w:tcPr>
            <w:tcW w:w="6133" w:type="dxa"/>
            <w:noWrap w:val="0"/>
            <w:vAlign w:val="center"/>
          </w:tcPr>
          <w:p w14:paraId="229D5B2C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容积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240L（±3%）</w:t>
            </w:r>
          </w:p>
          <w:p w14:paraId="5A2878F5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规格尺寸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730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580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1080mm(±20mm）</w:t>
            </w:r>
          </w:p>
          <w:p w14:paraId="3F3012B0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重量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总重量≥14.0kg</w:t>
            </w:r>
          </w:p>
          <w:p w14:paraId="12F5D08B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采用100%新料高密度聚乙稀，添加高质量增强、抗紫外线剂，颜色色素达5%，确保颜色鲜艳，长时间不褪色；适用温度：-30℃至65℃气温下，不发生变形、开裂等损坏。</w:t>
            </w:r>
          </w:p>
          <w:p w14:paraId="0D1D92DC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厚度：</w:t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</w:rPr>
              <w:t>桶身壁厚：≥5.0mm，桶盖厚度≥3.0mm</w:t>
            </w:r>
          </w:p>
          <w:p w14:paraId="474AA629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桶身要求：桶身四面采用纵向凹面设计；垃圾桶沿口挂车部位采用三层裙边设计，并设有牢固的“米字”状加强筋，确保垃圾桶沿口部位在挂车提升上架时有足够的机械强度；垃圾桶把手采用分段双把手设计；盖子和桶身采用两长插销连接；把手上带有防滑粒；桶盖设有提手；垃圾桶桶底采用三裙边设计制作，并在桶底嵌有钢质耐磨钉，底部安装有一块经模具一次性压注成型的U型橡胶防滑耐磨垫；桶体内部有刻度标识；滚轮采用插入式技术装置，轮轴电镀锌处理；</w:t>
            </w:r>
          </w:p>
          <w:p w14:paraId="753AB62C">
            <w:pPr>
              <w:pStyle w:val="8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其他技术要求和物理性能均要达到国家CJ/T280-2020行业标准</w:t>
            </w:r>
          </w:p>
        </w:tc>
        <w:tc>
          <w:tcPr>
            <w:tcW w:w="500" w:type="dxa"/>
            <w:noWrap w:val="0"/>
            <w:vAlign w:val="center"/>
          </w:tcPr>
          <w:p w14:paraId="09A64EEE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5DC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3" w:type="dxa"/>
            <w:noWrap/>
            <w:vAlign w:val="center"/>
          </w:tcPr>
          <w:p w14:paraId="7D2DB494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74" w:type="dxa"/>
            <w:noWrap w:val="0"/>
            <w:vAlign w:val="center"/>
          </w:tcPr>
          <w:p w14:paraId="145FD5F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18吨新能源清洗车</w:t>
            </w:r>
          </w:p>
        </w:tc>
        <w:tc>
          <w:tcPr>
            <w:tcW w:w="6133" w:type="dxa"/>
            <w:noWrap w:val="0"/>
            <w:vAlign w:val="center"/>
          </w:tcPr>
          <w:p w14:paraId="2ECC5F9E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车辆公告名称：纯电动清洗车</w:t>
            </w:r>
          </w:p>
          <w:p w14:paraId="2B5069F2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总质量：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≥18000kg</w:t>
            </w:r>
          </w:p>
          <w:p w14:paraId="7F02E31B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3.★额定载质量：≥9900kg</w:t>
            </w:r>
          </w:p>
          <w:p w14:paraId="5B41115E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4.★整备质量：≥7700kg</w:t>
            </w:r>
          </w:p>
          <w:p w14:paraId="45510DFD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5.★外形尺寸： ≤8000×2500×3100mm</w:t>
            </w:r>
          </w:p>
          <w:p w14:paraId="7AA3D2AA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6.</w:t>
            </w:r>
            <w:r>
              <w:rPr>
                <w:rStyle w:val="5"/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▲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接近角/离去角：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≥13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°/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</w:t>
            </w:r>
          </w:p>
          <w:p w14:paraId="15D471F4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前悬/后悬：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≤1400/2400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1FE30BCB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8.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最高车速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≥75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km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</w:rPr>
              <w:t>/h</w:t>
            </w:r>
          </w:p>
          <w:p w14:paraId="6C9F39A7">
            <w:pPr>
              <w:pStyle w:val="8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备注：以上1-8项数据以“国家工信部(工业和信息化部装备工业发展中心)道路机动车辆生产企业及产品信息公告”查询到的数据为准，需提供查询截图。</w:t>
            </w:r>
          </w:p>
          <w:p w14:paraId="7E8D7EB6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9.驱动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种类：纯电动</w:t>
            </w:r>
          </w:p>
          <w:p w14:paraId="7BD42C38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10.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续航里程（等速法）：≥250km</w:t>
            </w:r>
          </w:p>
          <w:p w14:paraId="12CF105F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11.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电池电量：≥160kW·h</w:t>
            </w:r>
          </w:p>
          <w:p w14:paraId="6BCDE637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Calibri" w:hAnsi="Calibri" w:eastAsia="宋体" w:cs="Times New Roman"/>
                <w:kern w:val="0"/>
                <w:lang w:val="en-US" w:eastAsia="zh-CN"/>
              </w:rPr>
              <w:t>12.</w:t>
            </w:r>
            <w:r>
              <w:rPr>
                <w:rStyle w:val="5"/>
                <w:rFonts w:ascii="Calibri" w:hAnsi="Calibri" w:eastAsia="宋体" w:cs="Times New Roman"/>
                <w:kern w:val="0"/>
              </w:rPr>
              <w:t>水罐总容积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：≥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8m³</w:t>
            </w:r>
          </w:p>
          <w:p w14:paraId="3146A7C4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Calibri" w:hAnsi="Calibri" w:eastAsia="宋体" w:cs="Times New Roman"/>
                <w:kern w:val="0"/>
                <w:lang w:val="en-US" w:eastAsia="zh-CN"/>
              </w:rPr>
              <w:t>13.</w:t>
            </w:r>
            <w:r>
              <w:rPr>
                <w:rStyle w:val="5"/>
                <w:rFonts w:ascii="Calibri" w:hAnsi="Calibri" w:eastAsia="宋体" w:cs="Times New Roman"/>
                <w:kern w:val="0"/>
              </w:rPr>
              <w:t>鸭嘴冲洗宽度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：≥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8m</w:t>
            </w:r>
          </w:p>
          <w:p w14:paraId="766A33E8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Calibri" w:hAnsi="Calibri" w:eastAsia="宋体" w:cs="Times New Roman"/>
                <w:kern w:val="0"/>
                <w:lang w:val="en-US" w:eastAsia="zh-CN"/>
              </w:rPr>
              <w:t>14.</w:t>
            </w:r>
            <w:r>
              <w:rPr>
                <w:rStyle w:val="5"/>
                <w:rFonts w:ascii="Calibri" w:hAnsi="Calibri" w:eastAsia="宋体" w:cs="Times New Roman"/>
                <w:kern w:val="0"/>
              </w:rPr>
              <w:t>水炮射程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：≥40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m</w:t>
            </w:r>
          </w:p>
          <w:p w14:paraId="77776F1F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以上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  <w:lang w:val="en-US" w:eastAsia="zh-CN"/>
              </w:rPr>
              <w:t>9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-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14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项数据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需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投标人出具书面承诺书满足以上要求（格式自拟）。</w:t>
            </w:r>
          </w:p>
        </w:tc>
        <w:tc>
          <w:tcPr>
            <w:tcW w:w="500" w:type="dxa"/>
            <w:noWrap w:val="0"/>
            <w:vAlign w:val="center"/>
          </w:tcPr>
          <w:p w14:paraId="088BBE2F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506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83" w:type="dxa"/>
            <w:noWrap/>
            <w:vAlign w:val="center"/>
          </w:tcPr>
          <w:p w14:paraId="4BABC180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74" w:type="dxa"/>
            <w:noWrap w:val="0"/>
            <w:vAlign w:val="center"/>
          </w:tcPr>
          <w:p w14:paraId="42F12D6D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4吨高空作业车</w:t>
            </w:r>
          </w:p>
        </w:tc>
        <w:tc>
          <w:tcPr>
            <w:tcW w:w="6133" w:type="dxa"/>
            <w:noWrap w:val="0"/>
            <w:vAlign w:val="center"/>
          </w:tcPr>
          <w:p w14:paraId="49C83FC2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车辆公告名称：高空作业车</w:t>
            </w:r>
          </w:p>
          <w:p w14:paraId="07EC54CE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总质量：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≥4400kg</w:t>
            </w:r>
          </w:p>
          <w:p w14:paraId="72CDF63E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整备质量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≥4300kg</w:t>
            </w:r>
          </w:p>
          <w:p w14:paraId="1866CBED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外形尺寸：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≤6000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2100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3100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48E3AAFD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接近角/离去角：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≥18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°/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13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</w:t>
            </w:r>
          </w:p>
          <w:p w14:paraId="17C4D038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前悬/后悬：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≤1100/1800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7A2D16CD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最高车速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km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</w:rPr>
              <w:t>/h</w:t>
            </w:r>
          </w:p>
          <w:p w14:paraId="0F39E8B7">
            <w:pPr>
              <w:pStyle w:val="8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备注：以上1-7项数据以“国家工信部(工业和信息化部装备工业发展中心)道路机动车辆生产企业及产品信息公告”查询到的数据为准，需提供查询截图。</w:t>
            </w:r>
          </w:p>
          <w:p w14:paraId="1A7F642D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8.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驱动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种类：柴油</w:t>
            </w:r>
          </w:p>
          <w:p w14:paraId="3AF3F23F">
            <w:pPr>
              <w:pStyle w:val="8"/>
              <w:numPr>
                <w:ilvl w:val="0"/>
                <w:numId w:val="0"/>
              </w:numPr>
              <w:ind w:left="0" w:leftChars="0" w:firstLine="0" w:firstLineChars="0"/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9.</w:t>
            </w:r>
            <w:r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  <w:t>转台回转角度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</w:t>
            </w:r>
            <w:r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  <w:t>3</w:t>
            </w:r>
            <w:r>
              <w:rPr>
                <w:rStyle w:val="5"/>
                <w:rFonts w:ascii="宋体" w:hAnsi="宋体" w:eastAsia="宋体" w:cs="宋体"/>
                <w:color w:val="000000"/>
                <w:kern w:val="0"/>
                <w:szCs w:val="21"/>
              </w:rPr>
              <w:t>60</w:t>
            </w:r>
            <w:r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  <w:t>°</w:t>
            </w:r>
          </w:p>
          <w:p w14:paraId="42BF6B30">
            <w:pPr>
              <w:pStyle w:val="8"/>
              <w:numPr>
                <w:ilvl w:val="0"/>
                <w:numId w:val="0"/>
              </w:numPr>
              <w:ind w:left="0" w:leftChars="0" w:firstLine="0" w:firstLineChars="0"/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10.</w:t>
            </w:r>
            <w:r>
              <w:rPr>
                <w:rStyle w:val="5"/>
                <w:rFonts w:hint="eastAsia" w:ascii="宋体" w:hAnsi="宋体" w:eastAsia="宋体" w:cs="宋体"/>
                <w:color w:val="000000"/>
                <w:kern w:val="0"/>
                <w:szCs w:val="21"/>
              </w:rPr>
              <w:t>最大作业高度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≥24m</w:t>
            </w:r>
          </w:p>
          <w:p w14:paraId="21242BAE">
            <w:pPr>
              <w:pStyle w:val="8"/>
              <w:keepNext w:val="0"/>
              <w:keepLines/>
              <w:pageBreakBefore w:val="0"/>
              <w:widowControl w:val="0"/>
              <w:suppressLineNumbers w:val="0"/>
              <w:wordWrap w:val="0"/>
              <w:overflowPunct/>
              <w:topLinePunct/>
              <w:autoSpaceDE/>
              <w:autoSpaceDN/>
              <w:bidi w:val="0"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以上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  <w:lang w:val="en-US" w:eastAsia="zh-CN"/>
              </w:rPr>
              <w:t>8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-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10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项数据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需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投标人出具书面承诺书满足以上要求（格式自拟）。</w:t>
            </w:r>
          </w:p>
        </w:tc>
        <w:tc>
          <w:tcPr>
            <w:tcW w:w="500" w:type="dxa"/>
            <w:noWrap w:val="0"/>
            <w:vAlign w:val="center"/>
          </w:tcPr>
          <w:p w14:paraId="6823C1EA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E0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83" w:type="dxa"/>
            <w:noWrap/>
            <w:vAlign w:val="center"/>
          </w:tcPr>
          <w:p w14:paraId="572BD55D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74" w:type="dxa"/>
            <w:noWrap w:val="0"/>
            <w:vAlign w:val="center"/>
          </w:tcPr>
          <w:p w14:paraId="5BEA1A52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18吨新能源厢式垃圾车</w:t>
            </w:r>
          </w:p>
        </w:tc>
        <w:tc>
          <w:tcPr>
            <w:tcW w:w="6133" w:type="dxa"/>
            <w:noWrap w:val="0"/>
            <w:vAlign w:val="center"/>
          </w:tcPr>
          <w:p w14:paraId="28A6064A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车辆公告名称：纯电动厢式垃圾车</w:t>
            </w:r>
          </w:p>
          <w:p w14:paraId="44834EC2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总质量：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≥18000kg</w:t>
            </w:r>
          </w:p>
          <w:p w14:paraId="65EB6511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Style w:val="5"/>
                <w:rFonts w:ascii="Calibri" w:hAnsi="Calibri" w:eastAsia="宋体" w:cs="Times New Roman"/>
                <w:color w:val="auto"/>
                <w:sz w:val="24"/>
                <w:szCs w:val="24"/>
              </w:rPr>
              <w:t>★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额定载质量：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≥8200kg</w:t>
            </w:r>
          </w:p>
          <w:p w14:paraId="4B0FACEA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整备质量：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≥8800kg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</w:p>
          <w:p w14:paraId="04BBA464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Style w:val="5"/>
                <w:rFonts w:ascii="Calibri" w:hAnsi="Calibri" w:eastAsia="宋体" w:cs="Times New Roman"/>
                <w:color w:val="auto"/>
                <w:sz w:val="24"/>
                <w:szCs w:val="24"/>
              </w:rPr>
              <w:t>★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外形尺寸： 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≤7900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2600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3200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689E0DA2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Style w:val="5"/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▲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接近角/离去角：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≥15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°/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</w:t>
            </w:r>
          </w:p>
          <w:p w14:paraId="1E76EC60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</w:t>
            </w:r>
            <w:r>
              <w:rPr>
                <w:rStyle w:val="5"/>
                <w:rFonts w:ascii="Calibri" w:hAnsi="Calibri" w:eastAsia="宋体" w:cs="Times New Roman"/>
                <w:color w:val="auto"/>
                <w:sz w:val="24"/>
                <w:szCs w:val="24"/>
              </w:rPr>
              <w:t>★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前悬/后悬：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≤1500/2000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0ACECC2A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8.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最高车速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≥85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km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</w:rPr>
              <w:t>/h</w:t>
            </w:r>
          </w:p>
          <w:p w14:paraId="470C6854">
            <w:pPr>
              <w:pStyle w:val="8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备注：以上1-8项数据以“国家工信部(工业和信息化部装备工业发展中心)道路机动车辆生产企业及产品信息公告”查询到的数据为准，需提供查询截图。</w:t>
            </w:r>
          </w:p>
          <w:p w14:paraId="1951FBCA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9.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驱动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种类：纯电动</w:t>
            </w:r>
          </w:p>
          <w:p w14:paraId="70CBCB7C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10.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续航里程（等速法）：≥250km</w:t>
            </w:r>
          </w:p>
          <w:p w14:paraId="5B97BAB9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  <w:t>11.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电池电量：≥230kW·h</w:t>
            </w:r>
          </w:p>
          <w:p w14:paraId="58FFD665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12.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垃圾箱容积：≥16m³</w:t>
            </w:r>
          </w:p>
          <w:p w14:paraId="22F86980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  <w:t>13.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卸料角：≥40°</w:t>
            </w:r>
          </w:p>
          <w:p w14:paraId="37BDDFBE">
            <w:pPr>
              <w:pStyle w:val="8"/>
              <w:keepNext w:val="0"/>
              <w:keepLines/>
              <w:pageBreakBefore w:val="0"/>
              <w:widowControl w:val="0"/>
              <w:suppressLineNumbers w:val="0"/>
              <w:wordWrap w:val="0"/>
              <w:overflowPunct/>
              <w:topLinePunct/>
              <w:autoSpaceDE/>
              <w:autoSpaceDN/>
              <w:bidi w:val="0"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eastAsia="en-US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以上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  <w:lang w:val="en-US" w:eastAsia="zh-CN"/>
              </w:rPr>
              <w:t>9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-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13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项数据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需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投标人出具书面承诺书满足以上要求（格式自拟）。</w:t>
            </w:r>
          </w:p>
        </w:tc>
        <w:tc>
          <w:tcPr>
            <w:tcW w:w="500" w:type="dxa"/>
            <w:noWrap w:val="0"/>
            <w:vAlign w:val="center"/>
          </w:tcPr>
          <w:p w14:paraId="5ED43A82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5A0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83" w:type="dxa"/>
            <w:noWrap/>
            <w:vAlign w:val="center"/>
          </w:tcPr>
          <w:p w14:paraId="33496387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74" w:type="dxa"/>
            <w:noWrap w:val="0"/>
            <w:vAlign w:val="center"/>
          </w:tcPr>
          <w:p w14:paraId="0AF52413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31吨柴油厢式垃圾车</w:t>
            </w:r>
          </w:p>
        </w:tc>
        <w:tc>
          <w:tcPr>
            <w:tcW w:w="6133" w:type="dxa"/>
            <w:noWrap w:val="0"/>
            <w:vAlign w:val="center"/>
          </w:tcPr>
          <w:p w14:paraId="1B0F5CE0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车辆公告名称：厢式垃圾车</w:t>
            </w:r>
          </w:p>
          <w:p w14:paraId="77A6FD3C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总质量：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≥31000kg</w:t>
            </w:r>
          </w:p>
          <w:p w14:paraId="1793FAFF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额定载质量：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19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00kg</w:t>
            </w:r>
          </w:p>
          <w:p w14:paraId="561544F9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Style w:val="5"/>
                <w:rFonts w:ascii="Calibri" w:hAnsi="Calibri" w:eastAsia="宋体" w:cs="Times New Roman"/>
                <w:color w:val="auto"/>
                <w:sz w:val="24"/>
                <w:szCs w:val="24"/>
              </w:rPr>
              <w:t>★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整备质量：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59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00kg</w:t>
            </w:r>
          </w:p>
          <w:p w14:paraId="77417706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外形尺寸： 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≤11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2600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×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46AE71C8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接近角/离去角：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≥1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°/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°</w:t>
            </w:r>
          </w:p>
          <w:p w14:paraId="281E26B1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</w:t>
            </w:r>
            <w:r>
              <w:rPr>
                <w:rStyle w:val="5"/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▲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前悬/后悬：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≤1500/2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00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mm</w:t>
            </w:r>
          </w:p>
          <w:p w14:paraId="6F897808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8.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最高车速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≥80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km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</w:rPr>
              <w:t>/h</w:t>
            </w:r>
          </w:p>
          <w:p w14:paraId="742D1BC3">
            <w:pPr>
              <w:pStyle w:val="8"/>
              <w:keepNext w:val="0"/>
              <w:keepLines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备注：以上1-8项数据以“国家工信部(工业和信息化部装备工业发展中心)道路机动车辆生产企业及产品信息公告”查询到的数据为准，需提供查询截图。</w:t>
            </w:r>
          </w:p>
          <w:p w14:paraId="0A4C216F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9.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驱动种类：柴油</w:t>
            </w:r>
          </w:p>
          <w:p w14:paraId="543A0AF3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10.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发动机额定功率：≥120kw</w:t>
            </w:r>
          </w:p>
          <w:p w14:paraId="4C4F95AC">
            <w:pPr>
              <w:pStyle w:val="8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11.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排放标准：国六</w:t>
            </w:r>
          </w:p>
          <w:p w14:paraId="7D077433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12.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垃圾箱容积：≥20m³</w:t>
            </w:r>
          </w:p>
          <w:p w14:paraId="4457F1FC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13.</w:t>
            </w: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"/>
              </w:rPr>
              <w:t>卸料角：≥30°</w:t>
            </w:r>
          </w:p>
          <w:p w14:paraId="0AE43D07">
            <w:pPr>
              <w:pStyle w:val="8"/>
              <w:keepNext w:val="0"/>
              <w:keepLines/>
              <w:pageBreakBefore w:val="0"/>
              <w:widowControl w:val="0"/>
              <w:suppressLineNumbers w:val="0"/>
              <w:wordWrap w:val="0"/>
              <w:overflowPunct/>
              <w:topLinePunct/>
              <w:autoSpaceDE/>
              <w:autoSpaceDN/>
              <w:bidi w:val="0"/>
              <w:spacing w:line="300" w:lineRule="exact"/>
              <w:ind w:left="63" w:leftChars="30" w:right="0" w:firstLine="0" w:firstLineChars="0"/>
              <w:jc w:val="both"/>
              <w:textAlignment w:val="auto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备注：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以上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-9"/>
                <w:sz w:val="24"/>
                <w:szCs w:val="24"/>
                <w:lang w:val="en-US" w:eastAsia="zh-CN"/>
              </w:rPr>
              <w:t>9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-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13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</w:rPr>
              <w:t>项数据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pacing w:val="3"/>
                <w:sz w:val="24"/>
                <w:szCs w:val="24"/>
                <w:lang w:val="en-US" w:eastAsia="zh-CN"/>
              </w:rPr>
              <w:t>需</w:t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投标人出具书面承诺书满足以上要求（格式自拟）。</w:t>
            </w:r>
          </w:p>
        </w:tc>
        <w:tc>
          <w:tcPr>
            <w:tcW w:w="500" w:type="dxa"/>
            <w:noWrap w:val="0"/>
            <w:vAlign w:val="center"/>
          </w:tcPr>
          <w:p w14:paraId="074CD409">
            <w:pPr>
              <w:pStyle w:val="8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412BCCB">
      <w:pPr>
        <w:pStyle w:val="8"/>
        <w:rPr>
          <w:rStyle w:val="5"/>
          <w:rFonts w:hint="eastAsia" w:ascii="黑体" w:hAnsi="黑体" w:eastAsia="黑体" w:cs="黑体"/>
          <w:b/>
          <w:bCs/>
          <w:color w:val="auto"/>
          <w:spacing w:val="30"/>
          <w:kern w:val="0"/>
          <w:sz w:val="28"/>
          <w:szCs w:val="28"/>
          <w:lang w:val="en-US" w:eastAsia="zh-CN" w:bidi="ar-SA"/>
        </w:rPr>
      </w:pPr>
      <w:bookmarkStart w:id="8" w:name="_GoBack"/>
      <w:bookmarkEnd w:id="8"/>
      <w:r>
        <w:rPr>
          <w:rStyle w:val="5"/>
          <w:rFonts w:hint="eastAsia" w:ascii="黑体" w:hAnsi="黑体" w:eastAsia="黑体" w:cs="黑体"/>
          <w:b/>
          <w:bCs/>
          <w:color w:val="auto"/>
          <w:spacing w:val="30"/>
          <w:kern w:val="0"/>
          <w:sz w:val="28"/>
          <w:szCs w:val="28"/>
          <w:lang w:val="en-US" w:eastAsia="zh-CN" w:bidi="ar-SA"/>
        </w:rPr>
        <w:br w:type="page"/>
      </w:r>
    </w:p>
    <w:p w14:paraId="7F9FDF57">
      <w:pPr>
        <w:pStyle w:val="8"/>
        <w:widowControl/>
        <w:spacing w:before="120" w:beforeLines="50" w:after="120" w:afterLines="50" w:line="360" w:lineRule="auto"/>
        <w:jc w:val="center"/>
        <w:rPr>
          <w:rStyle w:val="5"/>
          <w:rFonts w:hint="eastAsia" w:ascii="宋体" w:hAnsi="宋体" w:eastAsia="宋体" w:cs="宋体"/>
          <w:b/>
          <w:bCs/>
          <w:color w:val="auto"/>
          <w:spacing w:val="30"/>
          <w:kern w:val="0"/>
          <w:sz w:val="21"/>
          <w:szCs w:val="21"/>
          <w:lang w:val="en-US" w:eastAsia="zh-CN" w:bidi="ar-SA"/>
        </w:rPr>
      </w:pPr>
      <w:r>
        <w:rPr>
          <w:rStyle w:val="5"/>
          <w:rFonts w:hint="eastAsia" w:ascii="黑体" w:hAnsi="黑体" w:eastAsia="黑体" w:cs="黑体"/>
          <w:b/>
          <w:bCs/>
          <w:color w:val="auto"/>
          <w:spacing w:val="30"/>
          <w:kern w:val="0"/>
          <w:sz w:val="28"/>
          <w:szCs w:val="28"/>
          <w:lang w:val="en-US" w:eastAsia="zh-CN" w:bidi="ar-SA"/>
        </w:rPr>
        <w:t>第二节 商务要求</w:t>
      </w:r>
    </w:p>
    <w:p w14:paraId="6724BCD3">
      <w:pPr>
        <w:pStyle w:val="8"/>
        <w:widowControl/>
        <w:spacing w:after="120" w:afterLines="50" w:line="360" w:lineRule="auto"/>
        <w:jc w:val="both"/>
        <w:rPr>
          <w:rStyle w:val="5"/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b/>
          <w:bCs/>
          <w:color w:val="auto"/>
          <w:spacing w:val="30"/>
          <w:kern w:val="0"/>
          <w:sz w:val="22"/>
          <w:szCs w:val="22"/>
          <w:lang w:val="en-US" w:eastAsia="zh-CN" w:bidi="ar-SA"/>
        </w:rPr>
        <w:t xml:space="preserve">一、主要商务要求 </w:t>
      </w:r>
    </w:p>
    <w:tbl>
      <w:tblPr>
        <w:tblStyle w:val="9"/>
        <w:tblW w:w="8258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8"/>
        <w:gridCol w:w="6560"/>
      </w:tblGrid>
      <w:tr w14:paraId="1503A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98" w:type="dxa"/>
            <w:noWrap w:val="0"/>
            <w:vAlign w:val="center"/>
          </w:tcPr>
          <w:p w14:paraId="6890A778">
            <w:pPr>
              <w:pStyle w:val="8"/>
              <w:widowControl/>
              <w:snapToGrid w:val="0"/>
              <w:spacing w:line="360" w:lineRule="auto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履行合同的时间、地点及方式</w:t>
            </w:r>
          </w:p>
        </w:tc>
        <w:tc>
          <w:tcPr>
            <w:tcW w:w="6560" w:type="dxa"/>
            <w:noWrap w:val="0"/>
            <w:vAlign w:val="center"/>
          </w:tcPr>
          <w:p w14:paraId="5A2CDE3C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履行合同的时间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车辆类（18吨新能源清洗车、4吨高空作业车、18吨新能源厢式垃圾车、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31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吨柴油厢式垃圾车）：自合同签订之日起90个日历日内 完成全部车辆的供货、调试并交付使用。</w:t>
            </w:r>
          </w:p>
          <w:p w14:paraId="4C11F7A5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容器类（密闭式垃圾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箱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、240L垃圾桶）：自合同签订之日起 12个月内，根据采购人实际需求分批供货。</w:t>
            </w:r>
          </w:p>
          <w:p w14:paraId="28500A78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地点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采购人指定地点</w:t>
            </w:r>
          </w:p>
          <w:p w14:paraId="09C38198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方式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：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采购人指定方式</w:t>
            </w:r>
          </w:p>
        </w:tc>
      </w:tr>
      <w:tr w14:paraId="148E1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698" w:type="dxa"/>
            <w:noWrap w:val="0"/>
            <w:vAlign w:val="center"/>
          </w:tcPr>
          <w:p w14:paraId="3231D804">
            <w:pPr>
              <w:pStyle w:val="8"/>
              <w:widowControl/>
              <w:snapToGrid w:val="0"/>
              <w:spacing w:line="360" w:lineRule="auto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质量保证期</w:t>
            </w:r>
          </w:p>
          <w:p w14:paraId="72A44186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6560" w:type="dxa"/>
            <w:noWrap w:val="0"/>
            <w:vAlign w:val="center"/>
          </w:tcPr>
          <w:p w14:paraId="6039A459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车辆类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（18吨新能源清洗车、4吨高空作业车、18吨新能源厢式垃圾车、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31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吨柴油厢式垃圾车）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整车质保2年；其中新能源车辆动力电池、驱动电机、电机控制器（三电系统）质保5年或20万公里，以先到为准；容器类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（密闭式垃圾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箱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、240L垃圾桶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产品质保1年。车辆质保自整车验收合格之日起算，容器类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（密闭式垃圾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箱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、240L垃圾桶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自每批次货物验收合格之日起算；质保范围为非人为损坏的质量问题。</w:t>
            </w:r>
          </w:p>
        </w:tc>
      </w:tr>
      <w:tr w14:paraId="70317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698" w:type="dxa"/>
            <w:noWrap w:val="0"/>
            <w:vAlign w:val="center"/>
          </w:tcPr>
          <w:p w14:paraId="1EF0C993">
            <w:pPr>
              <w:pStyle w:val="8"/>
              <w:widowControl/>
              <w:snapToGrid w:val="0"/>
              <w:spacing w:line="360" w:lineRule="auto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响应时间</w:t>
            </w:r>
          </w:p>
        </w:tc>
        <w:tc>
          <w:tcPr>
            <w:tcW w:w="6560" w:type="dxa"/>
            <w:noWrap w:val="0"/>
            <w:vAlign w:val="center"/>
          </w:tcPr>
          <w:p w14:paraId="1E06DEC8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7×24 小时</w:t>
            </w:r>
          </w:p>
        </w:tc>
      </w:tr>
      <w:tr w14:paraId="77EE54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1698" w:type="dxa"/>
            <w:noWrap w:val="0"/>
            <w:vAlign w:val="center"/>
          </w:tcPr>
          <w:p w14:paraId="2F01D120">
            <w:pPr>
              <w:pStyle w:val="8"/>
              <w:widowControl/>
              <w:snapToGrid w:val="0"/>
              <w:spacing w:line="360" w:lineRule="auto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合同价款支付方式和条件</w:t>
            </w:r>
          </w:p>
          <w:p w14:paraId="3C6BA763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6560" w:type="dxa"/>
            <w:noWrap w:val="0"/>
            <w:vAlign w:val="center"/>
          </w:tcPr>
          <w:p w14:paraId="538CD2AA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left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本合同签订生效后，甲方向乙方支付合同总价款的15%；当供货达到合同总量的50%时，甲方原则上在三个月内支付至合同总价款的30%；当供货达到合同总量的80%时，甲方原则上在三个月内支付至合同总价款的50%；全部货物完成交付并验收合格后，甲方原则上支付至合同总价款的80%；验收合格后三个月内甲方原则上支付至合同总价款的100%。</w:t>
            </w:r>
          </w:p>
        </w:tc>
      </w:tr>
      <w:tr w14:paraId="3A4AA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698" w:type="dxa"/>
            <w:noWrap w:val="0"/>
            <w:vAlign w:val="center"/>
          </w:tcPr>
          <w:p w14:paraId="68DCF7DA">
            <w:pPr>
              <w:pStyle w:val="8"/>
              <w:widowControl/>
              <w:snapToGrid w:val="0"/>
              <w:spacing w:line="360" w:lineRule="auto"/>
              <w:jc w:val="center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>解决争议的方式</w:t>
            </w:r>
          </w:p>
        </w:tc>
        <w:tc>
          <w:tcPr>
            <w:tcW w:w="6560" w:type="dxa"/>
            <w:noWrap w:val="0"/>
            <w:vAlign w:val="center"/>
          </w:tcPr>
          <w:p w14:paraId="63B04532">
            <w:pPr>
              <w:pStyle w:val="8"/>
              <w:widowControl/>
              <w:snapToGrid w:val="0"/>
              <w:spacing w:line="360" w:lineRule="auto"/>
              <w:ind w:firstLine="440" w:firstLineChars="200"/>
              <w:jc w:val="both"/>
              <w:textAlignment w:val="baseline"/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□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仲裁   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☑</w:t>
            </w:r>
            <w:r>
              <w:rPr>
                <w:rStyle w:val="5"/>
                <w:rFonts w:hint="eastAsia" w:ascii="宋体" w:hAnsi="宋体" w:eastAsia="宋体" w:cs="宋体"/>
                <w:color w:val="auto"/>
                <w:sz w:val="22"/>
                <w:szCs w:val="22"/>
              </w:rPr>
              <w:t xml:space="preserve"> 诉讼</w:t>
            </w:r>
          </w:p>
        </w:tc>
      </w:tr>
    </w:tbl>
    <w:p w14:paraId="0D2155EC">
      <w:pPr>
        <w:pStyle w:val="10"/>
        <w:widowControl/>
        <w:rPr>
          <w:rStyle w:val="5"/>
          <w:rFonts w:hint="eastAsia" w:ascii="宋体" w:hAnsi="宋体" w:eastAsia="宋体" w:cs="宋体"/>
          <w:b/>
          <w:bCs/>
          <w:kern w:val="0"/>
          <w:sz w:val="22"/>
          <w:szCs w:val="22"/>
        </w:rPr>
      </w:pPr>
    </w:p>
    <w:p w14:paraId="06E56E29">
      <w:pPr>
        <w:pStyle w:val="8"/>
        <w:rPr>
          <w:rStyle w:val="5"/>
          <w:rFonts w:hint="eastAsia" w:ascii="宋体" w:hAnsi="宋体" w:eastAsia="宋体" w:cs="宋体"/>
          <w:color w:val="000080"/>
          <w:sz w:val="22"/>
          <w:szCs w:val="22"/>
          <w:highlight w:val="white"/>
        </w:rPr>
      </w:pPr>
      <w:r>
        <w:rPr>
          <w:rStyle w:val="5"/>
          <w:rFonts w:hint="eastAsia" w:ascii="宋体" w:hAnsi="宋体" w:eastAsia="宋体" w:cs="宋体"/>
          <w:color w:val="000080"/>
          <w:sz w:val="22"/>
          <w:szCs w:val="22"/>
          <w:highlight w:val="white"/>
        </w:rPr>
        <w:t xml:space="preserve"> </w:t>
      </w:r>
      <w:bookmarkEnd w:id="0"/>
    </w:p>
    <w:p w14:paraId="37D119CB">
      <w:pPr>
        <w:pStyle w:val="8"/>
        <w:widowControl/>
        <w:kinsoku w:val="0"/>
        <w:autoSpaceDE w:val="0"/>
        <w:autoSpaceDN w:val="0"/>
        <w:adjustRightInd w:val="0"/>
        <w:snapToGrid w:val="0"/>
        <w:spacing w:before="36" w:line="360" w:lineRule="auto"/>
        <w:ind w:firstLine="510" w:firstLineChars="20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17"/>
          <w:kern w:val="0"/>
          <w:sz w:val="22"/>
          <w:szCs w:val="22"/>
          <w:lang w:eastAsia="en-US"/>
        </w:rPr>
        <w:br w:type="page"/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17"/>
          <w:kern w:val="0"/>
          <w:sz w:val="22"/>
          <w:szCs w:val="22"/>
          <w:lang w:eastAsia="en-US"/>
        </w:rPr>
        <w:t>二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62"/>
          <w:kern w:val="0"/>
          <w:sz w:val="22"/>
          <w:szCs w:val="22"/>
          <w:lang w:eastAsia="en-US"/>
        </w:rPr>
        <w:t xml:space="preserve"> 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17"/>
          <w:kern w:val="0"/>
          <w:sz w:val="22"/>
          <w:szCs w:val="22"/>
          <w:lang w:eastAsia="en-US"/>
        </w:rPr>
        <w:t>、服务要求</w:t>
      </w:r>
    </w:p>
    <w:p w14:paraId="39D78F09">
      <w:pPr>
        <w:pStyle w:val="8"/>
        <w:widowControl/>
        <w:kinsoku w:val="0"/>
        <w:autoSpaceDE w:val="0"/>
        <w:autoSpaceDN w:val="0"/>
        <w:adjustRightInd w:val="0"/>
        <w:snapToGrid w:val="0"/>
        <w:spacing w:before="179" w:line="360" w:lineRule="auto"/>
        <w:ind w:left="505"/>
        <w:jc w:val="left"/>
        <w:textAlignment w:val="baseline"/>
        <w:outlineLvl w:val="2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  <w:bookmarkStart w:id="3" w:name="_Toc256000015"/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6"/>
          <w:kern w:val="0"/>
          <w:sz w:val="22"/>
          <w:szCs w:val="22"/>
          <w:lang w:eastAsia="en-US"/>
        </w:rPr>
        <w:t>1、供货范围：</w:t>
      </w:r>
      <w:bookmarkEnd w:id="3"/>
    </w:p>
    <w:p w14:paraId="3287B279">
      <w:pPr>
        <w:pStyle w:val="8"/>
        <w:widowControl/>
        <w:kinsoku w:val="0"/>
        <w:autoSpaceDE w:val="0"/>
        <w:autoSpaceDN w:val="0"/>
        <w:adjustRightInd w:val="0"/>
        <w:snapToGrid w:val="0"/>
        <w:spacing w:before="183" w:line="360" w:lineRule="auto"/>
        <w:ind w:left="8" w:right="199" w:firstLine="479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  <w:t>招标文件项目清单中的货物均由中标供应商根据采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eastAsia="en-US"/>
        </w:rPr>
        <w:t>购人要求进行统一的货物运输、安装、调试等。</w:t>
      </w:r>
    </w:p>
    <w:p w14:paraId="3632914A">
      <w:pPr>
        <w:pStyle w:val="8"/>
        <w:widowControl/>
        <w:kinsoku w:val="0"/>
        <w:autoSpaceDE w:val="0"/>
        <w:autoSpaceDN w:val="0"/>
        <w:adjustRightInd w:val="0"/>
        <w:snapToGrid w:val="0"/>
        <w:spacing w:before="37" w:line="360" w:lineRule="auto"/>
        <w:ind w:left="490"/>
        <w:jc w:val="left"/>
        <w:textAlignment w:val="baseline"/>
        <w:outlineLvl w:val="2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  <w:bookmarkStart w:id="4" w:name="_Toc256000016"/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2"/>
          <w:szCs w:val="22"/>
          <w:lang w:eastAsia="en-US"/>
        </w:rPr>
        <w:t>2、附件及零配件（包括专用工具）、备品备件的要求：</w:t>
      </w:r>
      <w:bookmarkEnd w:id="4"/>
    </w:p>
    <w:p w14:paraId="7E1D41BF">
      <w:pPr>
        <w:pStyle w:val="8"/>
        <w:tabs>
          <w:tab w:val="left" w:pos="8820"/>
        </w:tabs>
        <w:kinsoku w:val="0"/>
        <w:autoSpaceDE w:val="0"/>
        <w:autoSpaceDN w:val="0"/>
        <w:adjustRightInd w:val="0"/>
        <w:snapToGrid w:val="0"/>
        <w:spacing w:before="78" w:line="360" w:lineRule="auto"/>
        <w:ind w:left="12" w:right="18" w:rightChars="0" w:firstLine="475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4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保证产品能正常使用的附件、备品备件及项目清单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中要求提供的零配件和备品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4"/>
          <w:kern w:val="0"/>
          <w:sz w:val="22"/>
          <w:szCs w:val="22"/>
          <w:lang w:val="en-US" w:eastAsia="en-US" w:bidi="ar-SA"/>
        </w:rPr>
        <w:t>备件等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4"/>
          <w:kern w:val="0"/>
          <w:sz w:val="22"/>
          <w:szCs w:val="22"/>
          <w:lang w:val="en-US" w:eastAsia="zh-CN" w:bidi="ar-SA"/>
        </w:rPr>
        <w:t>。</w:t>
      </w:r>
    </w:p>
    <w:p w14:paraId="2650AA31">
      <w:pPr>
        <w:pStyle w:val="8"/>
        <w:kinsoku w:val="0"/>
        <w:autoSpaceDE w:val="0"/>
        <w:autoSpaceDN w:val="0"/>
        <w:adjustRightInd w:val="0"/>
        <w:snapToGrid w:val="0"/>
        <w:spacing w:before="37" w:line="360" w:lineRule="auto"/>
        <w:ind w:firstLine="426" w:firstLineChars="200"/>
        <w:jc w:val="left"/>
        <w:textAlignment w:val="baseline"/>
        <w:outlineLvl w:val="2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bookmarkStart w:id="5" w:name="_Toc256000017"/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2"/>
          <w:szCs w:val="22"/>
          <w:lang w:val="en-US" w:eastAsia="en-US" w:bidi="ar-SA"/>
        </w:rPr>
        <w:t>3、项目建设要求及说明</w:t>
      </w:r>
      <w:bookmarkEnd w:id="5"/>
    </w:p>
    <w:p w14:paraId="68D5118F">
      <w:pPr>
        <w:pStyle w:val="8"/>
        <w:kinsoku w:val="0"/>
        <w:autoSpaceDE w:val="0"/>
        <w:autoSpaceDN w:val="0"/>
        <w:adjustRightInd w:val="0"/>
        <w:snapToGrid w:val="0"/>
        <w:spacing w:before="180" w:line="360" w:lineRule="auto"/>
        <w:ind w:left="492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3.1. 产品运输、保险及保管</w:t>
      </w:r>
    </w:p>
    <w:p w14:paraId="6AE9881E">
      <w:pPr>
        <w:pStyle w:val="8"/>
        <w:kinsoku w:val="0"/>
        <w:autoSpaceDE w:val="0"/>
        <w:autoSpaceDN w:val="0"/>
        <w:adjustRightInd w:val="0"/>
        <w:snapToGrid w:val="0"/>
        <w:spacing w:before="182" w:line="360" w:lineRule="auto"/>
        <w:ind w:left="11" w:right="439" w:firstLine="48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 xml:space="preserve">3.1.1 中标单位负责将设备全部运输到采购人指定地点，包括装卸及现场搬运等。由于搬运、装卸、吊装及运输不当造成的各种事故责任和损失由中标人承担。 </w:t>
      </w:r>
    </w:p>
    <w:p w14:paraId="392CD787">
      <w:pPr>
        <w:pStyle w:val="8"/>
        <w:kinsoku w:val="0"/>
        <w:autoSpaceDE w:val="0"/>
        <w:autoSpaceDN w:val="0"/>
        <w:adjustRightInd w:val="0"/>
        <w:snapToGrid w:val="0"/>
        <w:spacing w:before="182" w:line="360" w:lineRule="auto"/>
        <w:ind w:left="11" w:right="439" w:firstLine="48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 xml:space="preserve">3.1.2 中标人负责产品在实施地点的保管，直至项目验收合格。 </w:t>
      </w:r>
    </w:p>
    <w:p w14:paraId="009FF2E0">
      <w:pPr>
        <w:pStyle w:val="8"/>
        <w:kinsoku w:val="0"/>
        <w:autoSpaceDE w:val="0"/>
        <w:autoSpaceDN w:val="0"/>
        <w:adjustRightInd w:val="0"/>
        <w:snapToGrid w:val="0"/>
        <w:spacing w:before="182" w:line="360" w:lineRule="auto"/>
        <w:ind w:left="11" w:right="439" w:firstLine="48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3.1.3 中标人负责其派出的项目实施人员的人身意外保险及安全。</w:t>
      </w:r>
    </w:p>
    <w:p w14:paraId="506D1914">
      <w:pPr>
        <w:pStyle w:val="8"/>
        <w:kinsoku w:val="0"/>
        <w:autoSpaceDE w:val="0"/>
        <w:autoSpaceDN w:val="0"/>
        <w:adjustRightInd w:val="0"/>
        <w:snapToGrid w:val="0"/>
        <w:spacing w:before="184" w:line="360" w:lineRule="auto"/>
        <w:ind w:left="492" w:right="2639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2"/>
          <w:szCs w:val="22"/>
          <w:lang w:val="en-US" w:eastAsia="en-US" w:bidi="ar-SA"/>
        </w:rPr>
        <w:t>3.2.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16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4"/>
          <w:kern w:val="0"/>
          <w:sz w:val="22"/>
          <w:szCs w:val="22"/>
          <w:lang w:val="en-US" w:eastAsia="en-US" w:bidi="ar-SA"/>
        </w:rPr>
        <w:t>安装调试</w:t>
      </w:r>
    </w:p>
    <w:p w14:paraId="1B76DD4B">
      <w:pPr>
        <w:pStyle w:val="8"/>
        <w:kinsoku w:val="0"/>
        <w:autoSpaceDE w:val="0"/>
        <w:autoSpaceDN w:val="0"/>
        <w:adjustRightInd w:val="0"/>
        <w:snapToGrid w:val="0"/>
        <w:spacing w:before="183" w:line="360" w:lineRule="auto"/>
        <w:ind w:left="13" w:right="199" w:firstLine="478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3.2.1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32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中标人须加强施工的组织管理，所有工作人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员须遵守文明安全施工的有关规章制度，持证上岗。</w:t>
      </w:r>
    </w:p>
    <w:p w14:paraId="005296E4">
      <w:pPr>
        <w:pStyle w:val="8"/>
        <w:kinsoku w:val="0"/>
        <w:autoSpaceDE w:val="0"/>
        <w:autoSpaceDN w:val="0"/>
        <w:adjustRightInd w:val="0"/>
        <w:snapToGrid w:val="0"/>
        <w:spacing w:before="185" w:line="360" w:lineRule="auto"/>
        <w:ind w:left="10" w:right="199" w:firstLine="481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3.2.2 项目完成后，中标人应将项目有关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的全部资料，包括产品资料、技术文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档等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zh-CN" w:bidi="ar-SA"/>
        </w:rPr>
        <w:t>，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移交采购人。</w:t>
      </w:r>
    </w:p>
    <w:p w14:paraId="71EE5D81">
      <w:pPr>
        <w:pStyle w:val="8"/>
        <w:kinsoku w:val="0"/>
        <w:autoSpaceDE w:val="0"/>
        <w:autoSpaceDN w:val="0"/>
        <w:adjustRightInd w:val="0"/>
        <w:snapToGrid w:val="0"/>
        <w:spacing w:before="184" w:line="360" w:lineRule="auto"/>
        <w:ind w:left="492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3.3. 质量保证</w:t>
      </w:r>
    </w:p>
    <w:p w14:paraId="5854B8BA">
      <w:pPr>
        <w:pStyle w:val="8"/>
        <w:kinsoku w:val="0"/>
        <w:autoSpaceDE w:val="0"/>
        <w:autoSpaceDN w:val="0"/>
        <w:adjustRightInd w:val="0"/>
        <w:snapToGrid w:val="0"/>
        <w:spacing w:before="178" w:line="360" w:lineRule="auto"/>
        <w:ind w:left="9" w:right="199" w:firstLine="482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3.3.1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32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中标人提供的产品应是原装正品，符合国家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质量检测标准，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zh-CN" w:bidi="ar-SA"/>
        </w:rPr>
        <w:t>具有出厂检验证书或出厂合格证或国家鉴定合格证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。</w:t>
      </w:r>
    </w:p>
    <w:p w14:paraId="276BAE06">
      <w:pPr>
        <w:pStyle w:val="8"/>
        <w:kinsoku w:val="0"/>
        <w:autoSpaceDE w:val="0"/>
        <w:autoSpaceDN w:val="0"/>
        <w:adjustRightInd w:val="0"/>
        <w:snapToGrid w:val="0"/>
        <w:spacing w:before="185" w:line="360" w:lineRule="auto"/>
        <w:ind w:left="8" w:right="197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 xml:space="preserve">3.3.2 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本项目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</w:rPr>
        <w:t>车辆类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  <w:lang w:eastAsia="zh-CN"/>
        </w:rPr>
        <w:t>（18吨新能源清洗车、4吨高空作业车、18吨新能源厢式垃圾车、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31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  <w:lang w:eastAsia="zh-CN"/>
        </w:rPr>
        <w:t>吨柴油厢式垃圾车）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</w:rPr>
        <w:t>整车质保2年；其中新能源车辆动力电池、驱动电机、电机控制器（三电系统）质保5年或 20万公里，以先到为准；容器类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  <w:lang w:eastAsia="zh-CN"/>
        </w:rPr>
        <w:t>（密闭式垃圾箱、240L垃圾桶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</w:rPr>
        <w:t>产品质保1年。车辆质保自整车验收合格之日起算，容器类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  <w:lang w:eastAsia="zh-CN"/>
        </w:rPr>
        <w:t>（密闭式垃圾箱、240L垃圾桶</w:t>
      </w:r>
      <w:r>
        <w:rPr>
          <w:rStyle w:val="5"/>
          <w:rFonts w:hint="eastAsia" w:ascii="宋体" w:hAnsi="宋体" w:eastAsia="宋体" w:cs="宋体"/>
          <w:color w:val="auto"/>
          <w:sz w:val="22"/>
          <w:szCs w:val="22"/>
        </w:rPr>
        <w:t>自每批次货物验收合格之日起算；质保范围为非人为损坏的质量问题。</w:t>
      </w: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）。</w:t>
      </w: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zh-CN" w:bidi="ar-SA"/>
        </w:rPr>
        <w:t>生产厂家或中标人质保期优于招标文件规定的，按生产厂家或中标人的质保承诺提供质保服务。质保期内</w:t>
      </w: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超出厂家正常保修范围的，中标供应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商需向厂家购买；未在投标报价表中单列其费用的，视为免费提供。</w:t>
      </w:r>
    </w:p>
    <w:p w14:paraId="36CB1B1C">
      <w:pPr>
        <w:pStyle w:val="8"/>
        <w:kinsoku w:val="0"/>
        <w:autoSpaceDE w:val="0"/>
        <w:autoSpaceDN w:val="0"/>
        <w:adjustRightInd w:val="0"/>
        <w:snapToGrid w:val="0"/>
        <w:spacing w:before="185" w:line="360" w:lineRule="auto"/>
        <w:ind w:left="9" w:right="199" w:firstLine="482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3.3.3 质保期内因货物质量或安装调试原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因引起的全部维修费用（包括更换零配件的费用）均由中标供应商承担。</w:t>
      </w:r>
    </w:p>
    <w:p w14:paraId="65DAD05F">
      <w:pPr>
        <w:pStyle w:val="8"/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440" w:firstLineChars="20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</w:p>
    <w:p w14:paraId="44967660">
      <w:pPr>
        <w:pStyle w:val="8"/>
        <w:widowControl/>
        <w:kinsoku w:val="0"/>
        <w:autoSpaceDE w:val="0"/>
        <w:autoSpaceDN w:val="0"/>
        <w:adjustRightInd w:val="0"/>
        <w:snapToGrid w:val="0"/>
        <w:spacing w:line="360" w:lineRule="auto"/>
        <w:ind w:firstLine="440" w:firstLineChars="200"/>
        <w:jc w:val="left"/>
        <w:textAlignment w:val="baseline"/>
        <w:outlineLvl w:val="4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eastAsia="en-US"/>
        </w:rPr>
        <w:t xml:space="preserve">3.3.4 质保期内所有设备维护等要求免费上门服务。 </w:t>
      </w:r>
    </w:p>
    <w:p w14:paraId="5931B3D9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492" w:right="2939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3.4. 售后服务</w:t>
      </w:r>
    </w:p>
    <w:p w14:paraId="1010DFD6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3.4.1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50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zh-CN" w:bidi="ar-SA"/>
        </w:rPr>
        <w:t>质保期内所有设备、零部件等的维护维修，中标人应免费上门服务。质保期内出现任何质量问题（人为破坏或自然灾害等不可抗力除外），由中标人负责全免费（免全部工时费、材料费、管理费、财务费等）维修或更换；质保期内超出生产厂家正常维修范围的，中标人需向生产厂家购买；未在投标报价表中单列其费用的，视为免费提供。</w:t>
      </w:r>
    </w:p>
    <w:p w14:paraId="12751BD4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3.4.2提供 7×24 小时的故障服务受理。中标人接到采购人需要维护的电话后，1小时以内响应受理，受理后4小时内到达故障现场，8小时内处理完毕。若8小时未能处理的，需提供设备等备品备件或者通过其他途径满足采购人临时需要。24小时内处理完毕。</w:t>
      </w:r>
    </w:p>
    <w:p w14:paraId="54BE9519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3.4.3备件服务：遇到重大故障，提供系统所需更换的任何备件。</w:t>
      </w:r>
    </w:p>
    <w:p w14:paraId="5E4BFD1F">
      <w:pPr>
        <w:pStyle w:val="8"/>
        <w:kinsoku w:val="0"/>
        <w:autoSpaceDE w:val="0"/>
        <w:autoSpaceDN w:val="0"/>
        <w:adjustRightInd w:val="0"/>
        <w:snapToGrid w:val="0"/>
        <w:spacing w:before="78" w:line="360" w:lineRule="auto"/>
        <w:ind w:left="492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b/>
          <w:bCs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5"/>
          <w:kern w:val="0"/>
          <w:sz w:val="22"/>
          <w:szCs w:val="22"/>
          <w:lang w:val="en-US" w:eastAsia="en-US" w:bidi="ar-SA"/>
        </w:rPr>
        <w:t>3.5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50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5"/>
          <w:kern w:val="0"/>
          <w:sz w:val="22"/>
          <w:szCs w:val="22"/>
          <w:lang w:val="en-US" w:eastAsia="en-US" w:bidi="ar-SA"/>
        </w:rPr>
        <w:t>培训</w:t>
      </w:r>
    </w:p>
    <w:p w14:paraId="15E7CD59">
      <w:pPr>
        <w:pStyle w:val="8"/>
        <w:kinsoku w:val="0"/>
        <w:autoSpaceDE w:val="0"/>
        <w:autoSpaceDN w:val="0"/>
        <w:adjustRightInd w:val="0"/>
        <w:snapToGrid w:val="0"/>
        <w:spacing w:before="180" w:line="360" w:lineRule="auto"/>
        <w:ind w:left="9" w:right="197" w:firstLine="482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中标人应按采购人要求免费提供安装前技术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指导，按采购人要求进行调</w:t>
      </w:r>
      <w:r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  <w:t>试和验收。且免费培训采购方操作管理及维护人员，达到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熟练掌握产品性能，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能及时排除一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般故障的程度，并提供其他一切所必须的技术支持。</w:t>
      </w:r>
    </w:p>
    <w:p w14:paraId="4153312F">
      <w:pPr>
        <w:pStyle w:val="8"/>
        <w:kinsoku w:val="0"/>
        <w:autoSpaceDE w:val="0"/>
        <w:autoSpaceDN w:val="0"/>
        <w:adjustRightInd w:val="0"/>
        <w:snapToGrid w:val="0"/>
        <w:spacing w:before="184" w:line="360" w:lineRule="auto"/>
        <w:ind w:left="488"/>
        <w:jc w:val="left"/>
        <w:textAlignment w:val="baseline"/>
        <w:outlineLvl w:val="2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bookmarkStart w:id="6" w:name="_Toc256000018"/>
      <w:r>
        <w:rPr>
          <w:rStyle w:val="5"/>
          <w:rFonts w:hint="eastAsia" w:ascii="宋体" w:hAnsi="宋体" w:eastAsia="宋体" w:cs="宋体"/>
          <w:b/>
          <w:bCs/>
          <w:snapToGrid w:val="0"/>
          <w:color w:val="auto"/>
          <w:spacing w:val="-3"/>
          <w:kern w:val="0"/>
          <w:sz w:val="22"/>
          <w:szCs w:val="22"/>
          <w:lang w:val="en-US" w:eastAsia="en-US" w:bidi="ar-SA"/>
        </w:rPr>
        <w:t>4、其他要求及说明</w:t>
      </w:r>
      <w:bookmarkEnd w:id="6"/>
    </w:p>
    <w:p w14:paraId="04099CD2">
      <w:pPr>
        <w:pStyle w:val="8"/>
        <w:kinsoku w:val="0"/>
        <w:autoSpaceDE w:val="0"/>
        <w:autoSpaceDN w:val="0"/>
        <w:adjustRightInd w:val="0"/>
        <w:snapToGrid w:val="0"/>
        <w:spacing w:before="301" w:line="360" w:lineRule="auto"/>
        <w:ind w:left="8" w:firstLine="42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4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4"/>
          <w:kern w:val="0"/>
          <w:sz w:val="22"/>
          <w:szCs w:val="22"/>
          <w:lang w:val="en-US" w:eastAsia="en-US" w:bidi="ar-SA"/>
        </w:rPr>
        <w:t>4.1 质保和售后要求超出厂家正常质保期限和要求的，中标人收到中标通知书后10 天内提交有效证明确保能履行承诺。</w:t>
      </w:r>
    </w:p>
    <w:p w14:paraId="4CAC8233">
      <w:pPr>
        <w:pStyle w:val="8"/>
        <w:kinsoku w:val="0"/>
        <w:autoSpaceDE w:val="0"/>
        <w:autoSpaceDN w:val="0"/>
        <w:adjustRightInd w:val="0"/>
        <w:snapToGrid w:val="0"/>
        <w:spacing w:before="301" w:line="360" w:lineRule="auto"/>
        <w:ind w:left="8" w:firstLine="420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4"/>
          <w:kern w:val="0"/>
          <w:sz w:val="22"/>
          <w:szCs w:val="22"/>
          <w:lang w:val="en-US" w:eastAsia="en-US" w:bidi="ar-SA"/>
        </w:rPr>
        <w:t>4.2．本项目采用费用包干方式建设，投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3"/>
          <w:kern w:val="0"/>
          <w:sz w:val="22"/>
          <w:szCs w:val="22"/>
          <w:lang w:val="en-US" w:eastAsia="en-US" w:bidi="ar-SA"/>
        </w:rPr>
        <w:t>标人应根据项目要求和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3"/>
          <w:kern w:val="0"/>
          <w:sz w:val="22"/>
          <w:szCs w:val="22"/>
          <w:lang w:val="en-US" w:eastAsia="zh-CN" w:bidi="ar-SA"/>
        </w:rPr>
        <w:t>实际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3"/>
          <w:kern w:val="0"/>
          <w:sz w:val="22"/>
          <w:szCs w:val="22"/>
          <w:lang w:val="en-US" w:eastAsia="en-US" w:bidi="ar-SA"/>
        </w:rPr>
        <w:t>情况，详细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5"/>
          <w:kern w:val="0"/>
          <w:sz w:val="22"/>
          <w:szCs w:val="22"/>
          <w:lang w:val="en-US" w:eastAsia="en-US" w:bidi="ar-SA"/>
        </w:rPr>
        <w:t>列明项目所需的设备及材料购置，以及产品运输保险保管、项目安装调试、试运行测试通过验收、培训、质保期免费保修维护等所有人工、管理、财务等所有费用，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7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5"/>
          <w:kern w:val="0"/>
          <w:sz w:val="22"/>
          <w:szCs w:val="22"/>
          <w:lang w:val="en-US" w:eastAsia="en-US" w:bidi="ar-SA"/>
        </w:rPr>
        <w:t>如一旦中标，在项目实施中出现任何遗漏，均由中标人免费提供，采购人不再支付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任何费用。</w:t>
      </w:r>
    </w:p>
    <w:p w14:paraId="6F176B30">
      <w:pPr>
        <w:pStyle w:val="8"/>
        <w:kinsoku w:val="0"/>
        <w:autoSpaceDE w:val="0"/>
        <w:autoSpaceDN w:val="0"/>
        <w:adjustRightInd w:val="0"/>
        <w:snapToGrid w:val="0"/>
        <w:spacing w:before="79" w:line="360" w:lineRule="auto"/>
        <w:ind w:left="609"/>
        <w:jc w:val="left"/>
        <w:textAlignment w:val="baseline"/>
        <w:outlineLvl w:val="3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15"/>
          <w:kern w:val="0"/>
          <w:sz w:val="22"/>
          <w:szCs w:val="22"/>
          <w:lang w:val="en-US" w:eastAsia="en-US" w:bidi="ar-SA"/>
        </w:rPr>
        <w:t>三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61"/>
          <w:kern w:val="0"/>
          <w:sz w:val="22"/>
          <w:szCs w:val="22"/>
          <w:lang w:val="en-US" w:eastAsia="en-US" w:bidi="ar-SA"/>
        </w:rPr>
        <w:t xml:space="preserve"> 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15"/>
          <w:kern w:val="0"/>
          <w:sz w:val="22"/>
          <w:szCs w:val="22"/>
          <w:lang w:val="en-US" w:eastAsia="en-US" w:bidi="ar-SA"/>
        </w:rPr>
        <w:t>、其他要求</w:t>
      </w:r>
    </w:p>
    <w:p w14:paraId="6C6A09FB">
      <w:pPr>
        <w:pStyle w:val="8"/>
        <w:kinsoku w:val="0"/>
        <w:autoSpaceDE w:val="0"/>
        <w:autoSpaceDN w:val="0"/>
        <w:adjustRightInd w:val="0"/>
        <w:snapToGrid w:val="0"/>
        <w:spacing w:before="179" w:line="360" w:lineRule="auto"/>
        <w:ind w:left="512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1、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中标人需根据采购单位的要求，无条件调整垃圾分类收集点安装位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2"/>
          <w:kern w:val="0"/>
          <w:sz w:val="22"/>
          <w:szCs w:val="22"/>
          <w:lang w:val="en-US" w:eastAsia="en-US" w:bidi="ar-SA"/>
        </w:rPr>
        <w:t>置。</w:t>
      </w:r>
    </w:p>
    <w:p w14:paraId="243F36DD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2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、采购人不统一组织踏勘，投标供应商如需踏勘现场，请自行安排，有关费用自理，踏勘期间发生的意外自负。</w:t>
      </w:r>
    </w:p>
    <w:p w14:paraId="08F186FF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</w:pP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3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、本项目所列的国家或行业相关标准要求，如与最新出台的国家或行业标准相冲突的，按最新的标准执行。</w:t>
      </w:r>
    </w:p>
    <w:p w14:paraId="35EA4748">
      <w:pPr>
        <w:pStyle w:val="8"/>
        <w:kinsoku w:val="0"/>
        <w:autoSpaceDE w:val="0"/>
        <w:autoSpaceDN w:val="0"/>
        <w:adjustRightInd w:val="0"/>
        <w:snapToGrid w:val="0"/>
        <w:spacing w:before="181" w:line="360" w:lineRule="auto"/>
        <w:ind w:left="8" w:right="19" w:firstLine="483"/>
        <w:jc w:val="left"/>
        <w:textAlignment w:val="baseline"/>
        <w:outlineLvl w:val="2"/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</w:pPr>
      <w:bookmarkStart w:id="7" w:name="_Toc256000019"/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4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en-US" w:bidi="ar-SA"/>
        </w:rPr>
        <w:t>、其他未尽事宜由采购人和中标人在采购合同中详细约定</w:t>
      </w:r>
      <w:r>
        <w:rPr>
          <w:rStyle w:val="5"/>
          <w:rFonts w:hint="eastAsia" w:ascii="宋体" w:hAnsi="宋体" w:eastAsia="宋体" w:cs="宋体"/>
          <w:snapToGrid w:val="0"/>
          <w:color w:val="auto"/>
          <w:spacing w:val="-1"/>
          <w:kern w:val="0"/>
          <w:sz w:val="22"/>
          <w:szCs w:val="22"/>
          <w:lang w:val="en-US" w:eastAsia="zh-CN" w:bidi="ar-SA"/>
        </w:rPr>
        <w:t>。</w:t>
      </w:r>
      <w:bookmarkEnd w:id="7"/>
    </w:p>
    <w:p w14:paraId="6552B0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768A9"/>
    <w:multiLevelType w:val="singleLevel"/>
    <w:tmpl w:val="326768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26768AA"/>
    <w:multiLevelType w:val="singleLevel"/>
    <w:tmpl w:val="326768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26768AB"/>
    <w:multiLevelType w:val="singleLevel"/>
    <w:tmpl w:val="326768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92C45"/>
    <w:rsid w:val="21AE5F02"/>
    <w:rsid w:val="23E353BD"/>
    <w:rsid w:val="361C5DC9"/>
    <w:rsid w:val="36926CA6"/>
    <w:rsid w:val="4F684BC2"/>
    <w:rsid w:val="55AF06D0"/>
    <w:rsid w:val="5FE66849"/>
    <w:rsid w:val="6BF21C16"/>
    <w:rsid w:val="6DB05BF6"/>
    <w:rsid w:val="7E9E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宋体" w:hAnsi="宋体" w:eastAsia="宋体" w:cs="宋体"/>
      <w:b/>
      <w:bCs/>
      <w:color w:val="000000" w:themeColor="text1"/>
      <w:kern w:val="1"/>
      <w:sz w:val="32"/>
      <w:szCs w:val="48"/>
      <w:lang w:bidi="ar"/>
      <w14:textFill>
        <w14:solidFill>
          <w14:schemeClr w14:val="tx1"/>
        </w14:solidFill>
      </w14:textFill>
      <w14:ligatures w14:val="standardContextual"/>
    </w:rPr>
  </w:style>
  <w:style w:type="paragraph" w:styleId="3">
    <w:name w:val="heading 2"/>
    <w:basedOn w:val="1"/>
    <w:next w:val="1"/>
    <w:link w:val="6"/>
    <w:semiHidden/>
    <w:unhideWhenUsed/>
    <w:qFormat/>
    <w:uiPriority w:val="0"/>
    <w:pPr>
      <w:spacing w:before="0" w:beforeAutospacing="0" w:after="0" w:afterAutospacing="0" w:line="360" w:lineRule="auto"/>
      <w:jc w:val="center"/>
      <w:outlineLvl w:val="1"/>
    </w:pPr>
    <w:rPr>
      <w:rFonts w:hint="eastAsia" w:ascii="宋体" w:hAnsi="宋体" w:eastAsia="宋体" w:cs="宋体"/>
      <w:b/>
      <w:bCs/>
      <w:snapToGrid w:val="0"/>
      <w:kern w:val="0"/>
      <w:sz w:val="36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qFormat/>
    <w:uiPriority w:val="0"/>
    <w:rPr>
      <w:rFonts w:ascii="宋体" w:hAnsi="宋体" w:eastAsia="宋体" w:cs="宋体"/>
      <w:b/>
      <w:snapToGrid w:val="0"/>
      <w:kern w:val="1"/>
      <w:sz w:val="36"/>
      <w:szCs w:val="32"/>
    </w:rPr>
  </w:style>
  <w:style w:type="character" w:customStyle="1" w:styleId="7">
    <w:name w:val="标题 1 Char"/>
    <w:link w:val="2"/>
    <w:qFormat/>
    <w:uiPriority w:val="0"/>
    <w:rPr>
      <w:rFonts w:ascii="宋体" w:hAnsi="宋体" w:eastAsia="宋体"/>
      <w:b/>
      <w:kern w:val="1"/>
      <w:sz w:val="32"/>
    </w:rPr>
  </w:style>
  <w:style w:type="paragraph" w:customStyle="1" w:styleId="8">
    <w:name w:val="正文_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正文_2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3543</Words>
  <Characters>4063</Characters>
  <Lines>0</Lines>
  <Paragraphs>0</Paragraphs>
  <TotalTime>0</TotalTime>
  <ScaleCrop>false</ScaleCrop>
  <LinksUpToDate>false</LinksUpToDate>
  <CharactersWithSpaces>4111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2025-11-07T14:03:00Z</dcterms:created>
  <dc:creator>admin</dc:creator>
  <cp:lastModifiedBy>admin</cp:lastModifiedBy>
  <dcterms:modified xsi:type="dcterms:W3CDTF">2026-09-24T01:30:47Z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32CEE91D2C554EC79F86CAD2BE185C9B_12</vt:lpwstr>
  </property>
  <property fmtid="{D5CDD505-2E9C-101B-9397-08002B2CF9AE}" pid="4" name="KSOTemplateDocerSaveRecord">
    <vt:lpwstr>eyJoZGlkIjoiNWIzY2M5MTVmZjJhNjk4YzQ4MTQ2N2JmZGE3ODE5NjEiLCJ1c2VySWQiOiIzNzQyMDgwODIifQ==</vt:lpwstr>
  </property>
</Properties>
</file>